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4B7B" w:rsidRPr="00FE2C84" w:rsidRDefault="00E64B7B" w:rsidP="00FE2C84">
      <w:pPr>
        <w:jc w:val="center"/>
        <w:rPr>
          <w:b/>
          <w:bCs/>
          <w:color w:val="7030A0"/>
          <w:sz w:val="26"/>
          <w:szCs w:val="26"/>
        </w:rPr>
      </w:pPr>
      <w:r w:rsidRPr="00FE2C84">
        <w:rPr>
          <w:b/>
          <w:bCs/>
          <w:color w:val="7030A0"/>
          <w:sz w:val="26"/>
          <w:szCs w:val="26"/>
        </w:rPr>
        <w:t>Good practice principles</w:t>
      </w:r>
    </w:p>
    <w:p w:rsidR="00E64B7B" w:rsidRPr="00FE2C84" w:rsidRDefault="00E64B7B" w:rsidP="00FE2C84">
      <w:pPr>
        <w:jc w:val="center"/>
        <w:rPr>
          <w:b/>
          <w:bCs/>
          <w:color w:val="7030A0"/>
          <w:sz w:val="26"/>
          <w:szCs w:val="26"/>
        </w:rPr>
      </w:pPr>
      <w:r w:rsidRPr="00FE2C84">
        <w:rPr>
          <w:b/>
          <w:bCs/>
          <w:color w:val="7030A0"/>
          <w:sz w:val="26"/>
          <w:szCs w:val="26"/>
        </w:rPr>
        <w:t>in addressing sexual and gender-based violence:</w:t>
      </w:r>
    </w:p>
    <w:p w:rsidR="00E64B7B" w:rsidRDefault="00E64B7B" w:rsidP="00FE2C84">
      <w:pPr>
        <w:jc w:val="center"/>
        <w:rPr>
          <w:b/>
          <w:bCs/>
          <w:color w:val="7030A0"/>
          <w:sz w:val="26"/>
          <w:szCs w:val="26"/>
        </w:rPr>
      </w:pPr>
      <w:r w:rsidRPr="00FE2C84">
        <w:rPr>
          <w:b/>
          <w:bCs/>
          <w:color w:val="7030A0"/>
          <w:sz w:val="26"/>
          <w:szCs w:val="26"/>
        </w:rPr>
        <w:t xml:space="preserve">Drawing on the unique </w:t>
      </w:r>
      <w:r w:rsidR="009501B8">
        <w:rPr>
          <w:b/>
          <w:bCs/>
          <w:color w:val="7030A0"/>
          <w:sz w:val="26"/>
          <w:szCs w:val="26"/>
        </w:rPr>
        <w:t xml:space="preserve">practice model </w:t>
      </w:r>
      <w:r w:rsidRPr="00FE2C84">
        <w:rPr>
          <w:b/>
          <w:bCs/>
          <w:color w:val="7030A0"/>
          <w:sz w:val="26"/>
          <w:szCs w:val="26"/>
        </w:rPr>
        <w:t xml:space="preserve">of specialist women’s </w:t>
      </w:r>
      <w:r w:rsidR="00A40135" w:rsidRPr="00FE2C84">
        <w:rPr>
          <w:b/>
          <w:bCs/>
          <w:color w:val="7030A0"/>
          <w:sz w:val="26"/>
          <w:szCs w:val="26"/>
        </w:rPr>
        <w:t>services</w:t>
      </w:r>
      <w:r w:rsidRPr="00FE2C84">
        <w:rPr>
          <w:b/>
          <w:bCs/>
          <w:color w:val="7030A0"/>
          <w:sz w:val="26"/>
          <w:szCs w:val="26"/>
        </w:rPr>
        <w:t xml:space="preserve"> </w:t>
      </w:r>
    </w:p>
    <w:p w:rsidR="00370352" w:rsidRDefault="00370352" w:rsidP="00370352">
      <w:pPr>
        <w:rPr>
          <w:lang w:val="en-US"/>
        </w:rPr>
      </w:pPr>
      <w:r w:rsidRPr="005422B9">
        <w:rPr>
          <w:lang w:val="en-US"/>
        </w:rPr>
        <w:t>About Australian W</w:t>
      </w:r>
      <w:r>
        <w:rPr>
          <w:lang w:val="en-US"/>
        </w:rPr>
        <w:t>omen Against Violence Alliance (AWAVA)</w:t>
      </w:r>
    </w:p>
    <w:p w:rsidR="00370352" w:rsidRPr="005422B9" w:rsidRDefault="00370352" w:rsidP="00370352">
      <w:pPr>
        <w:rPr>
          <w:lang w:val="en-US"/>
        </w:rPr>
      </w:pPr>
      <w:r w:rsidRPr="005422B9">
        <w:rPr>
          <w:lang w:val="en-US"/>
        </w:rPr>
        <w:t>Australian Women Against Violence Alliance (AWAVA) is one of the six National Women’s Alliances funded by the Australian Government</w:t>
      </w:r>
      <w:r w:rsidR="00EC6A81">
        <w:rPr>
          <w:lang w:val="en-US"/>
        </w:rPr>
        <w:t xml:space="preserve"> </w:t>
      </w:r>
      <w:r w:rsidRPr="005422B9">
        <w:rPr>
          <w:lang w:val="en-US"/>
        </w:rPr>
        <w:t>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w:t>
      </w:r>
      <w:r w:rsidR="00EC6A81">
        <w:rPr>
          <w:lang w:val="en-US"/>
        </w:rPr>
        <w:t xml:space="preserve"> women’s health services,</w:t>
      </w:r>
      <w:r w:rsidRPr="005422B9">
        <w:rPr>
          <w:lang w:val="en-US"/>
        </w:rPr>
        <w:t xml:space="preserve"> services for women in the sex industry and women’s legal services, as well as organisations representing Aboriginal and Torres Strait Islander women, young women, women educators and other groups. AWAVA's contract manager is the Women's Services Network (WESNET). </w:t>
      </w:r>
    </w:p>
    <w:p w:rsidR="00370352" w:rsidRPr="00370352" w:rsidRDefault="00370352" w:rsidP="00370352">
      <w:pPr>
        <w:rPr>
          <w:lang w:val="en-US"/>
        </w:rPr>
      </w:pPr>
      <w:r w:rsidRPr="005422B9">
        <w:rPr>
          <w:lang w:val="en-US"/>
        </w:rPr>
        <w:t>We acknowledge the work and expertise of specialist women’s services and pay tribute to those who have experienced violence.</w:t>
      </w:r>
      <w:r w:rsidRPr="00370352">
        <w:rPr>
          <w:lang w:val="en-US"/>
        </w:rPr>
        <w:t xml:space="preserve"> We recognise the individual</w:t>
      </w:r>
      <w:r w:rsidR="00EC6A81">
        <w:rPr>
          <w:lang w:val="en-US"/>
        </w:rPr>
        <w:t xml:space="preserve"> and collective</w:t>
      </w:r>
      <w:r w:rsidRPr="00370352">
        <w:rPr>
          <w:lang w:val="en-US"/>
        </w:rPr>
        <w:t xml:space="preserve"> stories of courage, hope and resilience that form the basis of our work.</w:t>
      </w:r>
    </w:p>
    <w:p w:rsidR="00370352" w:rsidRDefault="00370352" w:rsidP="00370352">
      <w:pPr>
        <w:rPr>
          <w:lang w:val="en-US"/>
        </w:rPr>
      </w:pPr>
      <w:r w:rsidRPr="005422B9">
        <w:rPr>
          <w:lang w:val="en-US"/>
        </w:rPr>
        <w:t>Caution: Some people may find parts of this content</w:t>
      </w:r>
      <w:r>
        <w:rPr>
          <w:lang w:val="en-US"/>
        </w:rPr>
        <w:t xml:space="preserve"> </w:t>
      </w:r>
      <w:r w:rsidRPr="00370352">
        <w:rPr>
          <w:lang w:val="en-US"/>
        </w:rPr>
        <w:t xml:space="preserve">distressing. </w:t>
      </w:r>
      <w:r w:rsidRPr="005422B9">
        <w:rPr>
          <w:lang w:val="en-US"/>
        </w:rPr>
        <w:t xml:space="preserve">Recommended support services </w:t>
      </w:r>
      <w:r w:rsidRPr="009A49BF">
        <w:rPr>
          <w:lang w:val="en-US"/>
        </w:rPr>
        <w:t>include 1800 RESPECT</w:t>
      </w:r>
      <w:r w:rsidR="002379BA">
        <w:rPr>
          <w:lang w:val="en-US"/>
        </w:rPr>
        <w:t xml:space="preserve"> (</w:t>
      </w:r>
      <w:r w:rsidRPr="009A49BF">
        <w:rPr>
          <w:lang w:val="en-US"/>
        </w:rPr>
        <w:t>1800 737 732</w:t>
      </w:r>
      <w:r w:rsidR="002379BA">
        <w:rPr>
          <w:lang w:val="en-US"/>
        </w:rPr>
        <w:t>)</w:t>
      </w:r>
      <w:r w:rsidRPr="009A49BF">
        <w:rPr>
          <w:lang w:val="en-US"/>
        </w:rPr>
        <w:t xml:space="preserve"> and Lifeline</w:t>
      </w:r>
      <w:r w:rsidR="002379BA">
        <w:rPr>
          <w:lang w:val="en-US"/>
        </w:rPr>
        <w:t xml:space="preserve"> </w:t>
      </w:r>
      <w:r w:rsidR="00EC6A81">
        <w:rPr>
          <w:lang w:val="en-US"/>
        </w:rPr>
        <w:t>(</w:t>
      </w:r>
      <w:r w:rsidRPr="009A49BF">
        <w:rPr>
          <w:lang w:val="en-US"/>
        </w:rPr>
        <w:t>13 11 14</w:t>
      </w:r>
      <w:r w:rsidR="00EC6A81">
        <w:rPr>
          <w:lang w:val="en-US"/>
        </w:rPr>
        <w:t>)</w:t>
      </w:r>
      <w:r w:rsidRPr="009A49BF">
        <w:rPr>
          <w:lang w:val="en-US"/>
        </w:rPr>
        <w:t>.</w:t>
      </w:r>
    </w:p>
    <w:p w:rsidR="000009DF" w:rsidRPr="000009DF" w:rsidRDefault="000009DF" w:rsidP="000009DF">
      <w:pPr>
        <w:rPr>
          <w:lang w:val="en-US"/>
        </w:rPr>
      </w:pPr>
      <w:r w:rsidRPr="000009DF">
        <w:rPr>
          <w:lang w:val="en-US"/>
        </w:rPr>
        <w:t xml:space="preserve">Contact us: </w:t>
      </w:r>
    </w:p>
    <w:p w:rsidR="000009DF" w:rsidRPr="000009DF" w:rsidRDefault="000009DF" w:rsidP="000009DF">
      <w:pPr>
        <w:rPr>
          <w:lang w:val="en-US"/>
        </w:rPr>
      </w:pPr>
      <w:r w:rsidRPr="000009DF">
        <w:rPr>
          <w:lang w:val="en-US"/>
        </w:rPr>
        <w:t>www.awava.org.au</w:t>
      </w:r>
      <w:r w:rsidRPr="000009DF">
        <w:rPr>
          <w:lang w:val="en-US"/>
        </w:rPr>
        <w:br/>
        <w:t>info@awava.org.au</w:t>
      </w:r>
      <w:r w:rsidRPr="000009DF">
        <w:rPr>
          <w:lang w:val="en-US"/>
        </w:rPr>
        <w:br/>
        <w:t xml:space="preserve">Facebook &amp; Instagram @AWAVAaustralia Twitter @AWAVA_Women </w:t>
      </w:r>
    </w:p>
    <w:p w:rsidR="000009DF" w:rsidRPr="000009DF" w:rsidRDefault="000009DF" w:rsidP="000009DF">
      <w:pPr>
        <w:rPr>
          <w:lang w:val="en-US"/>
        </w:rPr>
      </w:pPr>
      <w:r w:rsidRPr="000009DF">
        <w:rPr>
          <w:lang w:val="en-US"/>
        </w:rPr>
        <w:t xml:space="preserve">Suggested citation: </w:t>
      </w:r>
    </w:p>
    <w:p w:rsidR="000009DF" w:rsidRPr="000009DF" w:rsidRDefault="000009DF" w:rsidP="000009DF">
      <w:pPr>
        <w:rPr>
          <w:lang w:val="en-US"/>
        </w:rPr>
      </w:pPr>
      <w:r w:rsidRPr="000009DF">
        <w:rPr>
          <w:lang w:val="en-US"/>
        </w:rPr>
        <w:t xml:space="preserve">Australian Women Against Violence Alliance (2020) Good practice principles in addressing sexual and gender-based violence: Drawing on the unique practice model of specialist women’s services </w:t>
      </w:r>
    </w:p>
    <w:p w:rsidR="000009DF" w:rsidRPr="000009DF" w:rsidRDefault="000009DF" w:rsidP="000009DF">
      <w:pPr>
        <w:rPr>
          <w:lang w:val="en-US"/>
        </w:rPr>
      </w:pPr>
      <w:r w:rsidRPr="000009DF">
        <w:rPr>
          <w:lang w:val="en-US"/>
        </w:rPr>
        <w:t xml:space="preserve">© 2020 Australian Women Against Violence Alliance </w:t>
      </w:r>
    </w:p>
    <w:p w:rsidR="000009DF" w:rsidRDefault="000009DF">
      <w:pPr>
        <w:spacing w:before="0" w:after="160" w:line="259" w:lineRule="auto"/>
        <w:jc w:val="left"/>
        <w:rPr>
          <w:lang w:val="en-US"/>
        </w:rPr>
      </w:pPr>
      <w:r>
        <w:rPr>
          <w:lang w:val="en-US"/>
        </w:rPr>
        <w:br w:type="page"/>
      </w:r>
    </w:p>
    <w:p w:rsidR="00E64B7B" w:rsidRDefault="004A3283" w:rsidP="00AA35E4">
      <w:pPr>
        <w:pStyle w:val="Heading3"/>
      </w:pPr>
      <w:r>
        <w:lastRenderedPageBreak/>
        <w:t>Introduction</w:t>
      </w:r>
      <w:r w:rsidR="005B72AE">
        <w:t xml:space="preserve"> </w:t>
      </w:r>
    </w:p>
    <w:p w:rsidR="00F235B5" w:rsidRDefault="00F235B5" w:rsidP="00F235B5">
      <w:r>
        <w:t>Despite human rights advancement, sexual and gender-based violence still permeates societies and remains endemic.</w:t>
      </w:r>
    </w:p>
    <w:p w:rsidR="00F235B5" w:rsidRDefault="00F235B5" w:rsidP="00370352">
      <w:pPr>
        <w:ind w:left="720"/>
      </w:pPr>
      <w:r>
        <w:t>Sexual and gender-based violence refers to any act that is perpetrated against a person’s will and is based on gender norms and unequal power relationships. It encompasses threats of violence and coercion. It can be physical, emotional, psychological, sexual, economical or technological in nature, and can take the form of a denial of resources or access to services (UNHCR, 2020).</w:t>
      </w:r>
    </w:p>
    <w:p w:rsidR="00F235B5" w:rsidRDefault="00F235B5" w:rsidP="00F235B5">
      <w:r>
        <w:t xml:space="preserve">In </w:t>
      </w:r>
      <w:r w:rsidRPr="00052280">
        <w:t>Australia</w:t>
      </w:r>
      <w:r>
        <w:t>,</w:t>
      </w:r>
      <w:r w:rsidRPr="00052280">
        <w:t xml:space="preserve"> </w:t>
      </w:r>
      <w:r w:rsidRPr="00052280">
        <w:rPr>
          <w:rFonts w:asciiTheme="majorHAnsi" w:hAnsiTheme="majorHAnsi" w:cstheme="majorHAnsi"/>
        </w:rPr>
        <w:t>1 in 6 women since the age of 15 have experienced physical and/or sexual violence by a current or previous partner</w:t>
      </w:r>
      <w:r w:rsidR="00881832">
        <w:rPr>
          <w:rFonts w:asciiTheme="majorHAnsi" w:hAnsiTheme="majorHAnsi" w:cstheme="majorHAnsi"/>
        </w:rPr>
        <w:t>.  Domestic/Family violence and sexual violence occurs repeatedly with</w:t>
      </w:r>
      <w:r>
        <w:rPr>
          <w:rFonts w:asciiTheme="majorHAnsi" w:hAnsiTheme="majorHAnsi" w:cstheme="majorHAnsi"/>
        </w:rPr>
        <w:t xml:space="preserve"> 54% of women</w:t>
      </w:r>
      <w:r w:rsidR="00881832">
        <w:rPr>
          <w:rFonts w:asciiTheme="majorHAnsi" w:hAnsiTheme="majorHAnsi" w:cstheme="majorHAnsi"/>
        </w:rPr>
        <w:t xml:space="preserve"> who have experienced current partner violence</w:t>
      </w:r>
      <w:r>
        <w:rPr>
          <w:rFonts w:asciiTheme="majorHAnsi" w:hAnsiTheme="majorHAnsi" w:cstheme="majorHAnsi"/>
        </w:rPr>
        <w:t xml:space="preserve"> hav</w:t>
      </w:r>
      <w:r w:rsidR="00881832">
        <w:rPr>
          <w:rFonts w:asciiTheme="majorHAnsi" w:hAnsiTheme="majorHAnsi" w:cstheme="majorHAnsi"/>
        </w:rPr>
        <w:t>ing</w:t>
      </w:r>
      <w:r>
        <w:rPr>
          <w:rFonts w:asciiTheme="majorHAnsi" w:hAnsiTheme="majorHAnsi" w:cstheme="majorHAnsi"/>
        </w:rPr>
        <w:t xml:space="preserve"> experienced </w:t>
      </w:r>
      <w:r w:rsidR="00881832">
        <w:rPr>
          <w:rFonts w:asciiTheme="majorHAnsi" w:hAnsiTheme="majorHAnsi" w:cstheme="majorHAnsi"/>
        </w:rPr>
        <w:t>more than one violent incident</w:t>
      </w:r>
      <w:r w:rsidRPr="00400982">
        <w:t xml:space="preserve"> </w:t>
      </w:r>
      <w:r>
        <w:t>(</w:t>
      </w:r>
      <w:r w:rsidRPr="00400982">
        <w:rPr>
          <w:rFonts w:asciiTheme="majorHAnsi" w:hAnsiTheme="majorHAnsi" w:cstheme="majorHAnsi"/>
        </w:rPr>
        <w:t>Australian I</w:t>
      </w:r>
      <w:r>
        <w:rPr>
          <w:rFonts w:asciiTheme="majorHAnsi" w:hAnsiTheme="majorHAnsi" w:cstheme="majorHAnsi"/>
        </w:rPr>
        <w:t xml:space="preserve">nstitute of Health and Welfare, </w:t>
      </w:r>
      <w:r w:rsidRPr="00400982">
        <w:rPr>
          <w:rFonts w:asciiTheme="majorHAnsi" w:hAnsiTheme="majorHAnsi" w:cstheme="majorHAnsi"/>
        </w:rPr>
        <w:t>2018)</w:t>
      </w:r>
      <w:r>
        <w:rPr>
          <w:rFonts w:asciiTheme="majorHAnsi" w:hAnsiTheme="majorHAnsi" w:cstheme="majorHAnsi"/>
        </w:rPr>
        <w:t xml:space="preserve">. </w:t>
      </w:r>
      <w:r>
        <w:t>Evidence consistently</w:t>
      </w:r>
      <w:r w:rsidRPr="008C67BE">
        <w:t xml:space="preserve"> </w:t>
      </w:r>
      <w:r>
        <w:t xml:space="preserve">shows that the </w:t>
      </w:r>
      <w:r w:rsidRPr="008C67BE">
        <w:t>majority of victims</w:t>
      </w:r>
      <w:r>
        <w:t>/survivors</w:t>
      </w:r>
      <w:r w:rsidRPr="008C67BE">
        <w:t xml:space="preserve"> are women</w:t>
      </w:r>
      <w:r>
        <w:t xml:space="preserve"> and the majority of the perpetrators are men</w:t>
      </w:r>
      <w:r w:rsidRPr="00400982">
        <w:t xml:space="preserve"> </w:t>
      </w:r>
      <w:r>
        <w:t xml:space="preserve">(UN Women, </w:t>
      </w:r>
      <w:r w:rsidRPr="00400982">
        <w:t>2019)</w:t>
      </w:r>
      <w:r>
        <w:t>. W</w:t>
      </w:r>
      <w:r w:rsidRPr="00F04CCA">
        <w:t>omen</w:t>
      </w:r>
      <w:r>
        <w:t xml:space="preserve"> in Australia</w:t>
      </w:r>
      <w:r w:rsidRPr="00F04CCA">
        <w:t xml:space="preserve"> are nearly three times more likely than me</w:t>
      </w:r>
      <w:r>
        <w:t>n to experience violence from a current or former</w:t>
      </w:r>
      <w:r w:rsidRPr="00F04CCA">
        <w:t xml:space="preserve"> intimate partner</w:t>
      </w:r>
      <w:r>
        <w:t xml:space="preserve"> (</w:t>
      </w:r>
      <w:r w:rsidRPr="00400982">
        <w:t>Australian Bure</w:t>
      </w:r>
      <w:r>
        <w:t xml:space="preserve">au of Statistics, </w:t>
      </w:r>
      <w:r w:rsidRPr="00400982">
        <w:t>2020)</w:t>
      </w:r>
      <w:r w:rsidRPr="00F04CCA">
        <w:t>.</w:t>
      </w:r>
      <w:r w:rsidR="00814BBF">
        <w:t xml:space="preserve"> </w:t>
      </w:r>
      <w:r w:rsidRPr="00970AEB">
        <w:t>The 2017 National Homicide Monitoring Program report</w:t>
      </w:r>
      <w:r w:rsidR="009501B8">
        <w:t xml:space="preserve"> </w:t>
      </w:r>
      <w:r w:rsidRPr="00970AEB">
        <w:t>found women are overrepresented as victims</w:t>
      </w:r>
      <w:r>
        <w:t>/survivors</w:t>
      </w:r>
      <w:r w:rsidRPr="00970AEB">
        <w:t xml:space="preserve"> of intimate partner homicide</w:t>
      </w:r>
      <w:r w:rsidRPr="00F25F6A">
        <w:t xml:space="preserve"> </w:t>
      </w:r>
      <w:r>
        <w:t xml:space="preserve">(Bricknell, </w:t>
      </w:r>
      <w:r w:rsidRPr="00F25F6A">
        <w:t>2020)</w:t>
      </w:r>
      <w:r w:rsidRPr="00970AEB">
        <w:t>. On average, one woman each week is killed by a current or former male intimate partner</w:t>
      </w:r>
      <w:r w:rsidR="00953C9D">
        <w:t xml:space="preserve"> (Bricknell, 2020).</w:t>
      </w:r>
      <w:r w:rsidRPr="00970AEB">
        <w:t xml:space="preserve"> </w:t>
      </w:r>
      <w:r w:rsidR="00953C9D">
        <w:t>I</w:t>
      </w:r>
      <w:r w:rsidRPr="00970AEB">
        <w:t>n the overwhelming majority (92.6%) of cases</w:t>
      </w:r>
      <w:r w:rsidR="00953C9D">
        <w:t>, the male intimate partners were</w:t>
      </w:r>
      <w:r w:rsidRPr="00970AEB">
        <w:t xml:space="preserve"> </w:t>
      </w:r>
      <w:r w:rsidR="00953C9D">
        <w:t>the</w:t>
      </w:r>
      <w:r w:rsidRPr="00970AEB">
        <w:t xml:space="preserve"> primary perpetrator</w:t>
      </w:r>
      <w:r w:rsidR="00953C9D">
        <w:t>s</w:t>
      </w:r>
      <w:r>
        <w:t xml:space="preserve"> of violence </w:t>
      </w:r>
      <w:r w:rsidRPr="00F25F6A">
        <w:t>(Bricknell, 2020)</w:t>
      </w:r>
      <w:r w:rsidRPr="00970AEB">
        <w:t xml:space="preserve">. </w:t>
      </w:r>
    </w:p>
    <w:p w:rsidR="00F235B5" w:rsidRDefault="00F235B5" w:rsidP="00F235B5">
      <w:r>
        <w:t>Aboriginal and Torres Strait Islander women, women with disabilities, women from migrant and refugee backgrounds</w:t>
      </w:r>
      <w:r w:rsidR="00881832">
        <w:t>,</w:t>
      </w:r>
      <w:r>
        <w:t xml:space="preserve"> in particular those on temporary visas, LGBTIQ+ women, older </w:t>
      </w:r>
      <w:r w:rsidRPr="00994D67">
        <w:t xml:space="preserve">women </w:t>
      </w:r>
      <w:r w:rsidRPr="00B75928">
        <w:t>and other groups of women</w:t>
      </w:r>
      <w:r w:rsidRPr="00994D67">
        <w:t xml:space="preserve"> experiencing multiple and intersecting forms of discrimination are subjected to</w:t>
      </w:r>
      <w:r>
        <w:t xml:space="preserve"> sexual and gender-based violence at higher rates. In addition to coerci</w:t>
      </w:r>
      <w:r w:rsidR="00881832">
        <w:t>ve</w:t>
      </w:r>
      <w:r>
        <w:t xml:space="preserve"> control and gendered drivers</w:t>
      </w:r>
      <w:r w:rsidR="00953C9D">
        <w:t>,</w:t>
      </w:r>
      <w:r>
        <w:t xml:space="preserve"> such violence is further compounded by racism, heterosexism, transphobia, ableism, ageism, </w:t>
      </w:r>
      <w:r w:rsidR="00F13C21">
        <w:t xml:space="preserve">the </w:t>
      </w:r>
      <w:r>
        <w:t>ongoing impact of colonisation among</w:t>
      </w:r>
      <w:r w:rsidR="00F13C21">
        <w:t>st other oppressive power structures</w:t>
      </w:r>
      <w:r w:rsidRPr="00F849D2">
        <w:t xml:space="preserve"> </w:t>
      </w:r>
      <w:r>
        <w:t>(Australian Human Rights Commission, 2012, AWAVA, 2018)</w:t>
      </w:r>
      <w:r w:rsidRPr="00F849D2">
        <w:t>.</w:t>
      </w:r>
    </w:p>
    <w:p w:rsidR="002F471F" w:rsidRDefault="00F235B5" w:rsidP="002F471F">
      <w:r>
        <w:t xml:space="preserve">In this brochure, we are adopting a language of sexual and gender-based violence </w:t>
      </w:r>
      <w:r w:rsidR="00814BBF">
        <w:t xml:space="preserve">to </w:t>
      </w:r>
      <w:r w:rsidR="002F471F" w:rsidRPr="0062268C">
        <w:rPr>
          <w:lang w:val="en-AU"/>
        </w:rPr>
        <w:t>encompass not only intimate partner or</w:t>
      </w:r>
      <w:r w:rsidR="002F471F">
        <w:rPr>
          <w:lang w:val="en-AU"/>
        </w:rPr>
        <w:t xml:space="preserve"> domestic and</w:t>
      </w:r>
      <w:r w:rsidR="002F471F" w:rsidRPr="0062268C">
        <w:rPr>
          <w:lang w:val="en-AU"/>
        </w:rPr>
        <w:t xml:space="preserve"> family violence, but also sexual violence committed outside of intimate relationships </w:t>
      </w:r>
      <w:r w:rsidR="007016A8">
        <w:rPr>
          <w:lang w:val="en-AU"/>
        </w:rPr>
        <w:t>and</w:t>
      </w:r>
      <w:r w:rsidR="00814BBF">
        <w:rPr>
          <w:lang w:val="en-AU"/>
        </w:rPr>
        <w:t xml:space="preserve"> other forms of</w:t>
      </w:r>
      <w:r w:rsidR="002F471F" w:rsidRPr="0062268C">
        <w:rPr>
          <w:lang w:val="en-AU"/>
        </w:rPr>
        <w:t xml:space="preserve"> violence </w:t>
      </w:r>
      <w:r w:rsidR="002F471F">
        <w:rPr>
          <w:lang w:val="en-AU"/>
        </w:rPr>
        <w:t>against women</w:t>
      </w:r>
      <w:r w:rsidR="00F13C21">
        <w:rPr>
          <w:lang w:val="en-AU"/>
        </w:rPr>
        <w:t xml:space="preserve"> such as kinship violence for women from Aboriginal and Torres Strait Islander backgrounds, and institutional violence for women </w:t>
      </w:r>
      <w:r w:rsidR="0021740F">
        <w:rPr>
          <w:lang w:val="en-AU"/>
        </w:rPr>
        <w:t xml:space="preserve">with </w:t>
      </w:r>
      <w:r w:rsidR="00F13C21">
        <w:rPr>
          <w:lang w:val="en-AU"/>
        </w:rPr>
        <w:t>disabilities</w:t>
      </w:r>
      <w:r w:rsidR="00814BBF">
        <w:rPr>
          <w:lang w:val="en-AU"/>
        </w:rPr>
        <w:t>.</w:t>
      </w:r>
      <w:r w:rsidR="002F471F" w:rsidRPr="0062268C">
        <w:rPr>
          <w:lang w:val="en-AU"/>
        </w:rPr>
        <w:t xml:space="preserve"> </w:t>
      </w:r>
      <w:r w:rsidR="00F13C21">
        <w:t>Sexual and gender-based violence is</w:t>
      </w:r>
      <w:r w:rsidR="002F471F" w:rsidRPr="0062268C">
        <w:rPr>
          <w:lang w:val="en-AU"/>
        </w:rPr>
        <w:t xml:space="preserve"> “</w:t>
      </w:r>
      <w:r w:rsidR="002F471F">
        <w:t>an umbrella term for any harmful act that is perpetrated against a person’s will and that is based on socially ascribed (i.e., gender) differences between males and females</w:t>
      </w:r>
      <w:r w:rsidR="008E325D">
        <w:t>”</w:t>
      </w:r>
      <w:r w:rsidR="002F471F" w:rsidRPr="001C5ACF">
        <w:t xml:space="preserve"> </w:t>
      </w:r>
      <w:r w:rsidR="002F471F">
        <w:t xml:space="preserve">(UNFPA, </w:t>
      </w:r>
      <w:r w:rsidR="002F471F" w:rsidRPr="001C5ACF">
        <w:t>2019)</w:t>
      </w:r>
      <w:r w:rsidR="00F13C21">
        <w:t>.</w:t>
      </w:r>
      <w:r w:rsidR="007016A8">
        <w:t xml:space="preserve"> </w:t>
      </w:r>
      <w:r w:rsidR="00F13C21">
        <w:t>V</w:t>
      </w:r>
      <w:r w:rsidR="00F04A68">
        <w:t xml:space="preserve">iolence referred to in this brochure </w:t>
      </w:r>
      <w:r w:rsidR="007016A8">
        <w:t>encompasses violence against cisgender and transgender women as well as non-binary people</w:t>
      </w:r>
      <w:r w:rsidR="002F471F">
        <w:t>.</w:t>
      </w:r>
      <w:r w:rsidR="007016A8">
        <w:t xml:space="preserve"> </w:t>
      </w:r>
      <w:r w:rsidR="00814BBF">
        <w:rPr>
          <w:lang w:val="en-AU"/>
        </w:rPr>
        <w:t>It</w:t>
      </w:r>
      <w:r w:rsidR="002F471F">
        <w:rPr>
          <w:lang w:val="en-AU"/>
        </w:rPr>
        <w:t xml:space="preserve"> </w:t>
      </w:r>
      <w:r w:rsidR="002F471F" w:rsidRPr="00F4686C">
        <w:rPr>
          <w:lang w:val="en-AU"/>
        </w:rPr>
        <w:t xml:space="preserve">draws </w:t>
      </w:r>
      <w:r w:rsidR="00814BBF">
        <w:rPr>
          <w:lang w:val="en-AU"/>
        </w:rPr>
        <w:t>our</w:t>
      </w:r>
      <w:r w:rsidR="002F471F" w:rsidRPr="00F4686C">
        <w:rPr>
          <w:lang w:val="en-AU"/>
        </w:rPr>
        <w:t xml:space="preserve"> attention to underlying drivers of violence that are rooted in rigid and binary gender norms, gender inequality, unequal power relationships, coercion and control</w:t>
      </w:r>
      <w:r w:rsidR="002F471F" w:rsidRPr="00400982">
        <w:rPr>
          <w:rStyle w:val="FootnoteReference"/>
        </w:rPr>
        <w:footnoteReference w:id="1"/>
      </w:r>
      <w:r w:rsidR="002F471F" w:rsidRPr="00F4686C">
        <w:rPr>
          <w:lang w:val="en-AU"/>
        </w:rPr>
        <w:t xml:space="preserve"> “</w:t>
      </w:r>
      <w:r w:rsidR="002F471F" w:rsidRPr="009F167C">
        <w:t xml:space="preserve">that are </w:t>
      </w:r>
      <w:r w:rsidR="00F04A68">
        <w:t xml:space="preserve">[also] </w:t>
      </w:r>
      <w:r w:rsidR="002F471F" w:rsidRPr="009F167C">
        <w:t>reinforced by patriarchal social constructs</w:t>
      </w:r>
      <w:r w:rsidR="002F471F">
        <w:t>”</w:t>
      </w:r>
      <w:r w:rsidR="002F471F" w:rsidRPr="00400982">
        <w:t xml:space="preserve"> </w:t>
      </w:r>
      <w:r w:rsidR="002F471F">
        <w:t xml:space="preserve">(Domestic Violence Victoria, </w:t>
      </w:r>
      <w:r w:rsidR="002F471F" w:rsidRPr="00400982">
        <w:t>2020)</w:t>
      </w:r>
      <w:r w:rsidR="002F471F" w:rsidRPr="00F4686C">
        <w:rPr>
          <w:lang w:val="en-AU"/>
        </w:rPr>
        <w:t>.</w:t>
      </w:r>
      <w:r w:rsidR="007016A8">
        <w:rPr>
          <w:lang w:val="en-AU"/>
        </w:rPr>
        <w:t xml:space="preserve"> </w:t>
      </w:r>
      <w:r w:rsidR="002F471F">
        <w:t xml:space="preserve">Lastly, </w:t>
      </w:r>
      <w:r w:rsidR="00F04A68">
        <w:t xml:space="preserve">the term </w:t>
      </w:r>
      <w:r w:rsidR="002F471F">
        <w:t>is consistent with the definition by the United Nations Declaration on the Elimination of Violence against Women.</w:t>
      </w:r>
      <w:r w:rsidR="002F471F">
        <w:rPr>
          <w:rStyle w:val="FootnoteReference"/>
        </w:rPr>
        <w:footnoteReference w:id="2"/>
      </w:r>
      <w:r w:rsidR="002F471F">
        <w:t xml:space="preserve"> </w:t>
      </w:r>
    </w:p>
    <w:p w:rsidR="00D96D1B" w:rsidRDefault="00D96D1B" w:rsidP="00AA35E4">
      <w:pPr>
        <w:pStyle w:val="Heading3"/>
      </w:pPr>
    </w:p>
    <w:p w:rsidR="007016A8" w:rsidRDefault="005E338B" w:rsidP="00AA35E4">
      <w:pPr>
        <w:pStyle w:val="Heading3"/>
      </w:pPr>
      <w:r>
        <w:t>The basis for</w:t>
      </w:r>
      <w:r w:rsidR="00F04A68">
        <w:t xml:space="preserve"> good-practice principles </w:t>
      </w:r>
    </w:p>
    <w:p w:rsidR="007016A8" w:rsidRDefault="007016A8" w:rsidP="00370352">
      <w:r>
        <w:rPr>
          <w:lang w:val="en-US"/>
        </w:rPr>
        <w:t xml:space="preserve">Given the high prevalence of sexual and gender-based violence and its complexity, it is critical that services working with victims/survivors of violence are appropriately </w:t>
      </w:r>
      <w:r w:rsidR="00953C9D">
        <w:rPr>
          <w:lang w:val="en-US"/>
        </w:rPr>
        <w:t xml:space="preserve">equipped </w:t>
      </w:r>
      <w:r>
        <w:rPr>
          <w:lang w:val="en-US"/>
        </w:rPr>
        <w:t xml:space="preserve">to support them. </w:t>
      </w:r>
      <w:r w:rsidR="00F04A68">
        <w:rPr>
          <w:lang w:val="en-US"/>
        </w:rPr>
        <w:t xml:space="preserve">To </w:t>
      </w:r>
      <w:r w:rsidR="00F04A68">
        <w:rPr>
          <w:lang w:val="en-US"/>
        </w:rPr>
        <w:lastRenderedPageBreak/>
        <w:t xml:space="preserve">produce this brochure, we’ve drawn on the well-established service model of </w:t>
      </w:r>
      <w:r w:rsidR="00F04A68">
        <w:t xml:space="preserve">specialist </w:t>
      </w:r>
      <w:r w:rsidR="00FE010F">
        <w:t>women’s services</w:t>
      </w:r>
      <w:r w:rsidR="00F04A68">
        <w:t xml:space="preserve"> that has proven its effectiveness over decades</w:t>
      </w:r>
      <w:r w:rsidR="00EE44C0">
        <w:t>.</w:t>
      </w:r>
      <w:r>
        <w:t xml:space="preserve"> </w:t>
      </w:r>
    </w:p>
    <w:p w:rsidR="00FE010F" w:rsidRDefault="00814BBF" w:rsidP="00370352">
      <w:pPr>
        <w:rPr>
          <w:rFonts w:asciiTheme="majorHAnsi" w:hAnsiTheme="majorHAnsi" w:cs="Arial"/>
          <w:noProof/>
        </w:rPr>
      </w:pPr>
      <w:r>
        <w:t>S</w:t>
      </w:r>
      <w:r w:rsidR="007016A8">
        <w:t>pecialist women’s services</w:t>
      </w:r>
      <w:r w:rsidR="00FE010F">
        <w:t xml:space="preserve"> </w:t>
      </w:r>
      <w:r w:rsidR="00EE44C0">
        <w:t xml:space="preserve">were </w:t>
      </w:r>
      <w:r w:rsidR="00FE010F">
        <w:t>established in Australia and internationally in response to the need for comprehensive specialist and trauma-informed support</w:t>
      </w:r>
      <w:r>
        <w:t>. Their work</w:t>
      </w:r>
      <w:r w:rsidR="00887F36">
        <w:t xml:space="preserve"> is </w:t>
      </w:r>
      <w:r w:rsidR="00EE44C0">
        <w:t xml:space="preserve">underpinned </w:t>
      </w:r>
      <w:r w:rsidR="00887F36">
        <w:t>by feminist approaches and gendered understanding of violence</w:t>
      </w:r>
      <w:r>
        <w:t xml:space="preserve"> </w:t>
      </w:r>
      <w:r w:rsidR="00EE44C0">
        <w:t>(Andrew, 2013)</w:t>
      </w:r>
      <w:r w:rsidR="00887F36">
        <w:t>.</w:t>
      </w:r>
      <w:r w:rsidR="00FE010F">
        <w:t xml:space="preserve"> </w:t>
      </w:r>
      <w:r w:rsidR="00FE010F">
        <w:rPr>
          <w:rFonts w:asciiTheme="majorHAnsi" w:hAnsiTheme="majorHAnsi" w:cs="Arial"/>
          <w:noProof/>
        </w:rPr>
        <w:t>T</w:t>
      </w:r>
      <w:r w:rsidR="00FE010F" w:rsidRPr="00EE45E8">
        <w:rPr>
          <w:rFonts w:asciiTheme="majorHAnsi" w:hAnsiTheme="majorHAnsi" w:cs="Arial"/>
          <w:noProof/>
        </w:rPr>
        <w:t>hese services include organisations working to address domestic and family violence (</w:t>
      </w:r>
      <w:r w:rsidR="008251FD">
        <w:rPr>
          <w:rFonts w:asciiTheme="majorHAnsi" w:hAnsiTheme="majorHAnsi" w:cs="Arial"/>
          <w:noProof/>
        </w:rPr>
        <w:t>such as</w:t>
      </w:r>
      <w:r w:rsidR="00F04A68">
        <w:rPr>
          <w:rFonts w:asciiTheme="majorHAnsi" w:hAnsiTheme="majorHAnsi" w:cs="Arial"/>
          <w:noProof/>
        </w:rPr>
        <w:t xml:space="preserve"> </w:t>
      </w:r>
      <w:r w:rsidR="00FE010F" w:rsidRPr="00EE45E8">
        <w:rPr>
          <w:rFonts w:asciiTheme="majorHAnsi" w:hAnsiTheme="majorHAnsi" w:cs="Arial"/>
          <w:noProof/>
        </w:rPr>
        <w:t>refuges and shelters</w:t>
      </w:r>
      <w:r w:rsidR="00FE010F">
        <w:rPr>
          <w:rFonts w:asciiTheme="majorHAnsi" w:hAnsiTheme="majorHAnsi" w:cs="Arial"/>
          <w:noProof/>
        </w:rPr>
        <w:t>), sexual assault services and rape crisis centers (</w:t>
      </w:r>
      <w:r w:rsidR="007C3E46">
        <w:rPr>
          <w:rFonts w:asciiTheme="majorHAnsi" w:hAnsiTheme="majorHAnsi" w:cs="Arial"/>
          <w:noProof/>
        </w:rPr>
        <w:t xml:space="preserve">some of </w:t>
      </w:r>
      <w:r w:rsidR="00FE010F">
        <w:rPr>
          <w:rFonts w:asciiTheme="majorHAnsi" w:hAnsiTheme="majorHAnsi" w:cs="Arial"/>
          <w:noProof/>
        </w:rPr>
        <w:t xml:space="preserve">which provide support to all people regardless of gender), </w:t>
      </w:r>
      <w:r w:rsidR="00FE010F">
        <w:t>women’s legal services</w:t>
      </w:r>
      <w:r w:rsidR="007C3E46">
        <w:t>, women’s health services</w:t>
      </w:r>
      <w:r w:rsidR="00FE010F">
        <w:t xml:space="preserve"> and organisations </w:t>
      </w:r>
      <w:r w:rsidR="00FE010F">
        <w:rPr>
          <w:rFonts w:asciiTheme="majorHAnsi" w:hAnsiTheme="majorHAnsi" w:cs="Arial"/>
          <w:noProof/>
        </w:rPr>
        <w:t>working with</w:t>
      </w:r>
      <w:r w:rsidR="00887F36">
        <w:rPr>
          <w:rFonts w:asciiTheme="majorHAnsi" w:hAnsiTheme="majorHAnsi" w:cs="Arial"/>
          <w:noProof/>
        </w:rPr>
        <w:t xml:space="preserve"> and led by</w:t>
      </w:r>
      <w:r w:rsidR="00FE010F">
        <w:rPr>
          <w:rFonts w:asciiTheme="majorHAnsi" w:hAnsiTheme="majorHAnsi" w:cs="Arial"/>
          <w:noProof/>
        </w:rPr>
        <w:t xml:space="preserve"> diverse groups of women</w:t>
      </w:r>
      <w:r w:rsidR="00D471C3">
        <w:rPr>
          <w:rFonts w:asciiTheme="majorHAnsi" w:hAnsiTheme="majorHAnsi" w:cs="Arial"/>
          <w:noProof/>
        </w:rPr>
        <w:t>,</w:t>
      </w:r>
      <w:r w:rsidR="00FE010F">
        <w:rPr>
          <w:rFonts w:asciiTheme="majorHAnsi" w:hAnsiTheme="majorHAnsi" w:cs="Arial"/>
          <w:noProof/>
        </w:rPr>
        <w:t xml:space="preserve"> including Aboriginal and Torres Strait Islander women, </w:t>
      </w:r>
      <w:r w:rsidR="008E325D">
        <w:rPr>
          <w:rFonts w:asciiTheme="majorHAnsi" w:hAnsiTheme="majorHAnsi" w:cs="Arial"/>
          <w:noProof/>
        </w:rPr>
        <w:t>migrant and refugee women</w:t>
      </w:r>
      <w:r w:rsidR="00FE010F">
        <w:rPr>
          <w:rFonts w:asciiTheme="majorHAnsi" w:hAnsiTheme="majorHAnsi" w:cs="Arial"/>
          <w:noProof/>
        </w:rPr>
        <w:t>, women with disabilities, LGBTIQ</w:t>
      </w:r>
      <w:r w:rsidR="00EE44C0">
        <w:rPr>
          <w:rFonts w:asciiTheme="majorHAnsi" w:hAnsiTheme="majorHAnsi" w:cs="Arial"/>
          <w:noProof/>
        </w:rPr>
        <w:t>+</w:t>
      </w:r>
      <w:r w:rsidR="00FE010F">
        <w:rPr>
          <w:rFonts w:asciiTheme="majorHAnsi" w:hAnsiTheme="majorHAnsi" w:cs="Arial"/>
          <w:noProof/>
        </w:rPr>
        <w:t xml:space="preserve"> communities</w:t>
      </w:r>
      <w:r w:rsidR="00887F36">
        <w:rPr>
          <w:rFonts w:asciiTheme="majorHAnsi" w:hAnsiTheme="majorHAnsi" w:cs="Arial"/>
          <w:noProof/>
        </w:rPr>
        <w:t xml:space="preserve"> and others</w:t>
      </w:r>
      <w:r w:rsidR="001C5ACF">
        <w:rPr>
          <w:rFonts w:asciiTheme="majorHAnsi" w:hAnsiTheme="majorHAnsi" w:cs="Arial"/>
          <w:noProof/>
        </w:rPr>
        <w:t xml:space="preserve"> (AWAVA, </w:t>
      </w:r>
      <w:r w:rsidR="001C5ACF" w:rsidRPr="001C5ACF">
        <w:rPr>
          <w:rFonts w:asciiTheme="majorHAnsi" w:hAnsiTheme="majorHAnsi" w:cs="Arial"/>
          <w:noProof/>
        </w:rPr>
        <w:t>2016)</w:t>
      </w:r>
      <w:r w:rsidR="00FE010F">
        <w:t>.</w:t>
      </w:r>
      <w:r w:rsidR="00F04A68" w:rsidRPr="00F04A68">
        <w:rPr>
          <w:rFonts w:cs="Arial"/>
        </w:rPr>
        <w:t xml:space="preserve"> </w:t>
      </w:r>
      <w:r w:rsidR="00297F19">
        <w:rPr>
          <w:rFonts w:cs="Arial"/>
        </w:rPr>
        <w:t xml:space="preserve">In order to encompass a whole range of services described above we are referring to them as specialist women’s services. </w:t>
      </w:r>
    </w:p>
    <w:p w:rsidR="007016A8" w:rsidRDefault="007016A8" w:rsidP="007016A8">
      <w:r>
        <w:t xml:space="preserve">Since the majority of victims/survivors of sexual and gender-based violence are women, it is essential that specialist women’s </w:t>
      </w:r>
      <w:r w:rsidRPr="00F849D2">
        <w:t xml:space="preserve"> services</w:t>
      </w:r>
      <w:r>
        <w:t xml:space="preserve"> with demonstrated gender expertise are well</w:t>
      </w:r>
      <w:r w:rsidR="00E83B20">
        <w:t>-</w:t>
      </w:r>
      <w:r>
        <w:t>resourced to continue their work</w:t>
      </w:r>
      <w:r w:rsidRPr="00F849D2">
        <w:t xml:space="preserve"> </w:t>
      </w:r>
      <w:r w:rsidR="00E83B20">
        <w:t>alongside</w:t>
      </w:r>
      <w:r>
        <w:t xml:space="preserve"> community controlled organisations (such as Aboriginal </w:t>
      </w:r>
      <w:r w:rsidR="007C3E46">
        <w:t xml:space="preserve">community </w:t>
      </w:r>
      <w:r>
        <w:t xml:space="preserve">controlled or LGBTIQ+ </w:t>
      </w:r>
      <w:r w:rsidR="008E325D">
        <w:t xml:space="preserve">peer-led </w:t>
      </w:r>
      <w:r>
        <w:t>services) in preventing and responding to sexual and gender-based violence</w:t>
      </w:r>
      <w:r w:rsidR="00E83B20">
        <w:t xml:space="preserve"> (AWAVA, </w:t>
      </w:r>
      <w:r w:rsidR="00E83B20" w:rsidRPr="00F849D2">
        <w:t>2016)</w:t>
      </w:r>
      <w:r>
        <w:t xml:space="preserve">. </w:t>
      </w:r>
    </w:p>
    <w:p w:rsidR="007016A8" w:rsidRDefault="00AA35E4" w:rsidP="007016A8">
      <w:pPr>
        <w:rPr>
          <w:rFonts w:cs="Arial"/>
        </w:rPr>
      </w:pPr>
      <w:r>
        <w:t>The practice model of specialist</w:t>
      </w:r>
      <w:r w:rsidR="007016A8">
        <w:t xml:space="preserve"> women’s services </w:t>
      </w:r>
      <w:r>
        <w:t>is</w:t>
      </w:r>
      <w:r w:rsidR="007016A8" w:rsidRPr="006120BB">
        <w:t xml:space="preserve"> underpinned by a gendered understanding of violence</w:t>
      </w:r>
      <w:r w:rsidR="007016A8">
        <w:t xml:space="preserve"> (</w:t>
      </w:r>
      <w:r w:rsidR="007016A8" w:rsidRPr="00166AC8">
        <w:t>Quee</w:t>
      </w:r>
      <w:r w:rsidR="007016A8">
        <w:t xml:space="preserve">nsland sexual assault services, </w:t>
      </w:r>
      <w:r w:rsidR="007016A8" w:rsidRPr="00166AC8">
        <w:t>2010)</w:t>
      </w:r>
      <w:r w:rsidR="007016A8">
        <w:rPr>
          <w:rFonts w:cs="Arial"/>
        </w:rPr>
        <w:t xml:space="preserve"> </w:t>
      </w:r>
      <w:r>
        <w:rPr>
          <w:rFonts w:cs="Arial"/>
        </w:rPr>
        <w:t>and is</w:t>
      </w:r>
      <w:r w:rsidR="007016A8" w:rsidRPr="006120BB">
        <w:rPr>
          <w:rFonts w:cs="Arial"/>
        </w:rPr>
        <w:t xml:space="preserve"> focused on women</w:t>
      </w:r>
      <w:r w:rsidR="00F13C21">
        <w:rPr>
          <w:rFonts w:cs="Arial"/>
        </w:rPr>
        <w:t>’s</w:t>
      </w:r>
      <w:r w:rsidR="007016A8" w:rsidRPr="006120BB">
        <w:rPr>
          <w:rFonts w:cs="Arial"/>
        </w:rPr>
        <w:t xml:space="preserve"> and children’s safety</w:t>
      </w:r>
      <w:r w:rsidR="007016A8" w:rsidRPr="00166AC8">
        <w:t xml:space="preserve"> </w:t>
      </w:r>
      <w:r w:rsidR="007016A8">
        <w:t>(</w:t>
      </w:r>
      <w:r w:rsidR="007016A8" w:rsidRPr="00166AC8">
        <w:rPr>
          <w:rFonts w:cs="Arial"/>
        </w:rPr>
        <w:t>Victorian Governmen</w:t>
      </w:r>
      <w:r w:rsidR="007016A8">
        <w:rPr>
          <w:rFonts w:cs="Arial"/>
        </w:rPr>
        <w:t xml:space="preserve">t Department of Human Services, </w:t>
      </w:r>
      <w:r w:rsidR="007016A8" w:rsidRPr="00166AC8">
        <w:rPr>
          <w:rFonts w:cs="Arial"/>
        </w:rPr>
        <w:t>2012)</w:t>
      </w:r>
      <w:r w:rsidR="00E83B20">
        <w:rPr>
          <w:rFonts w:cs="Arial"/>
        </w:rPr>
        <w:t xml:space="preserve">. </w:t>
      </w:r>
      <w:r>
        <w:rPr>
          <w:rFonts w:cs="Arial"/>
        </w:rPr>
        <w:t xml:space="preserve">These services </w:t>
      </w:r>
      <w:r w:rsidR="007016A8" w:rsidRPr="006120BB">
        <w:rPr>
          <w:rFonts w:cs="Arial"/>
        </w:rPr>
        <w:t>provid</w:t>
      </w:r>
      <w:r w:rsidR="007016A8">
        <w:rPr>
          <w:rFonts w:cs="Arial"/>
        </w:rPr>
        <w:t>e</w:t>
      </w:r>
      <w:r w:rsidR="007016A8" w:rsidRPr="006120BB">
        <w:rPr>
          <w:rFonts w:cs="Arial"/>
        </w:rPr>
        <w:t xml:space="preserve"> gender and cultural safety</w:t>
      </w:r>
      <w:r w:rsidR="00E83B20">
        <w:rPr>
          <w:rFonts w:cs="Arial"/>
        </w:rPr>
        <w:t xml:space="preserve"> and</w:t>
      </w:r>
      <w:r w:rsidR="007016A8" w:rsidRPr="006120BB">
        <w:rPr>
          <w:rFonts w:cs="Arial"/>
        </w:rPr>
        <w:t xml:space="preserve"> work</w:t>
      </w:r>
      <w:r w:rsidR="007016A8">
        <w:rPr>
          <w:rFonts w:cs="Arial"/>
        </w:rPr>
        <w:t xml:space="preserve"> </w:t>
      </w:r>
      <w:r w:rsidR="007016A8" w:rsidRPr="006120BB">
        <w:rPr>
          <w:rFonts w:cs="Arial"/>
        </w:rPr>
        <w:t>from a client-centred, trauma-</w:t>
      </w:r>
      <w:r w:rsidR="00F13C21">
        <w:rPr>
          <w:rFonts w:cs="Arial"/>
        </w:rPr>
        <w:t>informed</w:t>
      </w:r>
      <w:r w:rsidR="007016A8" w:rsidRPr="006120BB">
        <w:rPr>
          <w:rFonts w:cs="Arial"/>
        </w:rPr>
        <w:t>, empowering framework</w:t>
      </w:r>
      <w:r w:rsidR="007016A8" w:rsidRPr="00166AC8">
        <w:t xml:space="preserve"> </w:t>
      </w:r>
      <w:r w:rsidR="007016A8">
        <w:t>(</w:t>
      </w:r>
      <w:r w:rsidR="007016A8" w:rsidRPr="00166AC8">
        <w:rPr>
          <w:rFonts w:cs="Arial"/>
        </w:rPr>
        <w:t>Allen</w:t>
      </w:r>
      <w:r w:rsidR="007016A8">
        <w:rPr>
          <w:rFonts w:cs="Arial"/>
        </w:rPr>
        <w:t xml:space="preserve"> et al, </w:t>
      </w:r>
      <w:r w:rsidR="007016A8" w:rsidRPr="00166AC8">
        <w:rPr>
          <w:rFonts w:cs="Arial"/>
        </w:rPr>
        <w:t>2012)</w:t>
      </w:r>
      <w:r w:rsidR="00E83B20">
        <w:rPr>
          <w:rFonts w:cs="Arial"/>
        </w:rPr>
        <w:t>. These services also</w:t>
      </w:r>
      <w:r w:rsidR="007016A8" w:rsidRPr="006120BB">
        <w:rPr>
          <w:rFonts w:cs="Arial"/>
        </w:rPr>
        <w:t xml:space="preserve"> support women </w:t>
      </w:r>
      <w:r w:rsidR="00E83B20">
        <w:rPr>
          <w:rFonts w:cs="Arial"/>
        </w:rPr>
        <w:t>in</w:t>
      </w:r>
      <w:r w:rsidR="007016A8" w:rsidRPr="006120BB">
        <w:rPr>
          <w:rFonts w:cs="Arial"/>
        </w:rPr>
        <w:t xml:space="preserve"> navigat</w:t>
      </w:r>
      <w:r w:rsidR="00E83B20">
        <w:rPr>
          <w:rFonts w:cs="Arial"/>
        </w:rPr>
        <w:t>ing</w:t>
      </w:r>
      <w:r w:rsidR="007016A8" w:rsidRPr="006120BB">
        <w:rPr>
          <w:rFonts w:cs="Arial"/>
        </w:rPr>
        <w:t xml:space="preserve"> complex </w:t>
      </w:r>
      <w:r w:rsidRPr="006120BB">
        <w:rPr>
          <w:rFonts w:cs="Arial"/>
        </w:rPr>
        <w:t>systems and</w:t>
      </w:r>
      <w:r w:rsidR="007016A8" w:rsidRPr="006120BB">
        <w:rPr>
          <w:rFonts w:cs="Arial"/>
        </w:rPr>
        <w:t xml:space="preserve"> recognis</w:t>
      </w:r>
      <w:r>
        <w:rPr>
          <w:rFonts w:cs="Arial"/>
        </w:rPr>
        <w:t>e</w:t>
      </w:r>
      <w:r w:rsidR="007016A8" w:rsidRPr="006120BB">
        <w:rPr>
          <w:rFonts w:cs="Arial"/>
        </w:rPr>
        <w:t xml:space="preserve"> children as clients in their own </w:t>
      </w:r>
      <w:r w:rsidR="00E83B20" w:rsidRPr="006120BB">
        <w:rPr>
          <w:rFonts w:cs="Arial"/>
        </w:rPr>
        <w:t>right</w:t>
      </w:r>
      <w:r w:rsidR="00E83B20">
        <w:rPr>
          <w:rFonts w:cs="Arial"/>
        </w:rPr>
        <w:t>. Moreover, they</w:t>
      </w:r>
      <w:r w:rsidR="007016A8" w:rsidRPr="006120BB">
        <w:rPr>
          <w:rFonts w:cs="Arial"/>
        </w:rPr>
        <w:t xml:space="preserve"> </w:t>
      </w:r>
      <w:r w:rsidR="00E83B20">
        <w:rPr>
          <w:rFonts w:cs="Arial"/>
        </w:rPr>
        <w:t xml:space="preserve">promote the advancement of </w:t>
      </w:r>
      <w:r w:rsidR="007016A8" w:rsidRPr="006120BB">
        <w:rPr>
          <w:rFonts w:cs="Arial"/>
        </w:rPr>
        <w:t>gender equality</w:t>
      </w:r>
      <w:r w:rsidR="00E83B20">
        <w:rPr>
          <w:rFonts w:cs="Arial"/>
        </w:rPr>
        <w:t xml:space="preserve"> by</w:t>
      </w:r>
      <w:r w:rsidR="007016A8" w:rsidRPr="006120BB">
        <w:rPr>
          <w:rFonts w:cs="Arial"/>
        </w:rPr>
        <w:t xml:space="preserve"> recognising the complexity of intersectionality</w:t>
      </w:r>
      <w:r w:rsidR="007016A8">
        <w:rPr>
          <w:rFonts w:cs="Arial"/>
        </w:rPr>
        <w:t>,</w:t>
      </w:r>
      <w:r w:rsidR="007016A8" w:rsidRPr="006120BB">
        <w:rPr>
          <w:rFonts w:cs="Arial"/>
        </w:rPr>
        <w:t xml:space="preserve"> and </w:t>
      </w:r>
      <w:r w:rsidR="00E83B20">
        <w:rPr>
          <w:rFonts w:cs="Arial"/>
        </w:rPr>
        <w:t xml:space="preserve">acknowledging </w:t>
      </w:r>
      <w:r w:rsidR="007016A8" w:rsidRPr="006120BB">
        <w:rPr>
          <w:rFonts w:cs="Arial"/>
        </w:rPr>
        <w:t xml:space="preserve">that </w:t>
      </w:r>
      <w:r w:rsidR="00E83B20">
        <w:rPr>
          <w:rFonts w:cs="Arial"/>
        </w:rPr>
        <w:t>victims/survivors</w:t>
      </w:r>
      <w:r w:rsidR="00E83B20" w:rsidRPr="006120BB">
        <w:rPr>
          <w:rFonts w:cs="Arial"/>
        </w:rPr>
        <w:t xml:space="preserve"> </w:t>
      </w:r>
      <w:r w:rsidR="007016A8" w:rsidRPr="006120BB">
        <w:rPr>
          <w:rFonts w:cs="Arial"/>
        </w:rPr>
        <w:t>are best qualified to decide their pathway to recovery from violence and trauma</w:t>
      </w:r>
      <w:r w:rsidR="007016A8" w:rsidRPr="00166AC8">
        <w:t xml:space="preserve"> </w:t>
      </w:r>
      <w:r w:rsidR="007016A8">
        <w:t>(</w:t>
      </w:r>
      <w:r w:rsidR="007016A8">
        <w:rPr>
          <w:rFonts w:cs="Arial"/>
        </w:rPr>
        <w:t xml:space="preserve">Zweig and Burt, </w:t>
      </w:r>
      <w:r w:rsidR="007016A8" w:rsidRPr="00166AC8">
        <w:rPr>
          <w:rFonts w:cs="Arial"/>
        </w:rPr>
        <w:t>2007)</w:t>
      </w:r>
      <w:r w:rsidR="007016A8" w:rsidRPr="006120BB">
        <w:rPr>
          <w:rFonts w:cs="Arial"/>
        </w:rPr>
        <w:t>.</w:t>
      </w:r>
    </w:p>
    <w:p w:rsidR="007016A8" w:rsidRDefault="007016A8" w:rsidP="007016A8">
      <w:pPr>
        <w:rPr>
          <w:rFonts w:asciiTheme="majorHAnsi" w:hAnsiTheme="majorHAnsi" w:cs="Arial"/>
          <w:color w:val="000000" w:themeColor="text1"/>
        </w:rPr>
      </w:pPr>
      <w:r w:rsidRPr="00505AE3">
        <w:t xml:space="preserve">Specialist women’s </w:t>
      </w:r>
      <w:r w:rsidRPr="00E30E15">
        <w:t xml:space="preserve">services </w:t>
      </w:r>
      <w:r>
        <w:t xml:space="preserve">provide expert, integrated and coordinated support </w:t>
      </w:r>
      <w:r w:rsidR="00E83B20">
        <w:t>for victims/survivors</w:t>
      </w:r>
      <w:r w:rsidR="008E325D">
        <w:t xml:space="preserve"> and </w:t>
      </w:r>
      <w:r w:rsidRPr="00505AE3">
        <w:t>contribute to better</w:t>
      </w:r>
      <w:r>
        <w:t xml:space="preserve"> </w:t>
      </w:r>
      <w:r w:rsidRPr="00505AE3">
        <w:t>long and short-term outcomes</w:t>
      </w:r>
      <w:r>
        <w:t xml:space="preserve"> </w:t>
      </w:r>
      <w:r w:rsidRPr="00505AE3">
        <w:t>for women and children</w:t>
      </w:r>
      <w:r>
        <w:t xml:space="preserve"> who have been subjected to violence. T</w:t>
      </w:r>
      <w:r w:rsidRPr="00505AE3">
        <w:t xml:space="preserve">hey have a greater capacity to </w:t>
      </w:r>
      <w:r w:rsidRPr="00505AE3">
        <w:rPr>
          <w:lang w:val="en-US"/>
        </w:rPr>
        <w:t xml:space="preserve">recognise and dismantle barriers, and to counteract negative social messages and myths </w:t>
      </w:r>
      <w:r w:rsidRPr="00505AE3">
        <w:t>that may deter or undermine women’s disclosure of violence</w:t>
      </w:r>
      <w:r>
        <w:t xml:space="preserve"> (</w:t>
      </w:r>
      <w:r w:rsidRPr="00462297">
        <w:t>Quee</w:t>
      </w:r>
      <w:r>
        <w:t xml:space="preserve">nsland sexual assault services, </w:t>
      </w:r>
      <w:r w:rsidRPr="00462297">
        <w:t>2010)</w:t>
      </w:r>
      <w:r w:rsidRPr="00505AE3">
        <w:t>. Research in the United Kingdom has shown that women would often not have sought support for themselves and their children if services had been mainstream</w:t>
      </w:r>
      <w:r w:rsidR="00E83B20">
        <w:t>ed</w:t>
      </w:r>
      <w:r w:rsidRPr="00505AE3">
        <w:t>, as compared to specialist women’s services</w:t>
      </w:r>
      <w:r>
        <w:t xml:space="preserve"> (Women’s Resource Centre, </w:t>
      </w:r>
      <w:r w:rsidRPr="00462297">
        <w:t>2007)</w:t>
      </w:r>
      <w:r w:rsidRPr="00505AE3">
        <w:t xml:space="preserve">. </w:t>
      </w:r>
      <w:r w:rsidRPr="00A0023B">
        <w:t>As a result, women-</w:t>
      </w:r>
      <w:r w:rsidR="008251FD">
        <w:t>centred</w:t>
      </w:r>
      <w:r w:rsidR="008251FD" w:rsidRPr="00376AB1">
        <w:t xml:space="preserve"> </w:t>
      </w:r>
      <w:r w:rsidRPr="00376AB1">
        <w:t>and women-led services are widely acknowledged in international minimum support standards and frameworks</w:t>
      </w:r>
      <w:r w:rsidRPr="00A0023B">
        <w:t xml:space="preserve"> (Council of Europe, 2008</w:t>
      </w:r>
      <w:r w:rsidR="00BA0005">
        <w:t xml:space="preserve">, </w:t>
      </w:r>
      <w:r w:rsidR="00BA0005" w:rsidRPr="00BA0005">
        <w:t>UN Women</w:t>
      </w:r>
      <w:r w:rsidR="00BA0005">
        <w:t xml:space="preserve"> et al.</w:t>
      </w:r>
      <w:r w:rsidR="007C3E46">
        <w:t>,</w:t>
      </w:r>
      <w:r w:rsidR="00BA0005" w:rsidRPr="00BA0005">
        <w:t xml:space="preserve"> 2016</w:t>
      </w:r>
      <w:r w:rsidRPr="00A0023B">
        <w:t>).</w:t>
      </w:r>
      <w:r w:rsidRPr="00E83A7D">
        <w:rPr>
          <w:rFonts w:asciiTheme="majorHAnsi" w:hAnsiTheme="majorHAnsi" w:cs="Arial"/>
          <w:color w:val="000000" w:themeColor="text1"/>
        </w:rPr>
        <w:t xml:space="preserve"> </w:t>
      </w:r>
      <w:r>
        <w:rPr>
          <w:rFonts w:asciiTheme="majorHAnsi" w:hAnsiTheme="majorHAnsi" w:cs="Arial"/>
          <w:color w:val="000000" w:themeColor="text1"/>
        </w:rPr>
        <w:t xml:space="preserve">This is consistent with evidence from </w:t>
      </w:r>
      <w:r>
        <w:t>Aboriginal</w:t>
      </w:r>
      <w:r>
        <w:rPr>
          <w:rFonts w:asciiTheme="majorHAnsi" w:hAnsiTheme="majorHAnsi" w:cs="Arial"/>
          <w:color w:val="000000" w:themeColor="text1"/>
        </w:rPr>
        <w:t xml:space="preserve"> </w:t>
      </w:r>
      <w:r w:rsidR="007C3E46">
        <w:rPr>
          <w:rFonts w:asciiTheme="majorHAnsi" w:hAnsiTheme="majorHAnsi" w:cs="Arial"/>
          <w:color w:val="000000" w:themeColor="text1"/>
        </w:rPr>
        <w:t xml:space="preserve">and Torres Strait Islander </w:t>
      </w:r>
      <w:r>
        <w:rPr>
          <w:rFonts w:asciiTheme="majorHAnsi" w:hAnsiTheme="majorHAnsi" w:cs="Arial"/>
          <w:color w:val="000000" w:themeColor="text1"/>
        </w:rPr>
        <w:t>community controlled services that</w:t>
      </w:r>
      <w:r w:rsidR="00660F70">
        <w:rPr>
          <w:rFonts w:asciiTheme="majorHAnsi" w:hAnsiTheme="majorHAnsi" w:cs="Arial"/>
          <w:color w:val="000000" w:themeColor="text1"/>
        </w:rPr>
        <w:t xml:space="preserve"> embed cultural safety and </w:t>
      </w:r>
      <w:r>
        <w:rPr>
          <w:rFonts w:asciiTheme="majorHAnsi" w:hAnsiTheme="majorHAnsi" w:cs="Arial"/>
          <w:color w:val="000000" w:themeColor="text1"/>
        </w:rPr>
        <w:t>are more effective than generalist services (</w:t>
      </w:r>
      <w:r w:rsidRPr="00323633">
        <w:rPr>
          <w:rFonts w:asciiTheme="majorHAnsi" w:hAnsiTheme="majorHAnsi" w:cs="Arial"/>
          <w:color w:val="000000" w:themeColor="text1"/>
        </w:rPr>
        <w:t>Panaretto</w:t>
      </w:r>
      <w:r>
        <w:rPr>
          <w:rFonts w:asciiTheme="majorHAnsi" w:hAnsiTheme="majorHAnsi" w:cs="Arial"/>
          <w:color w:val="000000" w:themeColor="text1"/>
        </w:rPr>
        <w:t xml:space="preserve"> et al., 2014). </w:t>
      </w:r>
    </w:p>
    <w:p w:rsidR="007016A8" w:rsidRDefault="007016A8" w:rsidP="007016A8">
      <w:pPr>
        <w:rPr>
          <w:rFonts w:asciiTheme="majorHAnsi" w:hAnsiTheme="majorHAnsi" w:cs="Arial"/>
          <w:color w:val="000000" w:themeColor="text1"/>
        </w:rPr>
      </w:pPr>
      <w:r w:rsidRPr="003D45C9">
        <w:rPr>
          <w:rFonts w:asciiTheme="majorHAnsi" w:hAnsiTheme="majorHAnsi" w:cs="Arial"/>
          <w:color w:val="000000" w:themeColor="text1"/>
        </w:rPr>
        <w:t xml:space="preserve">Specialist women’s services </w:t>
      </w:r>
      <w:r w:rsidRPr="00E83A7D">
        <w:rPr>
          <w:rFonts w:asciiTheme="majorHAnsi" w:hAnsiTheme="majorHAnsi" w:cs="Arial"/>
          <w:color w:val="000000" w:themeColor="text1"/>
        </w:rPr>
        <w:t xml:space="preserve">work with other </w:t>
      </w:r>
      <w:r w:rsidR="00B8656B">
        <w:rPr>
          <w:rFonts w:asciiTheme="majorHAnsi" w:hAnsiTheme="majorHAnsi" w:cs="Arial"/>
          <w:color w:val="000000" w:themeColor="text1"/>
        </w:rPr>
        <w:t xml:space="preserve">specialist women’s </w:t>
      </w:r>
      <w:r w:rsidRPr="00E83A7D">
        <w:rPr>
          <w:rFonts w:asciiTheme="majorHAnsi" w:hAnsiTheme="majorHAnsi" w:cs="Arial"/>
          <w:color w:val="000000" w:themeColor="text1"/>
        </w:rPr>
        <w:t xml:space="preserve">organisations, including women’s legal services, women’s health </w:t>
      </w:r>
      <w:r w:rsidR="00660F70">
        <w:rPr>
          <w:rFonts w:asciiTheme="majorHAnsi" w:hAnsiTheme="majorHAnsi" w:cs="Arial"/>
          <w:color w:val="000000" w:themeColor="text1"/>
        </w:rPr>
        <w:t>services</w:t>
      </w:r>
      <w:r w:rsidRPr="00E83A7D">
        <w:rPr>
          <w:rFonts w:asciiTheme="majorHAnsi" w:hAnsiTheme="majorHAnsi" w:cs="Arial"/>
          <w:color w:val="000000" w:themeColor="text1"/>
        </w:rPr>
        <w:t xml:space="preserve">, women’s information services, working women’s centres and services </w:t>
      </w:r>
      <w:r w:rsidR="00660F70">
        <w:rPr>
          <w:rFonts w:asciiTheme="majorHAnsi" w:hAnsiTheme="majorHAnsi" w:cs="Arial"/>
          <w:color w:val="000000" w:themeColor="text1"/>
        </w:rPr>
        <w:t>led by</w:t>
      </w:r>
      <w:r w:rsidR="00660F70" w:rsidRPr="00E83A7D">
        <w:rPr>
          <w:rFonts w:asciiTheme="majorHAnsi" w:hAnsiTheme="majorHAnsi" w:cs="Arial"/>
          <w:color w:val="000000" w:themeColor="text1"/>
        </w:rPr>
        <w:t xml:space="preserve"> </w:t>
      </w:r>
      <w:r w:rsidRPr="00E83A7D">
        <w:rPr>
          <w:rFonts w:asciiTheme="majorHAnsi" w:hAnsiTheme="majorHAnsi" w:cs="Arial"/>
          <w:color w:val="000000" w:themeColor="text1"/>
        </w:rPr>
        <w:t xml:space="preserve">diverse groups of women, to provide holistic support to women and their children so they can live free of violence. While some services responding to violence also provide support to men and </w:t>
      </w:r>
      <w:r>
        <w:rPr>
          <w:rFonts w:asciiTheme="majorHAnsi" w:hAnsiTheme="majorHAnsi" w:cs="Arial"/>
          <w:color w:val="000000" w:themeColor="text1"/>
        </w:rPr>
        <w:t>non-</w:t>
      </w:r>
      <w:r w:rsidRPr="00E83A7D">
        <w:rPr>
          <w:rFonts w:asciiTheme="majorHAnsi" w:hAnsiTheme="majorHAnsi" w:cs="Arial"/>
          <w:color w:val="000000" w:themeColor="text1"/>
        </w:rPr>
        <w:t>binary</w:t>
      </w:r>
      <w:r>
        <w:rPr>
          <w:rFonts w:asciiTheme="majorHAnsi" w:hAnsiTheme="majorHAnsi" w:cs="Arial"/>
          <w:color w:val="000000" w:themeColor="text1"/>
        </w:rPr>
        <w:t xml:space="preserve"> people</w:t>
      </w:r>
      <w:r w:rsidRPr="00E83A7D">
        <w:rPr>
          <w:rFonts w:asciiTheme="majorHAnsi" w:hAnsiTheme="majorHAnsi" w:cs="Arial"/>
          <w:color w:val="000000" w:themeColor="text1"/>
        </w:rPr>
        <w:t>, they do so in a way that also recognises the gendered dynamics of violence. These services work not only to support victims/survivors “but also to collectively transform the conditions of society that make violence possible in the first place, through primary prevention strategies, systemic advocacy, political reform and social change campaigning.”</w:t>
      </w:r>
      <w:r w:rsidRPr="00E83A7D">
        <w:rPr>
          <w:rFonts w:asciiTheme="majorHAnsi" w:hAnsiTheme="majorHAnsi" w:cs="Arial"/>
          <w:color w:val="000000" w:themeColor="text1"/>
          <w:vertAlign w:val="superscript"/>
        </w:rPr>
        <w:footnoteReference w:id="3"/>
      </w:r>
      <w:r>
        <w:rPr>
          <w:rFonts w:asciiTheme="majorHAnsi" w:hAnsiTheme="majorHAnsi" w:cs="Arial"/>
          <w:color w:val="000000" w:themeColor="text1"/>
        </w:rPr>
        <w:t xml:space="preserve"> </w:t>
      </w:r>
      <w:r w:rsidRPr="0026440C">
        <w:rPr>
          <w:rFonts w:asciiTheme="majorHAnsi" w:hAnsiTheme="majorHAnsi" w:cs="Arial"/>
          <w:color w:val="000000" w:themeColor="text1"/>
        </w:rPr>
        <w:t>Being</w:t>
      </w:r>
      <w:r w:rsidRPr="00E83A7D">
        <w:rPr>
          <w:rFonts w:asciiTheme="majorHAnsi" w:hAnsiTheme="majorHAnsi" w:cs="Arial"/>
          <w:color w:val="000000" w:themeColor="text1"/>
        </w:rPr>
        <w:t xml:space="preserve"> attentive to existing power imbalance, these services seek to restore power, dignity and strength to victims</w:t>
      </w:r>
      <w:r w:rsidR="00660F70">
        <w:rPr>
          <w:rFonts w:asciiTheme="majorHAnsi" w:hAnsiTheme="majorHAnsi" w:cs="Arial"/>
          <w:color w:val="000000" w:themeColor="text1"/>
        </w:rPr>
        <w:t>/survivors</w:t>
      </w:r>
      <w:r w:rsidRPr="00E83A7D">
        <w:rPr>
          <w:rFonts w:asciiTheme="majorHAnsi" w:hAnsiTheme="majorHAnsi" w:cs="Arial"/>
          <w:color w:val="000000" w:themeColor="text1"/>
        </w:rPr>
        <w:t xml:space="preserve">, while advocating more broadly for social justice and equality, in the recognition that </w:t>
      </w:r>
      <w:r w:rsidRPr="00E83A7D">
        <w:rPr>
          <w:rFonts w:asciiTheme="majorHAnsi" w:hAnsiTheme="majorHAnsi" w:cs="Arial"/>
          <w:color w:val="000000" w:themeColor="text1"/>
        </w:rPr>
        <w:lastRenderedPageBreak/>
        <w:t>people of all genders experience detrimental consequences of rigid gender expectations and the violent use of power</w:t>
      </w:r>
      <w:r>
        <w:rPr>
          <w:rFonts w:asciiTheme="majorHAnsi" w:hAnsiTheme="majorHAnsi" w:cs="Arial"/>
          <w:color w:val="000000" w:themeColor="text1"/>
        </w:rPr>
        <w:t xml:space="preserve"> (</w:t>
      </w:r>
      <w:r w:rsidRPr="003D45C9">
        <w:rPr>
          <w:rFonts w:asciiTheme="majorHAnsi" w:hAnsiTheme="majorHAnsi" w:cs="Arial"/>
          <w:color w:val="000000" w:themeColor="text1"/>
        </w:rPr>
        <w:t>National Association of Se</w:t>
      </w:r>
      <w:r>
        <w:rPr>
          <w:rFonts w:asciiTheme="majorHAnsi" w:hAnsiTheme="majorHAnsi" w:cs="Arial"/>
          <w:color w:val="000000" w:themeColor="text1"/>
        </w:rPr>
        <w:t xml:space="preserve">rvices Against Sexual Violence, </w:t>
      </w:r>
      <w:r w:rsidRPr="003D45C9">
        <w:rPr>
          <w:rFonts w:asciiTheme="majorHAnsi" w:hAnsiTheme="majorHAnsi" w:cs="Arial"/>
          <w:color w:val="000000" w:themeColor="text1"/>
        </w:rPr>
        <w:t>2015)</w:t>
      </w:r>
      <w:r w:rsidR="00370352">
        <w:rPr>
          <w:rFonts w:asciiTheme="majorHAnsi" w:hAnsiTheme="majorHAnsi" w:cs="Arial"/>
          <w:color w:val="000000" w:themeColor="text1"/>
        </w:rPr>
        <w:t>.</w:t>
      </w:r>
    </w:p>
    <w:p w:rsidR="007016A8" w:rsidRDefault="007016A8" w:rsidP="007016A8"/>
    <w:p w:rsidR="007016A8" w:rsidRDefault="007016A8" w:rsidP="00AA35E4">
      <w:pPr>
        <w:pStyle w:val="Heading3"/>
      </w:pPr>
      <w:r>
        <w:t>Using this brochure</w:t>
      </w:r>
    </w:p>
    <w:p w:rsidR="004965AC" w:rsidRDefault="004965AC" w:rsidP="004965AC">
      <w:r>
        <w:rPr>
          <w:rFonts w:cs="Arial"/>
        </w:rPr>
        <w:t xml:space="preserve">To produce this brochure, we’ve </w:t>
      </w:r>
      <w:r w:rsidR="00297F19">
        <w:rPr>
          <w:rFonts w:cs="Arial"/>
        </w:rPr>
        <w:t xml:space="preserve">drawn on </w:t>
      </w:r>
      <w:r>
        <w:rPr>
          <w:rFonts w:cs="Arial"/>
        </w:rPr>
        <w:t xml:space="preserve">AWAVA’s </w:t>
      </w:r>
      <w:r w:rsidR="007D5656">
        <w:rPr>
          <w:rFonts w:cs="Arial"/>
        </w:rPr>
        <w:t xml:space="preserve">2016 </w:t>
      </w:r>
      <w:r>
        <w:rPr>
          <w:rFonts w:cs="Arial"/>
        </w:rPr>
        <w:t xml:space="preserve">Policy Brief on the unique role of specialist women’s services in ending violence against women which outlined their practice model </w:t>
      </w:r>
      <w:r>
        <w:rPr>
          <w:rFonts w:asciiTheme="majorHAnsi" w:hAnsiTheme="majorHAnsi" w:cs="Arial"/>
          <w:noProof/>
        </w:rPr>
        <w:t xml:space="preserve">(AWAVA, </w:t>
      </w:r>
      <w:r w:rsidRPr="001C5ACF">
        <w:rPr>
          <w:rFonts w:asciiTheme="majorHAnsi" w:hAnsiTheme="majorHAnsi" w:cs="Arial"/>
          <w:noProof/>
        </w:rPr>
        <w:t>2016)</w:t>
      </w:r>
      <w:r>
        <w:t xml:space="preserve">. In addition, </w:t>
      </w:r>
      <w:r w:rsidR="00297F19">
        <w:t>using the good practice principles outlined in</w:t>
      </w:r>
      <w:r>
        <w:t xml:space="preserve"> this brief</w:t>
      </w:r>
      <w:r w:rsidR="00297F19">
        <w:t>,</w:t>
      </w:r>
      <w:r>
        <w:rPr>
          <w:rFonts w:cs="Arial"/>
        </w:rPr>
        <w:t xml:space="preserve"> in 2020, we conducted a survey of the victims/survivors’ experience of services</w:t>
      </w:r>
      <w:r w:rsidR="00297F19">
        <w:rPr>
          <w:rFonts w:cs="Arial"/>
        </w:rPr>
        <w:t xml:space="preserve"> with an aim to identify their views on effective and responsive service provision</w:t>
      </w:r>
      <w:r>
        <w:rPr>
          <w:rFonts w:cs="Arial"/>
        </w:rPr>
        <w:t xml:space="preserve">. </w:t>
      </w:r>
      <w:r>
        <w:t xml:space="preserve">Victims/survivors reported that </w:t>
      </w:r>
      <w:r w:rsidR="00297F19">
        <w:t xml:space="preserve">when they accessed </w:t>
      </w:r>
      <w:r w:rsidRPr="001F3AAE">
        <w:t xml:space="preserve">specialist </w:t>
      </w:r>
      <w:r>
        <w:t xml:space="preserve">women’s </w:t>
      </w:r>
      <w:r w:rsidR="00297F19" w:rsidRPr="001F3AAE">
        <w:t>services,</w:t>
      </w:r>
      <w:r w:rsidRPr="001F3AAE">
        <w:t xml:space="preserve"> </w:t>
      </w:r>
      <w:r w:rsidR="00297F19">
        <w:t xml:space="preserve">they </w:t>
      </w:r>
      <w:r>
        <w:t>were better equipped to</w:t>
      </w:r>
      <w:r w:rsidRPr="001F3AAE">
        <w:t xml:space="preserve"> support </w:t>
      </w:r>
      <w:r w:rsidR="00297F19">
        <w:t>them</w:t>
      </w:r>
      <w:r>
        <w:t xml:space="preserve">, compared to </w:t>
      </w:r>
      <w:r w:rsidR="00297F19">
        <w:t xml:space="preserve">the experiences with </w:t>
      </w:r>
      <w:r>
        <w:t>general</w:t>
      </w:r>
      <w:r w:rsidR="00297F19">
        <w:t>ist</w:t>
      </w:r>
      <w:r>
        <w:t xml:space="preserve"> services (AWAVA, 2020). We’ve used both documents as well as available </w:t>
      </w:r>
      <w:r w:rsidR="007D5656">
        <w:t xml:space="preserve">sector </w:t>
      </w:r>
      <w:r>
        <w:t xml:space="preserve">practice guidelines to issue this 2020 update of the Good Practice Principles. </w:t>
      </w:r>
    </w:p>
    <w:p w:rsidR="007016A8" w:rsidRDefault="0021727B" w:rsidP="008E325D">
      <w:r>
        <w:t xml:space="preserve">The purpose of this brochure </w:t>
      </w:r>
      <w:r w:rsidR="007D5656">
        <w:t xml:space="preserve">is </w:t>
      </w:r>
      <w:r>
        <w:t xml:space="preserve">to </w:t>
      </w:r>
      <w:r w:rsidR="008E325D">
        <w:t>synthesise</w:t>
      </w:r>
      <w:r w:rsidR="00FE010F">
        <w:t xml:space="preserve"> the unique and effective practice model </w:t>
      </w:r>
      <w:r w:rsidR="008E5794">
        <w:t xml:space="preserve">derived </w:t>
      </w:r>
      <w:r w:rsidR="00FE010F">
        <w:t xml:space="preserve">from the specialist women’s services to inform policy direction and practices of generalist services who also work with victims/survivors of sexual and gender-based violence. </w:t>
      </w:r>
      <w:r w:rsidR="009501B8">
        <w:t>We use the language of ‘specialist women’s</w:t>
      </w:r>
      <w:r w:rsidR="00BA0005">
        <w:t xml:space="preserve"> </w:t>
      </w:r>
      <w:r w:rsidR="009501B8">
        <w:t>service</w:t>
      </w:r>
      <w:r w:rsidR="00660F70">
        <w:t>s</w:t>
      </w:r>
      <w:r w:rsidR="009501B8">
        <w:t xml:space="preserve">’ to draw on their practice model and to outline required expertise </w:t>
      </w:r>
      <w:r w:rsidR="007D5656">
        <w:t>however</w:t>
      </w:r>
      <w:r w:rsidR="009501B8">
        <w:t xml:space="preserve"> we </w:t>
      </w:r>
      <w:r w:rsidR="007D5656">
        <w:t xml:space="preserve">also </w:t>
      </w:r>
      <w:r w:rsidR="009501B8">
        <w:t>recognise the role community-led and –controlled organisation</w:t>
      </w:r>
      <w:r w:rsidR="00443718">
        <w:t>s</w:t>
      </w:r>
      <w:r w:rsidR="009501B8">
        <w:t xml:space="preserve"> play in prevention and responses. Applying th</w:t>
      </w:r>
      <w:r w:rsidR="007D5656">
        <w:t>ese principles</w:t>
      </w:r>
      <w:r w:rsidR="009501B8">
        <w:t xml:space="preserve"> </w:t>
      </w:r>
      <w:r w:rsidR="00FE010F">
        <w:t xml:space="preserve">will result in safe, just and effective outcomes for victims/survivors </w:t>
      </w:r>
      <w:r w:rsidR="00887F36">
        <w:t>regardless</w:t>
      </w:r>
      <w:r w:rsidR="007D5656">
        <w:t xml:space="preserve"> of</w:t>
      </w:r>
      <w:r w:rsidR="00887F36">
        <w:t xml:space="preserve"> their backgrounds. </w:t>
      </w:r>
    </w:p>
    <w:p w:rsidR="00FE010F" w:rsidRDefault="00FE010F" w:rsidP="00FA15CF">
      <w:pPr>
        <w:rPr>
          <w:rFonts w:asciiTheme="majorHAnsi" w:hAnsiTheme="majorHAnsi" w:cs="Arial"/>
          <w:color w:val="000000" w:themeColor="text1"/>
        </w:rPr>
      </w:pPr>
      <w:r>
        <w:rPr>
          <w:rFonts w:asciiTheme="majorHAnsi" w:hAnsiTheme="majorHAnsi" w:cs="Arial"/>
          <w:color w:val="000000" w:themeColor="text1"/>
        </w:rPr>
        <w:t xml:space="preserve">There are </w:t>
      </w:r>
      <w:r w:rsidR="006D59A2">
        <w:rPr>
          <w:rFonts w:asciiTheme="majorHAnsi" w:hAnsiTheme="majorHAnsi" w:cs="Arial"/>
          <w:color w:val="000000" w:themeColor="text1"/>
        </w:rPr>
        <w:t>eight</w:t>
      </w:r>
      <w:r>
        <w:rPr>
          <w:rFonts w:asciiTheme="majorHAnsi" w:hAnsiTheme="majorHAnsi" w:cs="Arial"/>
          <w:color w:val="000000" w:themeColor="text1"/>
        </w:rPr>
        <w:t xml:space="preserve"> Good Practice Principles </w:t>
      </w:r>
      <w:r w:rsidR="003D45C9">
        <w:rPr>
          <w:rFonts w:asciiTheme="majorHAnsi" w:hAnsiTheme="majorHAnsi" w:cs="Arial"/>
          <w:color w:val="000000" w:themeColor="text1"/>
        </w:rPr>
        <w:t>outlined in this document</w:t>
      </w:r>
      <w:r>
        <w:rPr>
          <w:rFonts w:asciiTheme="majorHAnsi" w:hAnsiTheme="majorHAnsi" w:cs="Arial"/>
          <w:color w:val="000000" w:themeColor="text1"/>
        </w:rPr>
        <w:t>:</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 xml:space="preserve">Principle 1: A human </w:t>
      </w:r>
      <w:r w:rsidRPr="006D59A2">
        <w:rPr>
          <w:rFonts w:asciiTheme="majorHAnsi" w:hAnsiTheme="majorHAnsi" w:cs="Arial"/>
          <w:color w:val="000000" w:themeColor="text1"/>
        </w:rPr>
        <w:t>rights-based</w:t>
      </w:r>
      <w:r w:rsidRPr="00370352">
        <w:rPr>
          <w:rFonts w:asciiTheme="majorHAnsi" w:hAnsiTheme="majorHAnsi" w:cs="Arial"/>
          <w:color w:val="000000" w:themeColor="text1"/>
        </w:rPr>
        <w:t xml:space="preserve"> approach</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2: An intersectional feminist approach</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3: A victim/survivor centred practice and their empowerment</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4: Safety and risk focus</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5: Trauma-informed practice</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6: Perpetrator accountability</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7: Confidentiality, organisational accountability and service responsiveness</w:t>
      </w:r>
    </w:p>
    <w:p w:rsidR="0021727B" w:rsidRPr="00370352" w:rsidRDefault="0021727B" w:rsidP="0021727B">
      <w:pPr>
        <w:pStyle w:val="ListParagraph"/>
        <w:numPr>
          <w:ilvl w:val="0"/>
          <w:numId w:val="26"/>
        </w:numPr>
        <w:rPr>
          <w:rFonts w:asciiTheme="majorHAnsi" w:hAnsiTheme="majorHAnsi" w:cs="Arial"/>
          <w:color w:val="000000" w:themeColor="text1"/>
        </w:rPr>
      </w:pPr>
      <w:r w:rsidRPr="00370352">
        <w:rPr>
          <w:rFonts w:asciiTheme="majorHAnsi" w:hAnsiTheme="majorHAnsi" w:cs="Arial"/>
          <w:color w:val="000000" w:themeColor="text1"/>
        </w:rPr>
        <w:t>Principle 8: Interagency collaboration</w:t>
      </w:r>
    </w:p>
    <w:p w:rsidR="006D59A2" w:rsidRDefault="008E5794" w:rsidP="003D45C9">
      <w:pPr>
        <w:rPr>
          <w:rFonts w:asciiTheme="majorHAnsi" w:hAnsiTheme="majorHAnsi" w:cs="Arial"/>
          <w:color w:val="000000" w:themeColor="text1"/>
        </w:rPr>
      </w:pPr>
      <w:r>
        <w:rPr>
          <w:rFonts w:asciiTheme="majorHAnsi" w:hAnsiTheme="majorHAnsi" w:cs="Arial"/>
          <w:color w:val="000000" w:themeColor="text1"/>
        </w:rPr>
        <w:t>All these good practice principles are being applied by the specialist women’s services. They</w:t>
      </w:r>
      <w:r w:rsidR="00FE010F" w:rsidRPr="00E83A7D">
        <w:rPr>
          <w:rFonts w:asciiTheme="majorHAnsi" w:hAnsiTheme="majorHAnsi" w:cs="Arial"/>
          <w:color w:val="000000" w:themeColor="text1"/>
        </w:rPr>
        <w:t xml:space="preserve"> buil</w:t>
      </w:r>
      <w:r>
        <w:rPr>
          <w:rFonts w:asciiTheme="majorHAnsi" w:hAnsiTheme="majorHAnsi" w:cs="Arial"/>
          <w:color w:val="000000" w:themeColor="text1"/>
        </w:rPr>
        <w:t>d</w:t>
      </w:r>
      <w:r w:rsidR="00FE010F" w:rsidRPr="00E83A7D">
        <w:rPr>
          <w:rFonts w:asciiTheme="majorHAnsi" w:hAnsiTheme="majorHAnsi" w:cs="Arial"/>
          <w:color w:val="000000" w:themeColor="text1"/>
        </w:rPr>
        <w:t xml:space="preserve"> on feminist and social justice approaches to responding to sexual and gen</w:t>
      </w:r>
      <w:r w:rsidR="00FE010F">
        <w:rPr>
          <w:rFonts w:asciiTheme="majorHAnsi" w:hAnsiTheme="majorHAnsi" w:cs="Arial"/>
          <w:color w:val="000000" w:themeColor="text1"/>
        </w:rPr>
        <w:t>der-based violence</w:t>
      </w:r>
      <w:r w:rsidR="00FE010F" w:rsidRPr="00E83A7D">
        <w:rPr>
          <w:rFonts w:asciiTheme="majorHAnsi" w:hAnsiTheme="majorHAnsi" w:cs="Arial"/>
          <w:color w:val="000000" w:themeColor="text1"/>
        </w:rPr>
        <w:t xml:space="preserve"> and </w:t>
      </w:r>
      <w:r w:rsidR="00F03A2D">
        <w:rPr>
          <w:rFonts w:asciiTheme="majorHAnsi" w:hAnsiTheme="majorHAnsi" w:cs="Arial"/>
          <w:color w:val="000000" w:themeColor="text1"/>
        </w:rPr>
        <w:t>are</w:t>
      </w:r>
      <w:r w:rsidR="00FE010F" w:rsidRPr="00E83A7D">
        <w:rPr>
          <w:rFonts w:asciiTheme="majorHAnsi" w:hAnsiTheme="majorHAnsi" w:cs="Arial"/>
          <w:color w:val="000000" w:themeColor="text1"/>
        </w:rPr>
        <w:t xml:space="preserve"> informed by the gendered understanding of </w:t>
      </w:r>
      <w:r w:rsidR="00386245">
        <w:rPr>
          <w:rFonts w:asciiTheme="majorHAnsi" w:hAnsiTheme="majorHAnsi" w:cs="Arial"/>
          <w:color w:val="000000" w:themeColor="text1"/>
        </w:rPr>
        <w:t>drivers</w:t>
      </w:r>
      <w:r w:rsidR="00FE010F" w:rsidRPr="00E83A7D">
        <w:rPr>
          <w:rFonts w:asciiTheme="majorHAnsi" w:hAnsiTheme="majorHAnsi" w:cs="Arial"/>
          <w:color w:val="000000" w:themeColor="text1"/>
        </w:rPr>
        <w:t xml:space="preserve"> of violence. The use of a feminist approach ensures that sexual and gender-based violence is understood in terms of power dynamics and social structures, rather than treated as purely individual experiences. A feminist framework locates violence against women and children as occurring within a patriarchal society where </w:t>
      </w:r>
      <w:r w:rsidR="008E325D">
        <w:rPr>
          <w:rFonts w:asciiTheme="majorHAnsi" w:hAnsiTheme="majorHAnsi" w:cs="Arial"/>
          <w:color w:val="000000" w:themeColor="text1"/>
        </w:rPr>
        <w:t>patriarchal</w:t>
      </w:r>
      <w:r w:rsidR="008251FD" w:rsidRPr="00E83A7D">
        <w:rPr>
          <w:rFonts w:asciiTheme="majorHAnsi" w:hAnsiTheme="majorHAnsi" w:cs="Arial"/>
          <w:color w:val="000000" w:themeColor="text1"/>
        </w:rPr>
        <w:t xml:space="preserve"> </w:t>
      </w:r>
      <w:r w:rsidR="00FE010F" w:rsidRPr="00E83A7D">
        <w:rPr>
          <w:rFonts w:asciiTheme="majorHAnsi" w:hAnsiTheme="majorHAnsi" w:cs="Arial"/>
          <w:color w:val="000000" w:themeColor="text1"/>
        </w:rPr>
        <w:t>dominance and privilege are normalised</w:t>
      </w:r>
      <w:r w:rsidR="00CF4CEB">
        <w:rPr>
          <w:rFonts w:asciiTheme="majorHAnsi" w:hAnsiTheme="majorHAnsi" w:cs="Arial"/>
          <w:color w:val="000000" w:themeColor="text1"/>
        </w:rPr>
        <w:t xml:space="preserve"> (AWAVA, 2020)</w:t>
      </w:r>
      <w:r w:rsidR="00FE010F" w:rsidRPr="00E83A7D">
        <w:rPr>
          <w:rFonts w:asciiTheme="majorHAnsi" w:hAnsiTheme="majorHAnsi" w:cs="Arial"/>
          <w:color w:val="000000" w:themeColor="text1"/>
        </w:rPr>
        <w:t>.</w:t>
      </w:r>
      <w:r w:rsidR="00FE010F" w:rsidRPr="00EB17B2">
        <w:rPr>
          <w:rStyle w:val="EndnoteReference"/>
          <w:rFonts w:asciiTheme="majorHAnsi" w:hAnsiTheme="majorHAnsi" w:cs="Arial"/>
          <w:color w:val="000000" w:themeColor="text1"/>
        </w:rPr>
        <w:t xml:space="preserve"> </w:t>
      </w:r>
    </w:p>
    <w:p w:rsidR="003D45C9" w:rsidRPr="00370352" w:rsidRDefault="006D59A2" w:rsidP="003D45C9">
      <w:pPr>
        <w:rPr>
          <w:rFonts w:asciiTheme="majorHAnsi" w:hAnsiTheme="majorHAnsi" w:cs="Arial"/>
          <w:color w:val="000000" w:themeColor="text1"/>
        </w:rPr>
      </w:pPr>
      <w:r>
        <w:rPr>
          <w:rFonts w:asciiTheme="majorHAnsi" w:hAnsiTheme="majorHAnsi" w:cs="Arial"/>
          <w:color w:val="000000" w:themeColor="text1"/>
        </w:rPr>
        <w:t>These principles</w:t>
      </w:r>
      <w:r w:rsidR="003D45C9">
        <w:rPr>
          <w:rFonts w:asciiTheme="majorHAnsi" w:hAnsiTheme="majorHAnsi" w:cs="Arial"/>
          <w:color w:val="000000" w:themeColor="text1"/>
        </w:rPr>
        <w:t xml:space="preserve"> must be observed in their totality and are interlinked in their application. This means that a service </w:t>
      </w:r>
      <w:r w:rsidR="003D45C9">
        <w:rPr>
          <w:lang w:val="en-US"/>
        </w:rPr>
        <w:t xml:space="preserve">cannot </w:t>
      </w:r>
      <w:r w:rsidR="00660F70">
        <w:rPr>
          <w:lang w:val="en-US"/>
        </w:rPr>
        <w:t xml:space="preserve">embed </w:t>
      </w:r>
      <w:r w:rsidR="003D45C9">
        <w:rPr>
          <w:lang w:val="en-US"/>
        </w:rPr>
        <w:t xml:space="preserve">safety for victims/survivors (principle 4) without trauma-informed practice (principle 5), the centrality of </w:t>
      </w:r>
      <w:r w:rsidR="00660F70">
        <w:rPr>
          <w:lang w:val="en-US"/>
        </w:rPr>
        <w:t>victims/survivors</w:t>
      </w:r>
      <w:r w:rsidR="00994D67">
        <w:rPr>
          <w:lang w:val="en-US"/>
        </w:rPr>
        <w:t>’</w:t>
      </w:r>
      <w:r w:rsidR="00660F70">
        <w:rPr>
          <w:lang w:val="en-US"/>
        </w:rPr>
        <w:t xml:space="preserve"> </w:t>
      </w:r>
      <w:r w:rsidR="003D45C9">
        <w:rPr>
          <w:lang w:val="en-US"/>
        </w:rPr>
        <w:t>voices in decision making processes (principle 3) without adopting an intersectional feminist lens (principle 2)</w:t>
      </w:r>
      <w:r w:rsidR="00F03A2D">
        <w:rPr>
          <w:lang w:val="en-US"/>
        </w:rPr>
        <w:t>,</w:t>
      </w:r>
      <w:r w:rsidR="003D45C9">
        <w:rPr>
          <w:lang w:val="en-US"/>
        </w:rPr>
        <w:t xml:space="preserve"> and enacting </w:t>
      </w:r>
      <w:r w:rsidR="00660F70">
        <w:rPr>
          <w:lang w:val="en-US"/>
        </w:rPr>
        <w:t>accountability practices</w:t>
      </w:r>
      <w:r w:rsidR="003D45C9">
        <w:rPr>
          <w:lang w:val="en-US"/>
        </w:rPr>
        <w:t xml:space="preserve"> (principle 7). Similarly, perpetrator accountability (principles 6) cannot be achieved without multi</w:t>
      </w:r>
      <w:r w:rsidR="00660F70">
        <w:rPr>
          <w:lang w:val="en-US"/>
        </w:rPr>
        <w:t>-</w:t>
      </w:r>
      <w:r w:rsidR="003D45C9">
        <w:rPr>
          <w:lang w:val="en-US"/>
        </w:rPr>
        <w:t xml:space="preserve">sectoral coordination (principle 8) and a human </w:t>
      </w:r>
      <w:r>
        <w:rPr>
          <w:lang w:val="en-US"/>
        </w:rPr>
        <w:t>rights-based</w:t>
      </w:r>
      <w:r w:rsidR="003D45C9">
        <w:rPr>
          <w:lang w:val="en-US"/>
        </w:rPr>
        <w:t xml:space="preserve"> approach (principle 1). </w:t>
      </w:r>
    </w:p>
    <w:p w:rsidR="001B39FA" w:rsidRDefault="001B39FA" w:rsidP="001B39FA">
      <w:pPr>
        <w:rPr>
          <w:rFonts w:asciiTheme="majorHAnsi" w:hAnsiTheme="majorHAnsi" w:cs="Arial"/>
          <w:color w:val="000000" w:themeColor="text1"/>
        </w:rPr>
      </w:pPr>
      <w:r>
        <w:rPr>
          <w:rFonts w:asciiTheme="majorHAnsi" w:hAnsiTheme="majorHAnsi" w:cs="Arial"/>
          <w:noProof/>
        </w:rPr>
        <w:t xml:space="preserve">Given the proven efficacy of this model, it is important that new and existing organisations incorporate these principles in their service provision to achieve the best possible outcomes for victims/surviviors. </w:t>
      </w:r>
    </w:p>
    <w:p w:rsidR="0098144F" w:rsidRDefault="005E3DA7" w:rsidP="001B72D4">
      <w:pPr>
        <w:pStyle w:val="Heading1"/>
        <w:rPr>
          <w:lang w:val="en-US"/>
        </w:rPr>
      </w:pPr>
      <w:r>
        <w:rPr>
          <w:lang w:val="en-US"/>
        </w:rPr>
        <w:lastRenderedPageBreak/>
        <w:t>Good Practice Principles</w:t>
      </w:r>
    </w:p>
    <w:p w:rsidR="0021727B" w:rsidRDefault="0021727B" w:rsidP="00297F19">
      <w:pPr>
        <w:pStyle w:val="Heading2"/>
      </w:pPr>
      <w:r>
        <w:t xml:space="preserve">Principle 1: </w:t>
      </w:r>
      <w:r w:rsidRPr="00EB73D5">
        <w:t>A human rights</w:t>
      </w:r>
      <w:r>
        <w:t>-based</w:t>
      </w:r>
      <w:r w:rsidRPr="00EB73D5">
        <w:t xml:space="preserve"> approach</w:t>
      </w:r>
    </w:p>
    <w:p w:rsidR="00FE010F" w:rsidRDefault="00165A9D" w:rsidP="00165A9D">
      <w:pPr>
        <w:rPr>
          <w:rFonts w:asciiTheme="majorHAnsi" w:hAnsiTheme="majorHAnsi" w:cs="Arial"/>
        </w:rPr>
      </w:pPr>
      <w:r>
        <w:rPr>
          <w:rFonts w:asciiTheme="majorHAnsi" w:hAnsiTheme="majorHAnsi" w:cs="Arial"/>
        </w:rPr>
        <w:t xml:space="preserve">A </w:t>
      </w:r>
      <w:r w:rsidR="000407CE">
        <w:rPr>
          <w:rFonts w:asciiTheme="majorHAnsi" w:hAnsiTheme="majorHAnsi" w:cs="Arial"/>
        </w:rPr>
        <w:t xml:space="preserve">human </w:t>
      </w:r>
      <w:r>
        <w:rPr>
          <w:rFonts w:asciiTheme="majorHAnsi" w:hAnsiTheme="majorHAnsi" w:cs="Arial"/>
        </w:rPr>
        <w:t>rights-based approach</w:t>
      </w:r>
      <w:r w:rsidR="008E325D">
        <w:rPr>
          <w:rFonts w:asciiTheme="majorHAnsi" w:hAnsiTheme="majorHAnsi" w:cs="Arial"/>
        </w:rPr>
        <w:t xml:space="preserve"> centres the rights of victim/s</w:t>
      </w:r>
      <w:r w:rsidR="004B3F1F">
        <w:rPr>
          <w:rFonts w:asciiTheme="majorHAnsi" w:hAnsiTheme="majorHAnsi" w:cs="Arial"/>
        </w:rPr>
        <w:t>urvivors. It</w:t>
      </w:r>
      <w:r>
        <w:rPr>
          <w:rFonts w:asciiTheme="majorHAnsi" w:hAnsiTheme="majorHAnsi" w:cs="Arial"/>
        </w:rPr>
        <w:t xml:space="preserve"> ensures that </w:t>
      </w:r>
      <w:r w:rsidR="00766340">
        <w:rPr>
          <w:rFonts w:asciiTheme="majorHAnsi" w:hAnsiTheme="majorHAnsi" w:cs="Arial"/>
        </w:rPr>
        <w:t xml:space="preserve">sexual and </w:t>
      </w:r>
      <w:r>
        <w:rPr>
          <w:rFonts w:asciiTheme="majorHAnsi" w:hAnsiTheme="majorHAnsi" w:cs="Arial"/>
        </w:rPr>
        <w:t xml:space="preserve">gender-based violence is recognised as a fundamental violation of human rights, which is systemic and both a cause and consequence of gender inequality and discrimination. It acknowledges that violence disproportionately impacts women, children, </w:t>
      </w:r>
      <w:r w:rsidR="008E325D">
        <w:rPr>
          <w:rFonts w:asciiTheme="majorHAnsi" w:hAnsiTheme="majorHAnsi" w:cs="Arial"/>
        </w:rPr>
        <w:t>LGBTIQ+ people</w:t>
      </w:r>
      <w:r w:rsidR="00766340">
        <w:rPr>
          <w:rFonts w:asciiTheme="majorHAnsi" w:hAnsiTheme="majorHAnsi" w:cs="Arial"/>
        </w:rPr>
        <w:t xml:space="preserve">, people with disability, Aboriginal and Torres Strait Islander women and </w:t>
      </w:r>
      <w:r w:rsidR="008E325D">
        <w:rPr>
          <w:rFonts w:asciiTheme="majorHAnsi" w:hAnsiTheme="majorHAnsi" w:cs="Arial"/>
        </w:rPr>
        <w:t>migrant and refugee women</w:t>
      </w:r>
      <w:r w:rsidR="00F03A2D">
        <w:rPr>
          <w:rFonts w:asciiTheme="majorHAnsi" w:hAnsiTheme="majorHAnsi" w:cs="Arial"/>
        </w:rPr>
        <w:t>,</w:t>
      </w:r>
      <w:r w:rsidR="008E325D">
        <w:rPr>
          <w:rFonts w:asciiTheme="majorHAnsi" w:hAnsiTheme="majorHAnsi" w:cs="Arial"/>
        </w:rPr>
        <w:t xml:space="preserve"> especially those on temporary visas</w:t>
      </w:r>
      <w:r w:rsidRPr="002379BA">
        <w:rPr>
          <w:rFonts w:asciiTheme="majorHAnsi" w:hAnsiTheme="majorHAnsi" w:cs="Arial"/>
        </w:rPr>
        <w:t>. A</w:t>
      </w:r>
      <w:r w:rsidR="002754ED" w:rsidRPr="002379BA">
        <w:rPr>
          <w:rFonts w:asciiTheme="majorHAnsi" w:hAnsiTheme="majorHAnsi" w:cs="Arial"/>
        </w:rPr>
        <w:t xml:space="preserve"> </w:t>
      </w:r>
      <w:r w:rsidRPr="002379BA">
        <w:rPr>
          <w:rFonts w:asciiTheme="majorHAnsi" w:hAnsiTheme="majorHAnsi" w:cs="Arial"/>
        </w:rPr>
        <w:t>rights</w:t>
      </w:r>
      <w:r w:rsidR="002754ED" w:rsidRPr="002379BA">
        <w:rPr>
          <w:rFonts w:asciiTheme="majorHAnsi" w:hAnsiTheme="majorHAnsi" w:cs="Arial"/>
        </w:rPr>
        <w:t>-</w:t>
      </w:r>
      <w:r w:rsidRPr="002379BA">
        <w:rPr>
          <w:rFonts w:asciiTheme="majorHAnsi" w:hAnsiTheme="majorHAnsi" w:cs="Arial"/>
        </w:rPr>
        <w:t>based approach highlights that responses must not only address the impacts of violence, but must also deal with the root causes of gender inequality and other intersecting dimensions of inequality</w:t>
      </w:r>
      <w:r w:rsidR="00C84DBF" w:rsidRPr="002379BA">
        <w:rPr>
          <w:rFonts w:asciiTheme="majorHAnsi" w:hAnsiTheme="majorHAnsi" w:cs="Arial"/>
        </w:rPr>
        <w:t xml:space="preserve"> (UN Women et al., 2016). </w:t>
      </w:r>
    </w:p>
    <w:p w:rsidR="00FE010F" w:rsidRDefault="00FE010F" w:rsidP="00165A9D">
      <w:pPr>
        <w:rPr>
          <w:rFonts w:asciiTheme="majorHAnsi" w:hAnsiTheme="majorHAnsi" w:cs="Arial"/>
          <w:lang w:val="en-US"/>
        </w:rPr>
      </w:pPr>
      <w:r>
        <w:rPr>
          <w:rFonts w:asciiTheme="majorHAnsi" w:hAnsiTheme="majorHAnsi" w:cs="Arial"/>
        </w:rPr>
        <w:t>A human rights-based approach recognises that governments have an obligation to protect, promote and fulfil women</w:t>
      </w:r>
      <w:r w:rsidR="00F03A2D">
        <w:rPr>
          <w:rFonts w:asciiTheme="majorHAnsi" w:hAnsiTheme="majorHAnsi" w:cs="Arial"/>
        </w:rPr>
        <w:t>’s</w:t>
      </w:r>
      <w:r>
        <w:rPr>
          <w:rFonts w:asciiTheme="majorHAnsi" w:hAnsiTheme="majorHAnsi" w:cs="Arial"/>
        </w:rPr>
        <w:t xml:space="preserve"> and children’s rights. </w:t>
      </w:r>
      <w:r w:rsidR="0010550F">
        <w:rPr>
          <w:rFonts w:asciiTheme="majorHAnsi" w:hAnsiTheme="majorHAnsi" w:cs="Arial"/>
        </w:rPr>
        <w:t>T</w:t>
      </w:r>
      <w:r w:rsidRPr="00154B48">
        <w:rPr>
          <w:rFonts w:asciiTheme="majorHAnsi" w:hAnsiTheme="majorHAnsi" w:cs="Arial"/>
          <w:lang w:val="en-US"/>
        </w:rPr>
        <w:t>his approach requires services to develop the capacity of women as “right</w:t>
      </w:r>
      <w:r w:rsidR="00F03A2D">
        <w:rPr>
          <w:rFonts w:asciiTheme="majorHAnsi" w:hAnsiTheme="majorHAnsi" w:cs="Arial"/>
          <w:lang w:val="en-US"/>
        </w:rPr>
        <w:t>s</w:t>
      </w:r>
      <w:r w:rsidRPr="00154B48">
        <w:rPr>
          <w:rFonts w:asciiTheme="majorHAnsi" w:hAnsiTheme="majorHAnsi" w:cs="Arial"/>
          <w:lang w:val="en-US"/>
        </w:rPr>
        <w:t xml:space="preserve"> holders” to play an active role in accessing and benefiting from the rights in which they are entitled.</w:t>
      </w:r>
      <w:r>
        <w:rPr>
          <w:rFonts w:asciiTheme="majorHAnsi" w:hAnsiTheme="majorHAnsi" w:cs="Arial"/>
          <w:lang w:val="en-US"/>
        </w:rPr>
        <w:t xml:space="preserve"> This includes ensuring the creation of avenues for victims/survivors to have their voices heard</w:t>
      </w:r>
      <w:r w:rsidR="003D45C9">
        <w:rPr>
          <w:rFonts w:asciiTheme="majorHAnsi" w:hAnsiTheme="majorHAnsi" w:cs="Arial"/>
          <w:lang w:val="en-US"/>
        </w:rPr>
        <w:t xml:space="preserve"> </w:t>
      </w:r>
      <w:r w:rsidR="003D45C9" w:rsidRPr="003D45C9">
        <w:rPr>
          <w:rFonts w:asciiTheme="majorHAnsi" w:hAnsiTheme="majorHAnsi" w:cs="Arial"/>
          <w:lang w:val="en-US"/>
        </w:rPr>
        <w:t>(UN Women et al., 2016)</w:t>
      </w:r>
      <w:r>
        <w:rPr>
          <w:rFonts w:asciiTheme="majorHAnsi" w:hAnsiTheme="majorHAnsi" w:cs="Arial"/>
          <w:lang w:val="en-US"/>
        </w:rPr>
        <w:t>.</w:t>
      </w:r>
      <w:r w:rsidR="0010550F">
        <w:rPr>
          <w:rFonts w:asciiTheme="majorHAnsi" w:hAnsiTheme="majorHAnsi" w:cs="Arial"/>
          <w:lang w:val="en-US"/>
        </w:rPr>
        <w:t xml:space="preserve"> </w:t>
      </w:r>
    </w:p>
    <w:p w:rsidR="00765A5B" w:rsidRDefault="00FE010F" w:rsidP="00165A9D">
      <w:r>
        <w:t>From a client perspective, a human rights</w:t>
      </w:r>
      <w:r w:rsidR="002754ED">
        <w:t>-</w:t>
      </w:r>
      <w:r>
        <w:t>based approach ensures respect, non-discrimination and non-judgemental attitudes to all victims/survivors</w:t>
      </w:r>
      <w:r w:rsidR="003D45C9">
        <w:t xml:space="preserve"> (AWAVA, 2020)</w:t>
      </w:r>
      <w:r>
        <w:t>.</w:t>
      </w:r>
      <w:r w:rsidR="00D67EB3">
        <w:t xml:space="preserve"> </w:t>
      </w:r>
      <w:r w:rsidR="0010550F">
        <w:t xml:space="preserve">For </w:t>
      </w:r>
      <w:r w:rsidR="008E325D">
        <w:t>example,</w:t>
      </w:r>
      <w:r w:rsidR="0010550F">
        <w:t xml:space="preserve"> sexual and reproductive health rights have been declared to be women’s rights, placing sexual and reproductive autonomy within women’s rights frameworks</w:t>
      </w:r>
      <w:r w:rsidR="00CD000D">
        <w:t xml:space="preserve"> (CEDAW, </w:t>
      </w:r>
      <w:r w:rsidR="004D091F">
        <w:t xml:space="preserve">2018; </w:t>
      </w:r>
      <w:r w:rsidR="00CD000D">
        <w:t>OHCHR, 2020)</w:t>
      </w:r>
      <w:r w:rsidR="0010550F">
        <w:t xml:space="preserve">. </w:t>
      </w:r>
      <w:r w:rsidR="00D67EB3">
        <w:t xml:space="preserve">Applying </w:t>
      </w:r>
      <w:r w:rsidR="003D45C9">
        <w:t>a human</w:t>
      </w:r>
      <w:r w:rsidR="00D67EB3">
        <w:t xml:space="preserve"> rights</w:t>
      </w:r>
      <w:r w:rsidR="002754ED">
        <w:t>-</w:t>
      </w:r>
      <w:r w:rsidR="00D67EB3">
        <w:t xml:space="preserve">based approach ensures that all victims/survivors will </w:t>
      </w:r>
      <w:r w:rsidR="00F03A2D">
        <w:t xml:space="preserve">be </w:t>
      </w:r>
      <w:r w:rsidR="00D4662C">
        <w:t>eligible for support</w:t>
      </w:r>
      <w:r w:rsidR="00D67EB3">
        <w:t xml:space="preserve"> regardless of </w:t>
      </w:r>
      <w:r w:rsidR="00D4662C">
        <w:t>their background</w:t>
      </w:r>
      <w:r w:rsidR="00F03A2D">
        <w:t>,</w:t>
      </w:r>
      <w:r w:rsidR="00D4662C">
        <w:t xml:space="preserve"> including their </w:t>
      </w:r>
      <w:r w:rsidR="00D67EB3">
        <w:t xml:space="preserve">migration status. </w:t>
      </w:r>
    </w:p>
    <w:p w:rsidR="00165A9D" w:rsidRDefault="00165A9D" w:rsidP="00165A9D"/>
    <w:tbl>
      <w:tblPr>
        <w:tblStyle w:val="TableGrid"/>
        <w:tblW w:w="0" w:type="auto"/>
        <w:tblLook w:val="04A0" w:firstRow="1" w:lastRow="0" w:firstColumn="1" w:lastColumn="0" w:noHBand="0" w:noVBand="1"/>
      </w:tblPr>
      <w:tblGrid>
        <w:gridCol w:w="9016"/>
      </w:tblGrid>
      <w:tr w:rsidR="00E843EC" w:rsidTr="00E843EC">
        <w:tc>
          <w:tcPr>
            <w:tcW w:w="9016" w:type="dxa"/>
          </w:tcPr>
          <w:p w:rsidR="00E843EC" w:rsidRPr="00E843EC" w:rsidRDefault="00E843EC" w:rsidP="00E843EC">
            <w:pPr>
              <w:rPr>
                <w:b/>
              </w:rPr>
            </w:pPr>
            <w:r w:rsidRPr="00E843EC">
              <w:rPr>
                <w:b/>
              </w:rPr>
              <w:t xml:space="preserve">Practice guiding </w:t>
            </w:r>
            <w:r w:rsidR="00A93ECB">
              <w:rPr>
                <w:b/>
              </w:rPr>
              <w:t>considerations</w:t>
            </w:r>
            <w:r w:rsidRPr="00E843EC">
              <w:rPr>
                <w:b/>
              </w:rPr>
              <w:t xml:space="preserve">: </w:t>
            </w:r>
          </w:p>
          <w:p w:rsidR="00E843EC" w:rsidRDefault="00E843EC" w:rsidP="00E843EC">
            <w:r>
              <w:t>To assess whether your service is operating through a human rights</w:t>
            </w:r>
            <w:r w:rsidR="004B3F1F">
              <w:t>-</w:t>
            </w:r>
            <w:r>
              <w:t>based</w:t>
            </w:r>
            <w:r w:rsidR="004B3F1F">
              <w:t xml:space="preserve"> </w:t>
            </w:r>
            <w:r>
              <w:t>approach, would you agree with the following statements</w:t>
            </w:r>
            <w:r w:rsidR="00DC7C46">
              <w:t xml:space="preserve"> being applie</w:t>
            </w:r>
            <w:r w:rsidR="00F03A2D">
              <w:t>d</w:t>
            </w:r>
            <w:r w:rsidR="00DC7C46">
              <w:t xml:space="preserve"> in your organisation</w:t>
            </w:r>
            <w:r>
              <w:t>?</w:t>
            </w:r>
          </w:p>
          <w:p w:rsidR="00B81DE6" w:rsidRPr="00B81DE6" w:rsidRDefault="00B81DE6" w:rsidP="00B81DE6">
            <w:pPr>
              <w:pStyle w:val="ListParagraph"/>
              <w:numPr>
                <w:ilvl w:val="0"/>
                <w:numId w:val="15"/>
              </w:numPr>
              <w:spacing w:before="0" w:after="0"/>
              <w:jc w:val="left"/>
              <w:rPr>
                <w:rFonts w:ascii="Times New Roman" w:hAnsi="Times New Roman"/>
                <w:sz w:val="24"/>
                <w:szCs w:val="24"/>
                <w:lang w:val="en-AU" w:eastAsia="en-AU"/>
              </w:rPr>
            </w:pPr>
            <w:r>
              <w:t>Victim</w:t>
            </w:r>
            <w:r w:rsidR="00443718">
              <w:t>s</w:t>
            </w:r>
            <w:r>
              <w:t xml:space="preserve">/survivor’s experiences of violence are recognised as a violation of their rights. </w:t>
            </w:r>
          </w:p>
          <w:p w:rsidR="00B81DE6" w:rsidRPr="00B81DE6" w:rsidRDefault="00B81DE6" w:rsidP="00B81DE6">
            <w:pPr>
              <w:pStyle w:val="ListParagraph"/>
              <w:numPr>
                <w:ilvl w:val="0"/>
                <w:numId w:val="15"/>
              </w:numPr>
              <w:spacing w:before="0" w:after="0"/>
              <w:jc w:val="left"/>
              <w:rPr>
                <w:rFonts w:ascii="Times New Roman" w:hAnsi="Times New Roman"/>
                <w:sz w:val="24"/>
                <w:szCs w:val="24"/>
                <w:lang w:val="en-AU" w:eastAsia="en-AU"/>
              </w:rPr>
            </w:pPr>
            <w:r>
              <w:t>Victim</w:t>
            </w:r>
            <w:r w:rsidR="00443718">
              <w:t>s</w:t>
            </w:r>
            <w:r>
              <w:t xml:space="preserve">/survivor’s experiences are always validated and </w:t>
            </w:r>
            <w:r w:rsidR="00D4662C">
              <w:t xml:space="preserve">none of your colleagues </w:t>
            </w:r>
            <w:r>
              <w:t xml:space="preserve">would </w:t>
            </w:r>
            <w:r w:rsidR="00D4662C">
              <w:t xml:space="preserve">ever covertly or overtly </w:t>
            </w:r>
            <w:r>
              <w:t xml:space="preserve">blame </w:t>
            </w:r>
            <w:r w:rsidR="00D4662C">
              <w:t>or stereotype the victim/survivor</w:t>
            </w:r>
            <w:r w:rsidR="00DC7C46">
              <w:t xml:space="preserve"> </w:t>
            </w:r>
          </w:p>
          <w:p w:rsidR="00B81DE6" w:rsidRPr="00B81DE6" w:rsidRDefault="00B81DE6" w:rsidP="00B81DE6">
            <w:pPr>
              <w:pStyle w:val="ListParagraph"/>
              <w:numPr>
                <w:ilvl w:val="0"/>
                <w:numId w:val="15"/>
              </w:numPr>
              <w:spacing w:before="0" w:after="0"/>
              <w:jc w:val="left"/>
              <w:rPr>
                <w:rFonts w:ascii="Times New Roman" w:hAnsi="Times New Roman"/>
                <w:sz w:val="24"/>
                <w:szCs w:val="24"/>
                <w:lang w:val="en-AU" w:eastAsia="en-AU"/>
              </w:rPr>
            </w:pPr>
            <w:r>
              <w:t>A victi</w:t>
            </w:r>
            <w:r w:rsidR="00A24FD8">
              <w:t>m</w:t>
            </w:r>
            <w:r>
              <w:t>/survivor is informed that they have a right to accept or refuse a service offered without judgement or consequences.</w:t>
            </w:r>
          </w:p>
          <w:p w:rsidR="00C351FC" w:rsidRPr="00C351FC" w:rsidRDefault="00B81DE6" w:rsidP="00E843EC">
            <w:pPr>
              <w:pStyle w:val="ListParagraph"/>
              <w:numPr>
                <w:ilvl w:val="0"/>
                <w:numId w:val="15"/>
              </w:numPr>
              <w:spacing w:before="0" w:after="0"/>
              <w:jc w:val="left"/>
              <w:rPr>
                <w:rFonts w:ascii="Times New Roman" w:hAnsi="Times New Roman"/>
                <w:sz w:val="24"/>
                <w:szCs w:val="24"/>
                <w:lang w:val="en-AU" w:eastAsia="en-AU"/>
              </w:rPr>
            </w:pPr>
            <w:r>
              <w:t xml:space="preserve">The voice of the victim/survivor is central to the decision making about what </w:t>
            </w:r>
            <w:r w:rsidR="00DC7C46">
              <w:t>supports they require</w:t>
            </w:r>
            <w:r w:rsidR="00D4662C">
              <w:t xml:space="preserve"> and receive</w:t>
            </w:r>
            <w:r w:rsidR="00DC7C46">
              <w:t xml:space="preserve">. </w:t>
            </w:r>
          </w:p>
          <w:p w:rsidR="00E843EC" w:rsidRPr="00B81DE6" w:rsidRDefault="00B81DE6" w:rsidP="00C351FC">
            <w:pPr>
              <w:pStyle w:val="ListParagraph"/>
              <w:spacing w:before="0" w:after="0"/>
              <w:jc w:val="left"/>
              <w:rPr>
                <w:rFonts w:ascii="Times New Roman" w:hAnsi="Times New Roman"/>
                <w:sz w:val="24"/>
                <w:szCs w:val="24"/>
                <w:lang w:val="en-AU" w:eastAsia="en-AU"/>
              </w:rPr>
            </w:pPr>
            <w:r w:rsidRPr="00B81DE6">
              <w:rPr>
                <w:rFonts w:ascii="Times New Roman" w:hAnsi="Times New Roman"/>
                <w:sz w:val="24"/>
                <w:szCs w:val="24"/>
                <w:lang w:val="en-AU" w:eastAsia="en-AU"/>
              </w:rPr>
              <w:t xml:space="preserve"> </w:t>
            </w:r>
          </w:p>
        </w:tc>
      </w:tr>
    </w:tbl>
    <w:p w:rsidR="00E843EC" w:rsidRDefault="00E843EC" w:rsidP="00E843EC"/>
    <w:p w:rsidR="0021727B" w:rsidRPr="004B3F1F" w:rsidRDefault="0021727B" w:rsidP="00297F19">
      <w:pPr>
        <w:pStyle w:val="Heading2"/>
      </w:pPr>
      <w:r w:rsidRPr="004B3F1F">
        <w:t>Principle 2: An intersectional</w:t>
      </w:r>
      <w:r w:rsidR="001A290E">
        <w:t xml:space="preserve"> and equitable</w:t>
      </w:r>
      <w:r w:rsidRPr="004B3F1F">
        <w:t xml:space="preserve"> feminist approach</w:t>
      </w:r>
    </w:p>
    <w:p w:rsidR="003A7263" w:rsidRDefault="00EA1C0F" w:rsidP="005574E7">
      <w:pPr>
        <w:rPr>
          <w:rFonts w:asciiTheme="majorHAnsi" w:hAnsiTheme="majorHAnsi" w:cs="Arial"/>
          <w:color w:val="000000" w:themeColor="text1"/>
        </w:rPr>
      </w:pPr>
      <w:r>
        <w:rPr>
          <w:rFonts w:asciiTheme="majorHAnsi" w:hAnsiTheme="majorHAnsi" w:cs="Arial"/>
          <w:noProof/>
        </w:rPr>
        <w:t>A service</w:t>
      </w:r>
      <w:r w:rsidR="005574E7">
        <w:rPr>
          <w:rFonts w:asciiTheme="majorHAnsi" w:hAnsiTheme="majorHAnsi" w:cs="Arial"/>
          <w:color w:val="000000" w:themeColor="text1"/>
        </w:rPr>
        <w:t xml:space="preserve"> take</w:t>
      </w:r>
      <w:r>
        <w:rPr>
          <w:rFonts w:asciiTheme="majorHAnsi" w:hAnsiTheme="majorHAnsi" w:cs="Arial"/>
          <w:color w:val="000000" w:themeColor="text1"/>
        </w:rPr>
        <w:t>s</w:t>
      </w:r>
      <w:r w:rsidR="005574E7">
        <w:rPr>
          <w:rFonts w:asciiTheme="majorHAnsi" w:hAnsiTheme="majorHAnsi" w:cs="Arial"/>
          <w:color w:val="000000" w:themeColor="text1"/>
        </w:rPr>
        <w:t xml:space="preserve"> into account and appropriately respond</w:t>
      </w:r>
      <w:r w:rsidR="00F03A2D">
        <w:rPr>
          <w:rFonts w:asciiTheme="majorHAnsi" w:hAnsiTheme="majorHAnsi" w:cs="Arial"/>
          <w:color w:val="000000" w:themeColor="text1"/>
        </w:rPr>
        <w:t>s</w:t>
      </w:r>
      <w:r w:rsidR="005574E7">
        <w:rPr>
          <w:rFonts w:asciiTheme="majorHAnsi" w:hAnsiTheme="majorHAnsi" w:cs="Arial"/>
          <w:color w:val="000000" w:themeColor="text1"/>
        </w:rPr>
        <w:t xml:space="preserve"> to victims</w:t>
      </w:r>
      <w:r w:rsidR="00E400A5">
        <w:rPr>
          <w:rFonts w:asciiTheme="majorHAnsi" w:hAnsiTheme="majorHAnsi" w:cs="Arial"/>
          <w:color w:val="000000" w:themeColor="text1"/>
        </w:rPr>
        <w:t>/survivors</w:t>
      </w:r>
      <w:r w:rsidR="005574E7">
        <w:rPr>
          <w:rFonts w:asciiTheme="majorHAnsi" w:hAnsiTheme="majorHAnsi" w:cs="Arial"/>
          <w:color w:val="000000" w:themeColor="text1"/>
        </w:rPr>
        <w:t xml:space="preserve"> who face multiple and intersecting forms of discrimination, including discrimination based on gender, age, culture, disability, ethnicity, migration status,</w:t>
      </w:r>
      <w:r w:rsidR="00443718">
        <w:rPr>
          <w:rFonts w:asciiTheme="majorHAnsi" w:hAnsiTheme="majorHAnsi" w:cs="Arial"/>
          <w:color w:val="000000" w:themeColor="text1"/>
        </w:rPr>
        <w:t xml:space="preserve"> </w:t>
      </w:r>
      <w:r w:rsidR="005574E7">
        <w:rPr>
          <w:rFonts w:asciiTheme="majorHAnsi" w:hAnsiTheme="majorHAnsi" w:cs="Arial"/>
          <w:color w:val="000000" w:themeColor="text1"/>
        </w:rPr>
        <w:t>sexual orientation</w:t>
      </w:r>
      <w:r w:rsidR="00443718">
        <w:rPr>
          <w:rFonts w:asciiTheme="majorHAnsi" w:hAnsiTheme="majorHAnsi" w:cs="Arial"/>
          <w:color w:val="000000" w:themeColor="text1"/>
        </w:rPr>
        <w:t xml:space="preserve">, </w:t>
      </w:r>
      <w:r w:rsidR="00F03A2D">
        <w:rPr>
          <w:rFonts w:asciiTheme="majorHAnsi" w:hAnsiTheme="majorHAnsi" w:cs="Arial"/>
          <w:color w:val="000000" w:themeColor="text1"/>
        </w:rPr>
        <w:t>gender identity</w:t>
      </w:r>
      <w:r w:rsidR="005574E7">
        <w:rPr>
          <w:rFonts w:asciiTheme="majorHAnsi" w:hAnsiTheme="majorHAnsi" w:cs="Arial"/>
          <w:color w:val="000000" w:themeColor="text1"/>
        </w:rPr>
        <w:t>, marital status, occupation, race, religion, social status</w:t>
      </w:r>
      <w:r w:rsidR="00DC7350">
        <w:rPr>
          <w:rFonts w:asciiTheme="majorHAnsi" w:hAnsiTheme="majorHAnsi" w:cs="Arial"/>
          <w:color w:val="000000" w:themeColor="text1"/>
        </w:rPr>
        <w:t>, health status</w:t>
      </w:r>
      <w:r w:rsidR="00BC634D">
        <w:rPr>
          <w:rFonts w:asciiTheme="majorHAnsi" w:hAnsiTheme="majorHAnsi" w:cs="Arial"/>
          <w:color w:val="000000" w:themeColor="text1"/>
        </w:rPr>
        <w:t xml:space="preserve"> etc</w:t>
      </w:r>
      <w:r w:rsidR="005574E7">
        <w:rPr>
          <w:rFonts w:asciiTheme="majorHAnsi" w:hAnsiTheme="majorHAnsi" w:cs="Arial"/>
          <w:color w:val="000000" w:themeColor="text1"/>
        </w:rPr>
        <w:t>. A properly accessible service system include</w:t>
      </w:r>
      <w:r>
        <w:rPr>
          <w:rFonts w:asciiTheme="majorHAnsi" w:hAnsiTheme="majorHAnsi" w:cs="Arial"/>
          <w:color w:val="000000" w:themeColor="text1"/>
        </w:rPr>
        <w:t>s</w:t>
      </w:r>
      <w:r w:rsidR="005574E7">
        <w:rPr>
          <w:rFonts w:asciiTheme="majorHAnsi" w:hAnsiTheme="majorHAnsi" w:cs="Arial"/>
          <w:color w:val="000000" w:themeColor="text1"/>
        </w:rPr>
        <w:t xml:space="preserve"> ‘mainstream’ women’s services that are fully competent to support </w:t>
      </w:r>
      <w:r w:rsidR="00F03A2D">
        <w:rPr>
          <w:rFonts w:asciiTheme="majorHAnsi" w:hAnsiTheme="majorHAnsi" w:cs="Arial"/>
          <w:color w:val="000000" w:themeColor="text1"/>
        </w:rPr>
        <w:t>cis women, trans women and non-binary people</w:t>
      </w:r>
      <w:r w:rsidR="005574E7">
        <w:rPr>
          <w:rFonts w:asciiTheme="majorHAnsi" w:hAnsiTheme="majorHAnsi" w:cs="Arial"/>
          <w:color w:val="000000" w:themeColor="text1"/>
        </w:rPr>
        <w:t xml:space="preserve"> with a wide range of circumstances and backgrounds, together with numerous and well-resourced specialist services that are specifically devoted to supporting people with shared experiences and characteristics, such as Aboriginal and Torres Strait Islander women</w:t>
      </w:r>
      <w:r w:rsidR="00DC7350">
        <w:rPr>
          <w:rFonts w:asciiTheme="majorHAnsi" w:hAnsiTheme="majorHAnsi" w:cs="Arial"/>
          <w:color w:val="000000" w:themeColor="text1"/>
        </w:rPr>
        <w:t>, women with disabilities or women on temporary visas.</w:t>
      </w:r>
    </w:p>
    <w:p w:rsidR="008251FD" w:rsidRDefault="004B3F1F" w:rsidP="008251FD">
      <w:pPr>
        <w:rPr>
          <w:rFonts w:asciiTheme="majorHAnsi" w:hAnsiTheme="majorHAnsi" w:cs="Arial"/>
          <w:color w:val="000000" w:themeColor="text1"/>
        </w:rPr>
      </w:pPr>
      <w:r>
        <w:rPr>
          <w:rFonts w:asciiTheme="majorHAnsi" w:hAnsiTheme="majorHAnsi" w:cs="Arial"/>
          <w:noProof/>
        </w:rPr>
        <w:lastRenderedPageBreak/>
        <w:t>Adopting an inter</w:t>
      </w:r>
      <w:r w:rsidR="00495465">
        <w:rPr>
          <w:rFonts w:asciiTheme="majorHAnsi" w:hAnsiTheme="majorHAnsi" w:cs="Arial"/>
          <w:noProof/>
        </w:rPr>
        <w:t>s</w:t>
      </w:r>
      <w:r>
        <w:rPr>
          <w:rFonts w:asciiTheme="majorHAnsi" w:hAnsiTheme="majorHAnsi" w:cs="Arial"/>
          <w:noProof/>
        </w:rPr>
        <w:t>ection</w:t>
      </w:r>
      <w:r w:rsidR="00495465">
        <w:rPr>
          <w:rFonts w:asciiTheme="majorHAnsi" w:hAnsiTheme="majorHAnsi" w:cs="Arial"/>
          <w:noProof/>
        </w:rPr>
        <w:t>a</w:t>
      </w:r>
      <w:r>
        <w:rPr>
          <w:rFonts w:asciiTheme="majorHAnsi" w:hAnsiTheme="majorHAnsi" w:cs="Arial"/>
          <w:noProof/>
        </w:rPr>
        <w:t>l feminist approach means that a</w:t>
      </w:r>
      <w:r w:rsidR="008251FD">
        <w:rPr>
          <w:rFonts w:asciiTheme="majorHAnsi" w:hAnsiTheme="majorHAnsi" w:cs="Arial"/>
          <w:noProof/>
        </w:rPr>
        <w:t xml:space="preserve"> service</w:t>
      </w:r>
      <w:r w:rsidR="008251FD">
        <w:rPr>
          <w:rFonts w:asciiTheme="majorHAnsi" w:hAnsiTheme="majorHAnsi" w:cs="Arial"/>
          <w:color w:val="000000" w:themeColor="text1"/>
        </w:rPr>
        <w:t xml:space="preserve"> understand</w:t>
      </w:r>
      <w:r w:rsidR="009205E5">
        <w:rPr>
          <w:rFonts w:asciiTheme="majorHAnsi" w:hAnsiTheme="majorHAnsi" w:cs="Arial"/>
          <w:color w:val="000000" w:themeColor="text1"/>
        </w:rPr>
        <w:t>s</w:t>
      </w:r>
      <w:r w:rsidR="008251FD">
        <w:rPr>
          <w:rFonts w:asciiTheme="majorHAnsi" w:hAnsiTheme="majorHAnsi" w:cs="Arial"/>
          <w:color w:val="000000" w:themeColor="text1"/>
        </w:rPr>
        <w:t xml:space="preserve"> barriers that prevent victims/survivors from accessing services that</w:t>
      </w:r>
      <w:r>
        <w:rPr>
          <w:rFonts w:asciiTheme="majorHAnsi" w:hAnsiTheme="majorHAnsi" w:cs="Arial"/>
          <w:color w:val="000000" w:themeColor="text1"/>
        </w:rPr>
        <w:t xml:space="preserve"> may</w:t>
      </w:r>
      <w:r w:rsidR="008251FD">
        <w:rPr>
          <w:rFonts w:asciiTheme="majorHAnsi" w:hAnsiTheme="majorHAnsi" w:cs="Arial"/>
          <w:color w:val="000000" w:themeColor="text1"/>
        </w:rPr>
        <w:t xml:space="preserve"> include “feeling of share</w:t>
      </w:r>
      <w:r w:rsidR="009205E5">
        <w:rPr>
          <w:rFonts w:asciiTheme="majorHAnsi" w:hAnsiTheme="majorHAnsi" w:cs="Arial"/>
          <w:color w:val="000000" w:themeColor="text1"/>
        </w:rPr>
        <w:t>d</w:t>
      </w:r>
      <w:r w:rsidR="008251FD">
        <w:rPr>
          <w:rFonts w:asciiTheme="majorHAnsi" w:hAnsiTheme="majorHAnsi" w:cs="Arial"/>
          <w:color w:val="000000" w:themeColor="text1"/>
        </w:rPr>
        <w:t xml:space="preserve"> responsibility for children, concerns about financial consequences, lack of knowledge, cultural stigma”, service mistrust, fears of being outed</w:t>
      </w:r>
      <w:r>
        <w:rPr>
          <w:rFonts w:asciiTheme="majorHAnsi" w:hAnsiTheme="majorHAnsi" w:cs="Arial"/>
          <w:color w:val="000000" w:themeColor="text1"/>
        </w:rPr>
        <w:t xml:space="preserve">, </w:t>
      </w:r>
      <w:r w:rsidR="008251FD">
        <w:rPr>
          <w:rFonts w:asciiTheme="majorHAnsi" w:hAnsiTheme="majorHAnsi" w:cs="Arial"/>
          <w:color w:val="000000" w:themeColor="text1"/>
        </w:rPr>
        <w:t>fears for not being believed for those who are LGBTIQ+, etc</w:t>
      </w:r>
      <w:r w:rsidR="008251FD" w:rsidRPr="00E400A5">
        <w:t xml:space="preserve"> </w:t>
      </w:r>
      <w:r w:rsidR="008251FD">
        <w:t>(</w:t>
      </w:r>
      <w:r w:rsidR="008251FD">
        <w:rPr>
          <w:rFonts w:asciiTheme="majorHAnsi" w:hAnsiTheme="majorHAnsi" w:cs="Arial"/>
          <w:color w:val="000000" w:themeColor="text1"/>
        </w:rPr>
        <w:t xml:space="preserve">Domestic Violence NSW, </w:t>
      </w:r>
      <w:r w:rsidR="008251FD" w:rsidRPr="00E400A5">
        <w:rPr>
          <w:rFonts w:asciiTheme="majorHAnsi" w:hAnsiTheme="majorHAnsi" w:cs="Arial"/>
          <w:color w:val="000000" w:themeColor="text1"/>
        </w:rPr>
        <w:t>2017)</w:t>
      </w:r>
      <w:r w:rsidR="008251FD">
        <w:rPr>
          <w:rFonts w:asciiTheme="majorHAnsi" w:hAnsiTheme="majorHAnsi" w:cs="Arial"/>
          <w:color w:val="000000" w:themeColor="text1"/>
        </w:rPr>
        <w:t>.</w:t>
      </w:r>
    </w:p>
    <w:p w:rsidR="00FE010F" w:rsidRDefault="00EA1C0F" w:rsidP="005574E7">
      <w:pPr>
        <w:rPr>
          <w:rFonts w:asciiTheme="majorHAnsi" w:hAnsiTheme="majorHAnsi" w:cs="Arial"/>
          <w:color w:val="000000" w:themeColor="text1"/>
        </w:rPr>
      </w:pPr>
      <w:r>
        <w:rPr>
          <w:rFonts w:asciiTheme="majorHAnsi" w:hAnsiTheme="majorHAnsi" w:cs="Arial"/>
          <w:color w:val="000000" w:themeColor="text1"/>
        </w:rPr>
        <w:t>S</w:t>
      </w:r>
      <w:r w:rsidR="00F3260A">
        <w:rPr>
          <w:rFonts w:asciiTheme="majorHAnsi" w:hAnsiTheme="majorHAnsi" w:cs="Arial"/>
          <w:color w:val="000000" w:themeColor="text1"/>
        </w:rPr>
        <w:t xml:space="preserve">ervices </w:t>
      </w:r>
      <w:r>
        <w:rPr>
          <w:rFonts w:asciiTheme="majorHAnsi" w:hAnsiTheme="majorHAnsi" w:cs="Arial"/>
          <w:color w:val="000000" w:themeColor="text1"/>
        </w:rPr>
        <w:t>that</w:t>
      </w:r>
      <w:r w:rsidR="00F3260A">
        <w:rPr>
          <w:rFonts w:asciiTheme="majorHAnsi" w:hAnsiTheme="majorHAnsi" w:cs="Arial"/>
          <w:color w:val="000000" w:themeColor="text1"/>
        </w:rPr>
        <w:t xml:space="preserve"> operate </w:t>
      </w:r>
      <w:r w:rsidR="009205E5">
        <w:rPr>
          <w:rFonts w:asciiTheme="majorHAnsi" w:hAnsiTheme="majorHAnsi" w:cs="Arial"/>
          <w:color w:val="000000" w:themeColor="text1"/>
        </w:rPr>
        <w:t>with</w:t>
      </w:r>
      <w:r w:rsidR="00F3260A">
        <w:rPr>
          <w:rFonts w:asciiTheme="majorHAnsi" w:hAnsiTheme="majorHAnsi" w:cs="Arial"/>
          <w:color w:val="000000" w:themeColor="text1"/>
        </w:rPr>
        <w:t xml:space="preserve"> </w:t>
      </w:r>
      <w:r>
        <w:rPr>
          <w:rFonts w:asciiTheme="majorHAnsi" w:hAnsiTheme="majorHAnsi" w:cs="Arial"/>
          <w:color w:val="000000" w:themeColor="text1"/>
        </w:rPr>
        <w:t>these</w:t>
      </w:r>
      <w:r w:rsidR="00F3260A">
        <w:rPr>
          <w:rFonts w:asciiTheme="majorHAnsi" w:hAnsiTheme="majorHAnsi" w:cs="Arial"/>
          <w:color w:val="000000" w:themeColor="text1"/>
        </w:rPr>
        <w:t xml:space="preserve"> principles</w:t>
      </w:r>
      <w:r w:rsidR="00E400A5" w:rsidRPr="00E400A5">
        <w:rPr>
          <w:rFonts w:asciiTheme="majorHAnsi" w:hAnsiTheme="majorHAnsi" w:cs="Arial"/>
          <w:color w:val="000000" w:themeColor="text1"/>
        </w:rPr>
        <w:t xml:space="preserve"> </w:t>
      </w:r>
      <w:r w:rsidR="00F3260A">
        <w:rPr>
          <w:rFonts w:asciiTheme="majorHAnsi" w:hAnsiTheme="majorHAnsi" w:cs="Arial"/>
          <w:color w:val="000000" w:themeColor="text1"/>
        </w:rPr>
        <w:t>are therefore</w:t>
      </w:r>
      <w:r w:rsidR="003A7263">
        <w:rPr>
          <w:rFonts w:asciiTheme="majorHAnsi" w:hAnsiTheme="majorHAnsi" w:cs="Arial"/>
          <w:color w:val="000000" w:themeColor="text1"/>
        </w:rPr>
        <w:t xml:space="preserve"> inclusive of all women based on their self-identification. </w:t>
      </w:r>
      <w:r w:rsidR="00E400A5">
        <w:rPr>
          <w:rFonts w:asciiTheme="majorHAnsi" w:hAnsiTheme="majorHAnsi" w:cs="Arial"/>
          <w:color w:val="000000" w:themeColor="text1"/>
        </w:rPr>
        <w:t>They are</w:t>
      </w:r>
      <w:r w:rsidR="005574E7">
        <w:rPr>
          <w:rFonts w:asciiTheme="majorHAnsi" w:hAnsiTheme="majorHAnsi" w:cs="Arial"/>
          <w:color w:val="000000" w:themeColor="text1"/>
        </w:rPr>
        <w:t xml:space="preserve"> also well trained and equipped to respond to LGBTIQ+ </w:t>
      </w:r>
      <w:r w:rsidR="00DC7350">
        <w:rPr>
          <w:rFonts w:asciiTheme="majorHAnsi" w:hAnsiTheme="majorHAnsi" w:cs="Arial"/>
          <w:color w:val="000000" w:themeColor="text1"/>
        </w:rPr>
        <w:t xml:space="preserve">people </w:t>
      </w:r>
      <w:r w:rsidR="005574E7">
        <w:rPr>
          <w:rFonts w:asciiTheme="majorHAnsi" w:hAnsiTheme="majorHAnsi" w:cs="Arial"/>
          <w:color w:val="000000" w:themeColor="text1"/>
        </w:rPr>
        <w:t>(for example, understanding that it is an ex-partner who may be violent and not a current same sex partner)</w:t>
      </w:r>
      <w:r w:rsidR="00F3260A">
        <w:rPr>
          <w:rFonts w:asciiTheme="majorHAnsi" w:hAnsiTheme="majorHAnsi" w:cs="Arial"/>
          <w:color w:val="000000" w:themeColor="text1"/>
        </w:rPr>
        <w:t xml:space="preserve"> (With Respect, 2020</w:t>
      </w:r>
      <w:r w:rsidR="00F3260A" w:rsidRPr="00A0023B">
        <w:rPr>
          <w:rFonts w:asciiTheme="majorHAnsi" w:hAnsiTheme="majorHAnsi" w:cs="Arial"/>
          <w:color w:val="000000" w:themeColor="text1"/>
        </w:rPr>
        <w:t>)</w:t>
      </w:r>
      <w:r w:rsidR="00FE010F" w:rsidRPr="00A0023B">
        <w:rPr>
          <w:rFonts w:asciiTheme="majorHAnsi" w:hAnsiTheme="majorHAnsi" w:cs="Arial"/>
          <w:color w:val="000000" w:themeColor="text1"/>
        </w:rPr>
        <w:t>.</w:t>
      </w:r>
      <w:r w:rsidR="00FE010F">
        <w:rPr>
          <w:rFonts w:asciiTheme="majorHAnsi" w:hAnsiTheme="majorHAnsi" w:cs="Arial"/>
          <w:color w:val="000000" w:themeColor="text1"/>
        </w:rPr>
        <w:t xml:space="preserve"> Access to interpreters </w:t>
      </w:r>
      <w:r>
        <w:rPr>
          <w:rFonts w:asciiTheme="majorHAnsi" w:hAnsiTheme="majorHAnsi" w:cs="Arial"/>
          <w:color w:val="000000" w:themeColor="text1"/>
        </w:rPr>
        <w:t>i</w:t>
      </w:r>
      <w:r w:rsidR="00370352">
        <w:rPr>
          <w:rFonts w:asciiTheme="majorHAnsi" w:hAnsiTheme="majorHAnsi" w:cs="Arial"/>
          <w:color w:val="000000" w:themeColor="text1"/>
        </w:rPr>
        <w:t>s</w:t>
      </w:r>
      <w:r>
        <w:rPr>
          <w:rFonts w:asciiTheme="majorHAnsi" w:hAnsiTheme="majorHAnsi" w:cs="Arial"/>
          <w:color w:val="000000" w:themeColor="text1"/>
        </w:rPr>
        <w:t xml:space="preserve"> </w:t>
      </w:r>
      <w:r w:rsidR="00FE010F">
        <w:rPr>
          <w:rFonts w:asciiTheme="majorHAnsi" w:hAnsiTheme="majorHAnsi" w:cs="Arial"/>
          <w:color w:val="000000" w:themeColor="text1"/>
        </w:rPr>
        <w:t>provided upon on request and free of charge. Where a service has no capacity to support a victim/survivor</w:t>
      </w:r>
      <w:r w:rsidR="004B3F1F">
        <w:rPr>
          <w:rFonts w:asciiTheme="majorHAnsi" w:hAnsiTheme="majorHAnsi" w:cs="Arial"/>
          <w:color w:val="000000" w:themeColor="text1"/>
        </w:rPr>
        <w:t>,</w:t>
      </w:r>
      <w:r w:rsidR="00FE010F">
        <w:rPr>
          <w:rFonts w:asciiTheme="majorHAnsi" w:hAnsiTheme="majorHAnsi" w:cs="Arial"/>
          <w:color w:val="000000" w:themeColor="text1"/>
        </w:rPr>
        <w:t xml:space="preserve"> active referral pathways must be in place to make sure that the needs of victims/survivors are met. </w:t>
      </w:r>
    </w:p>
    <w:p w:rsidR="00FE010F" w:rsidRDefault="00FE010F" w:rsidP="005574E7">
      <w:pPr>
        <w:rPr>
          <w:rFonts w:asciiTheme="majorHAnsi" w:hAnsiTheme="majorHAnsi" w:cs="Arial"/>
          <w:color w:val="000000" w:themeColor="text1"/>
        </w:rPr>
      </w:pPr>
      <w:r>
        <w:rPr>
          <w:rFonts w:asciiTheme="majorHAnsi" w:hAnsiTheme="majorHAnsi" w:cs="Arial"/>
          <w:color w:val="000000" w:themeColor="text1"/>
        </w:rPr>
        <w:t>Where this system does not yet exist, services and their representative organisations recognise an obligation to work towards it both internally, through competence training, accountability and capacity-building, and externally, through sector development and by advocating for more resources to be allocated to services specifically devoted to people who are particularly marginalised. For instance, ANROWS</w:t>
      </w:r>
      <w:r w:rsidR="00EA1C0F">
        <w:rPr>
          <w:rFonts w:asciiTheme="majorHAnsi" w:hAnsiTheme="majorHAnsi" w:cs="Arial"/>
          <w:color w:val="000000" w:themeColor="text1"/>
        </w:rPr>
        <w:t xml:space="preserve"> </w:t>
      </w:r>
      <w:r>
        <w:rPr>
          <w:rFonts w:asciiTheme="majorHAnsi" w:hAnsiTheme="majorHAnsi" w:cs="Arial"/>
          <w:color w:val="000000" w:themeColor="text1"/>
        </w:rPr>
        <w:t xml:space="preserve">reports that it is important to cultivate stronger ties between specialist women’s services and local Aboriginal </w:t>
      </w:r>
      <w:r w:rsidR="00DC7350">
        <w:rPr>
          <w:rFonts w:asciiTheme="majorHAnsi" w:hAnsiTheme="majorHAnsi" w:cs="Arial"/>
          <w:color w:val="000000" w:themeColor="text1"/>
        </w:rPr>
        <w:t>and Torres Strait Islander community controlled organisations</w:t>
      </w:r>
      <w:r w:rsidR="008251FD">
        <w:rPr>
          <w:rFonts w:asciiTheme="majorHAnsi" w:hAnsiTheme="majorHAnsi" w:cs="Arial"/>
          <w:color w:val="000000" w:themeColor="text1"/>
        </w:rPr>
        <w:t xml:space="preserve"> and leaders</w:t>
      </w:r>
      <w:r>
        <w:rPr>
          <w:rFonts w:asciiTheme="majorHAnsi" w:hAnsiTheme="majorHAnsi" w:cs="Arial"/>
          <w:color w:val="000000" w:themeColor="text1"/>
        </w:rPr>
        <w:t xml:space="preserve"> in order to fully meet the needs of Aboriginal and Torres Strait Islander women</w:t>
      </w:r>
      <w:r w:rsidR="007A314E">
        <w:rPr>
          <w:rFonts w:asciiTheme="majorHAnsi" w:hAnsiTheme="majorHAnsi" w:cs="Arial"/>
          <w:color w:val="000000" w:themeColor="text1"/>
        </w:rPr>
        <w:t xml:space="preserve"> (ANROWS, 2017B)</w:t>
      </w:r>
      <w:r>
        <w:rPr>
          <w:rFonts w:asciiTheme="majorHAnsi" w:hAnsiTheme="majorHAnsi" w:cs="Arial"/>
          <w:color w:val="000000" w:themeColor="text1"/>
        </w:rPr>
        <w:t xml:space="preserve">. </w:t>
      </w:r>
    </w:p>
    <w:p w:rsidR="00FE010F" w:rsidRPr="00630611" w:rsidRDefault="00EA1C0F" w:rsidP="003A7263">
      <w:pPr>
        <w:rPr>
          <w:b/>
          <w:lang w:val="en-AU"/>
        </w:rPr>
      </w:pPr>
      <w:r>
        <w:rPr>
          <w:rFonts w:asciiTheme="majorHAnsi" w:hAnsiTheme="majorHAnsi" w:cs="Arial"/>
          <w:color w:val="000000" w:themeColor="text1"/>
        </w:rPr>
        <w:t xml:space="preserve">Lastly, applying </w:t>
      </w:r>
      <w:r w:rsidR="00370352">
        <w:rPr>
          <w:rFonts w:asciiTheme="majorHAnsi" w:hAnsiTheme="majorHAnsi" w:cs="Arial"/>
          <w:color w:val="000000" w:themeColor="text1"/>
        </w:rPr>
        <w:t>this principle</w:t>
      </w:r>
      <w:r>
        <w:rPr>
          <w:rFonts w:asciiTheme="majorHAnsi" w:hAnsiTheme="majorHAnsi" w:cs="Arial"/>
          <w:color w:val="000000" w:themeColor="text1"/>
        </w:rPr>
        <w:t xml:space="preserve"> means that a</w:t>
      </w:r>
      <w:r w:rsidR="00FE010F">
        <w:rPr>
          <w:rFonts w:asciiTheme="majorHAnsi" w:hAnsiTheme="majorHAnsi" w:cs="Arial"/>
          <w:color w:val="000000" w:themeColor="text1"/>
        </w:rPr>
        <w:t xml:space="preserve"> service works towards promoting gender equality and understands that it is not possible </w:t>
      </w:r>
      <w:r>
        <w:rPr>
          <w:rFonts w:asciiTheme="majorHAnsi" w:hAnsiTheme="majorHAnsi" w:cs="Arial"/>
          <w:color w:val="000000" w:themeColor="text1"/>
        </w:rPr>
        <w:t xml:space="preserve">to achieve it </w:t>
      </w:r>
      <w:r w:rsidR="00FE010F">
        <w:rPr>
          <w:rFonts w:asciiTheme="majorHAnsi" w:hAnsiTheme="majorHAnsi" w:cs="Arial"/>
          <w:color w:val="000000" w:themeColor="text1"/>
        </w:rPr>
        <w:t>without addressing homophobia, transphobia, racism, xenophobia, ableism and ageism. It does so</w:t>
      </w:r>
      <w:r>
        <w:rPr>
          <w:rFonts w:asciiTheme="majorHAnsi" w:hAnsiTheme="majorHAnsi" w:cs="Arial"/>
          <w:color w:val="000000" w:themeColor="text1"/>
        </w:rPr>
        <w:t xml:space="preserve"> </w:t>
      </w:r>
      <w:r w:rsidR="00FE010F" w:rsidRPr="00EB73D5">
        <w:t xml:space="preserve">in a manner that is accountable to </w:t>
      </w:r>
      <w:r>
        <w:t>the communities it serves</w:t>
      </w:r>
      <w:r w:rsidR="00F3260A">
        <w:t xml:space="preserve"> (UNFPA, 2019)</w:t>
      </w:r>
      <w:r>
        <w:t>.</w:t>
      </w:r>
      <w:r w:rsidR="00FE010F" w:rsidRPr="00EB73D5">
        <w:t xml:space="preserve"> </w:t>
      </w:r>
    </w:p>
    <w:tbl>
      <w:tblPr>
        <w:tblStyle w:val="TableGrid"/>
        <w:tblW w:w="0" w:type="auto"/>
        <w:tblLook w:val="04A0" w:firstRow="1" w:lastRow="0" w:firstColumn="1" w:lastColumn="0" w:noHBand="0" w:noVBand="1"/>
      </w:tblPr>
      <w:tblGrid>
        <w:gridCol w:w="9016"/>
      </w:tblGrid>
      <w:tr w:rsidR="003A7263" w:rsidTr="003A7263">
        <w:tc>
          <w:tcPr>
            <w:tcW w:w="9016" w:type="dxa"/>
          </w:tcPr>
          <w:p w:rsidR="003A7263" w:rsidRDefault="0021727B" w:rsidP="003A7263">
            <w:pPr>
              <w:rPr>
                <w:b/>
              </w:rPr>
            </w:pPr>
            <w:r>
              <w:rPr>
                <w:b/>
              </w:rPr>
              <w:t>Practice guiding considerations</w:t>
            </w:r>
            <w:r w:rsidR="003A7263">
              <w:rPr>
                <w:b/>
              </w:rPr>
              <w:t xml:space="preserve">: </w:t>
            </w:r>
          </w:p>
          <w:p w:rsidR="0035334B" w:rsidRDefault="0035334B" w:rsidP="0035334B">
            <w:r>
              <w:t>To assess whether your service is operating through a</w:t>
            </w:r>
            <w:r w:rsidR="00DC7350">
              <w:t>n intersectional</w:t>
            </w:r>
            <w:r w:rsidR="008251FD">
              <w:t xml:space="preserve"> and equitable</w:t>
            </w:r>
            <w:r w:rsidR="00DC7350">
              <w:t xml:space="preserve"> feminist </w:t>
            </w:r>
            <w:r>
              <w:t>approach, would you agree with the following statements being applie</w:t>
            </w:r>
            <w:r w:rsidR="009205E5">
              <w:t>d</w:t>
            </w:r>
            <w:r>
              <w:t xml:space="preserve"> in your organisation?</w:t>
            </w:r>
          </w:p>
          <w:p w:rsidR="003A7263" w:rsidRPr="00D04247" w:rsidRDefault="00DC7350" w:rsidP="00D04247">
            <w:pPr>
              <w:pStyle w:val="ListParagraph"/>
              <w:numPr>
                <w:ilvl w:val="0"/>
                <w:numId w:val="15"/>
              </w:numPr>
              <w:spacing w:before="0" w:after="0"/>
              <w:jc w:val="left"/>
            </w:pPr>
            <w:r>
              <w:t>Feedback from service use</w:t>
            </w:r>
            <w:r w:rsidR="009205E5">
              <w:t>r</w:t>
            </w:r>
            <w:r>
              <w:t xml:space="preserve">s confirms that services </w:t>
            </w:r>
            <w:r w:rsidR="003A7263">
              <w:t xml:space="preserve">provided </w:t>
            </w:r>
            <w:r w:rsidR="00D04247">
              <w:t>are</w:t>
            </w:r>
            <w:r w:rsidR="003A7263">
              <w:t xml:space="preserve"> gender-responsive, trauma-informed, accessible,</w:t>
            </w:r>
            <w:r w:rsidR="001A290E">
              <w:t xml:space="preserve"> affirmative</w:t>
            </w:r>
            <w:r w:rsidR="003A7263">
              <w:t xml:space="preserve"> </w:t>
            </w:r>
            <w:r>
              <w:t>and equitable</w:t>
            </w:r>
            <w:r w:rsidR="001A290E">
              <w:t xml:space="preserve">. </w:t>
            </w:r>
          </w:p>
          <w:p w:rsidR="003A7263" w:rsidRDefault="00D04247" w:rsidP="00D04247">
            <w:pPr>
              <w:pStyle w:val="ListParagraph"/>
              <w:numPr>
                <w:ilvl w:val="0"/>
                <w:numId w:val="15"/>
              </w:numPr>
              <w:spacing w:before="0" w:after="0"/>
              <w:jc w:val="left"/>
            </w:pPr>
            <w:r>
              <w:t>Service workers use</w:t>
            </w:r>
            <w:r w:rsidR="003A7263">
              <w:t xml:space="preserve"> </w:t>
            </w:r>
            <w:r w:rsidR="00DC7350">
              <w:t>non-judgemental</w:t>
            </w:r>
            <w:r w:rsidR="003A7263">
              <w:t xml:space="preserve"> language such as open-ended questions to identify </w:t>
            </w:r>
            <w:r>
              <w:t xml:space="preserve">person’s gender and use correct pronouns. </w:t>
            </w:r>
          </w:p>
          <w:p w:rsidR="003A7263" w:rsidRPr="00165A9D" w:rsidRDefault="00D04247" w:rsidP="00D04247">
            <w:pPr>
              <w:pStyle w:val="ListParagraph"/>
              <w:numPr>
                <w:ilvl w:val="0"/>
                <w:numId w:val="15"/>
              </w:numPr>
              <w:spacing w:before="0" w:after="0"/>
              <w:jc w:val="left"/>
            </w:pPr>
            <w:r>
              <w:t>A</w:t>
            </w:r>
            <w:r w:rsidR="003A7263">
              <w:t xml:space="preserve"> service </w:t>
            </w:r>
            <w:r>
              <w:t>is</w:t>
            </w:r>
            <w:r w:rsidR="003A7263">
              <w:t xml:space="preserve"> </w:t>
            </w:r>
            <w:r w:rsidR="00DC7350">
              <w:t xml:space="preserve">physically </w:t>
            </w:r>
            <w:r w:rsidR="003A7263">
              <w:t>accessible and</w:t>
            </w:r>
            <w:r w:rsidR="00DC7350">
              <w:t xml:space="preserve"> can be</w:t>
            </w:r>
            <w:r w:rsidR="003A7263">
              <w:t xml:space="preserve"> tailored</w:t>
            </w:r>
            <w:r w:rsidR="00DC7350">
              <w:t xml:space="preserve"> as required</w:t>
            </w:r>
            <w:r w:rsidR="003A7263">
              <w:t xml:space="preserve"> to</w:t>
            </w:r>
            <w:r w:rsidR="00DC7350">
              <w:t xml:space="preserve"> identify and meet</w:t>
            </w:r>
            <w:r w:rsidR="003A7263">
              <w:t xml:space="preserve"> </w:t>
            </w:r>
            <w:r>
              <w:t>the</w:t>
            </w:r>
            <w:r w:rsidR="003A7263">
              <w:t xml:space="preserve"> needs </w:t>
            </w:r>
            <w:r>
              <w:t>of a woman</w:t>
            </w:r>
            <w:r w:rsidR="009205E5">
              <w:t xml:space="preserve"> and/or children</w:t>
            </w:r>
            <w:r w:rsidR="003A7263">
              <w:t xml:space="preserve"> with disabilities.</w:t>
            </w:r>
          </w:p>
          <w:p w:rsidR="00D04247" w:rsidRDefault="00D04247" w:rsidP="00D04247">
            <w:pPr>
              <w:pStyle w:val="ListParagraph"/>
              <w:numPr>
                <w:ilvl w:val="0"/>
                <w:numId w:val="15"/>
              </w:numPr>
              <w:spacing w:before="0" w:after="0"/>
              <w:jc w:val="left"/>
            </w:pPr>
            <w:r>
              <w:t>A service</w:t>
            </w:r>
            <w:r w:rsidR="003A7263">
              <w:t xml:space="preserve"> provide</w:t>
            </w:r>
            <w:r>
              <w:t>s</w:t>
            </w:r>
            <w:r w:rsidR="004420B6">
              <w:t xml:space="preserve"> translated resources and</w:t>
            </w:r>
            <w:r w:rsidR="003A7263">
              <w:t xml:space="preserve"> an interpreter</w:t>
            </w:r>
            <w:r w:rsidR="00DC7350">
              <w:t xml:space="preserve"> at no-cost to the victim/survivor</w:t>
            </w:r>
            <w:r w:rsidR="003A7263">
              <w:t xml:space="preserve">.  </w:t>
            </w:r>
          </w:p>
          <w:p w:rsidR="004420B6" w:rsidRDefault="007604D6" w:rsidP="00D04247">
            <w:pPr>
              <w:pStyle w:val="ListParagraph"/>
              <w:numPr>
                <w:ilvl w:val="0"/>
                <w:numId w:val="15"/>
              </w:numPr>
              <w:spacing w:before="0" w:after="0"/>
              <w:jc w:val="left"/>
            </w:pPr>
            <w:r>
              <w:t>A</w:t>
            </w:r>
            <w:r w:rsidR="004420B6">
              <w:t xml:space="preserve"> service provides support</w:t>
            </w:r>
            <w:r w:rsidR="009205E5">
              <w:t xml:space="preserve"> and resources</w:t>
            </w:r>
            <w:r w:rsidR="004420B6">
              <w:t xml:space="preserve"> to women on temporary visas, or if outside of funding parameters instead provides comprehensive referral and support pathways and participates in advocacy for equity of access for women and their children on temporary visas.</w:t>
            </w:r>
          </w:p>
          <w:p w:rsidR="00D04247" w:rsidRDefault="00D04247" w:rsidP="00210197">
            <w:pPr>
              <w:pStyle w:val="ListParagraph"/>
              <w:numPr>
                <w:ilvl w:val="0"/>
                <w:numId w:val="15"/>
              </w:numPr>
              <w:spacing w:before="0" w:after="0"/>
              <w:jc w:val="left"/>
            </w:pPr>
            <w:r>
              <w:t xml:space="preserve">A service has a </w:t>
            </w:r>
            <w:r w:rsidR="007604D6">
              <w:t>R</w:t>
            </w:r>
            <w:r w:rsidR="00210197">
              <w:t xml:space="preserve">econciliation </w:t>
            </w:r>
            <w:r w:rsidR="00590DF9">
              <w:t>A</w:t>
            </w:r>
            <w:r w:rsidR="00DC7350">
              <w:t xml:space="preserve">ction </w:t>
            </w:r>
            <w:r w:rsidR="00590DF9">
              <w:t>P</w:t>
            </w:r>
            <w:r>
              <w:t>lan</w:t>
            </w:r>
            <w:r w:rsidR="00210197">
              <w:t>, or a</w:t>
            </w:r>
            <w:r w:rsidR="007604D6">
              <w:t>n</w:t>
            </w:r>
            <w:r w:rsidR="00210197">
              <w:t xml:space="preserve"> </w:t>
            </w:r>
            <w:r w:rsidR="00210197" w:rsidRPr="00210197">
              <w:t>Aboriginal Cultural Safety Framework</w:t>
            </w:r>
            <w:r w:rsidR="00210197">
              <w:t xml:space="preserve">, </w:t>
            </w:r>
            <w:r w:rsidR="00590DF9">
              <w:t>either following guidelines of Reconciliation Australia or following leadership of local Elders</w:t>
            </w:r>
            <w:r>
              <w:t xml:space="preserve">. </w:t>
            </w:r>
          </w:p>
          <w:p w:rsidR="00D04247" w:rsidRDefault="00D04247" w:rsidP="00D04247">
            <w:pPr>
              <w:pStyle w:val="ListParagraph"/>
              <w:numPr>
                <w:ilvl w:val="0"/>
                <w:numId w:val="15"/>
              </w:numPr>
              <w:spacing w:before="0" w:after="0"/>
              <w:jc w:val="left"/>
            </w:pPr>
            <w:r>
              <w:t>A service</w:t>
            </w:r>
            <w:r w:rsidR="00D706DB">
              <w:t xml:space="preserve"> </w:t>
            </w:r>
            <w:r w:rsidR="007604D6">
              <w:t>has considered</w:t>
            </w:r>
            <w:r w:rsidR="008251FD">
              <w:t xml:space="preserve"> completing the Rainbow </w:t>
            </w:r>
            <w:r w:rsidR="009205E5">
              <w:t>T</w:t>
            </w:r>
            <w:r w:rsidR="008251FD">
              <w:t>ick process</w:t>
            </w:r>
            <w:r w:rsidR="00D706DB">
              <w:t xml:space="preserve"> </w:t>
            </w:r>
            <w:r w:rsidR="007604D6">
              <w:t xml:space="preserve">or has an alternative LGBTIQ+ inclusion framework.  It </w:t>
            </w:r>
            <w:r>
              <w:t>displays a rainbow flag</w:t>
            </w:r>
            <w:r w:rsidR="00590DF9">
              <w:t xml:space="preserve"> alongside Aboriginal and Torres Strait Islander flags near the entrance or reception areas</w:t>
            </w:r>
            <w:r>
              <w:t xml:space="preserve"> to indicate commitment to the rights of </w:t>
            </w:r>
            <w:r w:rsidR="00590DF9">
              <w:t xml:space="preserve">all </w:t>
            </w:r>
            <w:r>
              <w:t>LGBTIQ+ persons.</w:t>
            </w:r>
          </w:p>
          <w:p w:rsidR="00590DF9" w:rsidRDefault="00590DF9" w:rsidP="00D04247">
            <w:pPr>
              <w:pStyle w:val="ListParagraph"/>
              <w:numPr>
                <w:ilvl w:val="0"/>
                <w:numId w:val="15"/>
              </w:numPr>
              <w:spacing w:before="0" w:after="0"/>
              <w:jc w:val="left"/>
            </w:pPr>
            <w:r>
              <w:t xml:space="preserve">Service workers are trained on being active-bystanders in the workplace to speak out if witnessing discrimination </w:t>
            </w:r>
            <w:r w:rsidR="009205E5">
              <w:t>against</w:t>
            </w:r>
            <w:r>
              <w:t xml:space="preserve"> staff or </w:t>
            </w:r>
            <w:r w:rsidR="009205E5">
              <w:t>victims/survivors</w:t>
            </w:r>
            <w:r>
              <w:t>.</w:t>
            </w:r>
          </w:p>
          <w:p w:rsidR="004B3F1F" w:rsidRDefault="004B3F1F">
            <w:pPr>
              <w:pStyle w:val="ListParagraph"/>
              <w:numPr>
                <w:ilvl w:val="0"/>
                <w:numId w:val="15"/>
              </w:numPr>
              <w:spacing w:before="0" w:after="0"/>
              <w:jc w:val="left"/>
            </w:pPr>
            <w:r>
              <w:t>A</w:t>
            </w:r>
            <w:r w:rsidR="004420B6">
              <w:t xml:space="preserve"> service has an anti-discrimination policy, including conflict resolution and grievance processes for </w:t>
            </w:r>
            <w:r w:rsidR="009205E5">
              <w:t>victims/</w:t>
            </w:r>
            <w:r w:rsidR="00FE0185">
              <w:t>survivors</w:t>
            </w:r>
            <w:r w:rsidR="004420B6">
              <w:t xml:space="preserve"> or staff who have experienced discrimination. </w:t>
            </w:r>
          </w:p>
          <w:p w:rsidR="004B3F1F" w:rsidRDefault="004B3F1F" w:rsidP="004B3F1F">
            <w:pPr>
              <w:pStyle w:val="ListParagraph"/>
              <w:numPr>
                <w:ilvl w:val="0"/>
                <w:numId w:val="15"/>
              </w:numPr>
              <w:spacing w:before="0" w:after="0"/>
              <w:jc w:val="left"/>
            </w:pPr>
            <w:r>
              <w:lastRenderedPageBreak/>
              <w:t>A service undertakes an annual review of barriers to access</w:t>
            </w:r>
            <w:r w:rsidR="009205E5">
              <w:t xml:space="preserve"> services</w:t>
            </w:r>
            <w:r>
              <w:t xml:space="preserve"> based on data collected on </w:t>
            </w:r>
            <w:r w:rsidR="009205E5">
              <w:t>victims/survivors from</w:t>
            </w:r>
            <w:r>
              <w:t xml:space="preserve"> diverse backgrounds.</w:t>
            </w:r>
          </w:p>
          <w:p w:rsidR="0021727B" w:rsidRDefault="004B3F1F" w:rsidP="004B3F1F">
            <w:pPr>
              <w:pStyle w:val="ListParagraph"/>
              <w:numPr>
                <w:ilvl w:val="0"/>
                <w:numId w:val="15"/>
              </w:numPr>
              <w:spacing w:before="0" w:after="0"/>
              <w:jc w:val="left"/>
            </w:pPr>
            <w:r>
              <w:t>A s</w:t>
            </w:r>
            <w:r w:rsidR="0021727B" w:rsidRPr="0021727B">
              <w:t>ervice</w:t>
            </w:r>
            <w:r>
              <w:t xml:space="preserve"> is </w:t>
            </w:r>
            <w:r w:rsidR="0021727B" w:rsidRPr="0021727B">
              <w:t>accessible to women with pets</w:t>
            </w:r>
            <w:r w:rsidR="0079261C">
              <w:t xml:space="preserve"> if physically possible or</w:t>
            </w:r>
            <w:r w:rsidR="0021727B" w:rsidRPr="0021727B">
              <w:t xml:space="preserve"> arrange</w:t>
            </w:r>
            <w:r w:rsidR="008E6D5D">
              <w:t>s</w:t>
            </w:r>
            <w:r w:rsidR="0021727B" w:rsidRPr="0021727B">
              <w:t xml:space="preserve"> appropriate accommodation options for them</w:t>
            </w:r>
            <w:r w:rsidR="0021727B">
              <w:t xml:space="preserve"> </w:t>
            </w:r>
            <w:r w:rsidR="0021727B" w:rsidRPr="0021727B">
              <w:t>.</w:t>
            </w:r>
          </w:p>
          <w:p w:rsidR="003A7263" w:rsidRDefault="003A7263" w:rsidP="00F04A68">
            <w:pPr>
              <w:ind w:left="360"/>
              <w:rPr>
                <w:rFonts w:asciiTheme="majorHAnsi" w:hAnsiTheme="majorHAnsi" w:cs="Arial"/>
                <w:color w:val="000000" w:themeColor="text1"/>
              </w:rPr>
            </w:pPr>
          </w:p>
        </w:tc>
      </w:tr>
    </w:tbl>
    <w:p w:rsidR="003A7263" w:rsidRDefault="003A7263" w:rsidP="003A7263"/>
    <w:p w:rsidR="00210197" w:rsidRPr="0029596E" w:rsidRDefault="005574E7" w:rsidP="00297F19">
      <w:pPr>
        <w:pStyle w:val="Heading2"/>
      </w:pPr>
      <w:r w:rsidRPr="0029596E">
        <w:t xml:space="preserve">Principle 3: </w:t>
      </w:r>
      <w:r w:rsidR="00262BBC" w:rsidRPr="0029596E">
        <w:t xml:space="preserve">A victim/survivor </w:t>
      </w:r>
      <w:r w:rsidR="00B7399D" w:rsidRPr="0029596E">
        <w:t>centred</w:t>
      </w:r>
      <w:r w:rsidR="00262BBC" w:rsidRPr="0029596E">
        <w:t xml:space="preserve"> practice and empowerment </w:t>
      </w:r>
      <w:r w:rsidR="004D091F" w:rsidRPr="0029596E">
        <w:t>approach</w:t>
      </w:r>
    </w:p>
    <w:p w:rsidR="00FE010F" w:rsidRDefault="00FE010F" w:rsidP="009A49BF">
      <w:pPr>
        <w:rPr>
          <w:rFonts w:asciiTheme="majorHAnsi" w:hAnsiTheme="majorHAnsi" w:cs="Arial"/>
        </w:rPr>
      </w:pPr>
      <w:r>
        <w:rPr>
          <w:rFonts w:asciiTheme="majorHAnsi" w:hAnsiTheme="majorHAnsi" w:cs="Arial"/>
        </w:rPr>
        <w:t xml:space="preserve">Adopting a </w:t>
      </w:r>
      <w:r w:rsidR="0079261C">
        <w:rPr>
          <w:rFonts w:asciiTheme="majorHAnsi" w:hAnsiTheme="majorHAnsi" w:cs="Arial"/>
        </w:rPr>
        <w:t>victim/</w:t>
      </w:r>
      <w:r>
        <w:rPr>
          <w:rFonts w:asciiTheme="majorHAnsi" w:hAnsiTheme="majorHAnsi" w:cs="Arial"/>
        </w:rPr>
        <w:t>survivor-centred approach ensures that specific attention is applied to individual women’s and children’s safety, confidentiality and well-being throughout all functions of a service. Victims/survivors are believed when they share their experiences of sexual and gender-based violence</w:t>
      </w:r>
      <w:r w:rsidR="00CF4CEB">
        <w:rPr>
          <w:rFonts w:asciiTheme="majorHAnsi" w:hAnsiTheme="majorHAnsi" w:cs="Arial"/>
        </w:rPr>
        <w:t xml:space="preserve"> (AWAVA, 2020)</w:t>
      </w:r>
      <w:r>
        <w:rPr>
          <w:rFonts w:asciiTheme="majorHAnsi" w:hAnsiTheme="majorHAnsi" w:cs="Arial"/>
        </w:rPr>
        <w:t>. The role of the services lies in assisting them to “restore dignity and control over their lives without coercion or negative judgement</w:t>
      </w:r>
      <w:r w:rsidRPr="005A7EEB">
        <w:rPr>
          <w:rFonts w:asciiTheme="majorHAnsi" w:hAnsiTheme="majorHAnsi" w:cs="Arial"/>
        </w:rPr>
        <w:t>”</w:t>
      </w:r>
      <w:r w:rsidR="00EF7F7C" w:rsidRPr="00EF7F7C">
        <w:t xml:space="preserve"> </w:t>
      </w:r>
      <w:r w:rsidR="00EF7F7C">
        <w:t>(</w:t>
      </w:r>
      <w:r w:rsidR="00EF7F7C">
        <w:rPr>
          <w:rFonts w:asciiTheme="majorHAnsi" w:hAnsiTheme="majorHAnsi" w:cs="Arial"/>
        </w:rPr>
        <w:t xml:space="preserve">Domestic Violence Victoria, </w:t>
      </w:r>
      <w:r w:rsidR="00EF7F7C" w:rsidRPr="00EF7F7C">
        <w:rPr>
          <w:rFonts w:asciiTheme="majorHAnsi" w:hAnsiTheme="majorHAnsi" w:cs="Arial"/>
        </w:rPr>
        <w:t>2020)</w:t>
      </w:r>
      <w:r w:rsidRPr="005A7EEB">
        <w:rPr>
          <w:rFonts w:asciiTheme="majorHAnsi" w:hAnsiTheme="majorHAnsi" w:cs="Arial"/>
        </w:rPr>
        <w:t>. Victims/survivors have a right to choose and refuse services based on their needs.</w:t>
      </w:r>
      <w:r>
        <w:rPr>
          <w:rFonts w:asciiTheme="majorHAnsi" w:hAnsiTheme="majorHAnsi" w:cs="Arial"/>
        </w:rPr>
        <w:t xml:space="preserve"> </w:t>
      </w:r>
      <w:r w:rsidRPr="004F0849">
        <w:rPr>
          <w:rFonts w:asciiTheme="majorHAnsi" w:hAnsiTheme="majorHAnsi" w:cs="Arial"/>
          <w:noProof/>
        </w:rPr>
        <w:t xml:space="preserve">In addition, </w:t>
      </w:r>
      <w:r>
        <w:rPr>
          <w:rFonts w:asciiTheme="majorHAnsi" w:hAnsiTheme="majorHAnsi" w:cs="Arial"/>
          <w:noProof/>
        </w:rPr>
        <w:t>appliying this</w:t>
      </w:r>
      <w:r w:rsidRPr="004F0849">
        <w:rPr>
          <w:rFonts w:asciiTheme="majorHAnsi" w:hAnsiTheme="majorHAnsi" w:cs="Arial"/>
          <w:noProof/>
        </w:rPr>
        <w:t xml:space="preserve"> </w:t>
      </w:r>
      <w:r>
        <w:rPr>
          <w:rFonts w:asciiTheme="majorHAnsi" w:hAnsiTheme="majorHAnsi" w:cs="Arial"/>
          <w:noProof/>
        </w:rPr>
        <w:t>principle</w:t>
      </w:r>
      <w:r w:rsidRPr="004F0849">
        <w:rPr>
          <w:rFonts w:asciiTheme="majorHAnsi" w:hAnsiTheme="majorHAnsi" w:cs="Arial"/>
          <w:noProof/>
        </w:rPr>
        <w:t xml:space="preserve"> also ensures children </w:t>
      </w:r>
      <w:r w:rsidR="0035223E">
        <w:rPr>
          <w:rFonts w:asciiTheme="majorHAnsi" w:hAnsiTheme="majorHAnsi" w:cs="Arial"/>
          <w:noProof/>
        </w:rPr>
        <w:t xml:space="preserve">are recognised </w:t>
      </w:r>
      <w:r w:rsidRPr="004F0849">
        <w:rPr>
          <w:rFonts w:asciiTheme="majorHAnsi" w:hAnsiTheme="majorHAnsi" w:cs="Arial"/>
          <w:noProof/>
        </w:rPr>
        <w:t xml:space="preserve">as clients in their own right. This enables </w:t>
      </w:r>
      <w:r w:rsidR="0079261C">
        <w:rPr>
          <w:rFonts w:asciiTheme="majorHAnsi" w:hAnsiTheme="majorHAnsi" w:cs="Arial"/>
          <w:noProof/>
        </w:rPr>
        <w:t xml:space="preserve">an </w:t>
      </w:r>
      <w:r w:rsidRPr="004F0849">
        <w:rPr>
          <w:rFonts w:asciiTheme="majorHAnsi" w:hAnsiTheme="majorHAnsi" w:cs="Arial"/>
          <w:noProof/>
        </w:rPr>
        <w:t xml:space="preserve">understanding of cumulative effects of violence on children and prioritises children’s safety and wellbeing.  </w:t>
      </w:r>
    </w:p>
    <w:p w:rsidR="00FE010F" w:rsidRDefault="00FE010F" w:rsidP="009A49BF">
      <w:pPr>
        <w:rPr>
          <w:rFonts w:asciiTheme="majorHAnsi" w:hAnsiTheme="majorHAnsi" w:cs="Arial"/>
        </w:rPr>
      </w:pPr>
      <w:r>
        <w:rPr>
          <w:rFonts w:asciiTheme="majorHAnsi" w:hAnsiTheme="majorHAnsi" w:cs="Arial"/>
        </w:rPr>
        <w:t>Service staff are trained to</w:t>
      </w:r>
      <w:r>
        <w:rPr>
          <w:rFonts w:asciiTheme="majorHAnsi" w:hAnsiTheme="majorHAnsi" w:cs="Arial"/>
          <w:lang w:val="en-US"/>
        </w:rPr>
        <w:t xml:space="preserve"> </w:t>
      </w:r>
      <w:r>
        <w:rPr>
          <w:rFonts w:asciiTheme="majorHAnsi" w:hAnsiTheme="majorHAnsi" w:cs="Arial"/>
        </w:rPr>
        <w:t xml:space="preserve">understand trauma and address the multiple and complex needs of </w:t>
      </w:r>
      <w:r>
        <w:rPr>
          <w:rFonts w:asciiTheme="majorHAnsi" w:hAnsiTheme="majorHAnsi" w:cs="Arial"/>
          <w:lang w:val="en-US"/>
        </w:rPr>
        <w:t>victims</w:t>
      </w:r>
      <w:r w:rsidR="00F3260A">
        <w:rPr>
          <w:rFonts w:asciiTheme="majorHAnsi" w:hAnsiTheme="majorHAnsi" w:cs="Arial"/>
          <w:lang w:val="en-US"/>
        </w:rPr>
        <w:t>/survivors</w:t>
      </w:r>
      <w:r>
        <w:rPr>
          <w:rFonts w:asciiTheme="majorHAnsi" w:hAnsiTheme="majorHAnsi" w:cs="Arial"/>
          <w:lang w:val="en-US"/>
        </w:rPr>
        <w:t xml:space="preserve"> as well as </w:t>
      </w:r>
      <w:r>
        <w:rPr>
          <w:rFonts w:asciiTheme="majorHAnsi" w:hAnsiTheme="majorHAnsi" w:cs="Arial"/>
        </w:rPr>
        <w:t xml:space="preserve">the impact of decisions and actions taken. This understanding can help </w:t>
      </w:r>
      <w:r>
        <w:rPr>
          <w:rFonts w:asciiTheme="majorHAnsi" w:hAnsiTheme="majorHAnsi" w:cs="Arial"/>
          <w:lang w:val="en-US"/>
        </w:rPr>
        <w:t xml:space="preserve">dismantle barriers to services and assist clients to </w:t>
      </w:r>
      <w:r>
        <w:rPr>
          <w:rFonts w:asciiTheme="majorHAnsi" w:hAnsiTheme="majorHAnsi" w:cs="Arial"/>
        </w:rPr>
        <w:t xml:space="preserve">navigate complex systems such as child protection, police, courts, immigration and income support. This non-victim-blaming approach can also provide more space to redress the loss of personal power, and to restore self-respect and confidence by </w:t>
      </w:r>
      <w:r w:rsidR="004420B6">
        <w:rPr>
          <w:rFonts w:asciiTheme="majorHAnsi" w:hAnsiTheme="majorHAnsi" w:cs="Arial"/>
        </w:rPr>
        <w:t xml:space="preserve">actively </w:t>
      </w:r>
      <w:r>
        <w:rPr>
          <w:rFonts w:asciiTheme="majorHAnsi" w:hAnsiTheme="majorHAnsi" w:cs="Arial"/>
        </w:rPr>
        <w:t xml:space="preserve">addressing shame </w:t>
      </w:r>
      <w:r w:rsidR="004420B6">
        <w:rPr>
          <w:rFonts w:asciiTheme="majorHAnsi" w:hAnsiTheme="majorHAnsi" w:cs="Arial"/>
        </w:rPr>
        <w:t xml:space="preserve">or </w:t>
      </w:r>
      <w:r>
        <w:rPr>
          <w:rFonts w:asciiTheme="majorHAnsi" w:hAnsiTheme="majorHAnsi" w:cs="Arial"/>
        </w:rPr>
        <w:t>self-blaming, thereby ensuring that the responsibility for the violence lies with the person who has perpetrated it.</w:t>
      </w:r>
      <w:r w:rsidRPr="006C662E">
        <w:rPr>
          <w:rFonts w:cs="Arial"/>
        </w:rPr>
        <w:t xml:space="preserve"> </w:t>
      </w:r>
    </w:p>
    <w:p w:rsidR="00FE010F" w:rsidRDefault="00FE010F" w:rsidP="00165A9D">
      <w:pPr>
        <w:rPr>
          <w:rFonts w:asciiTheme="majorHAnsi" w:hAnsiTheme="majorHAnsi" w:cs="Arial"/>
        </w:rPr>
      </w:pPr>
      <w:r>
        <w:rPr>
          <w:rFonts w:asciiTheme="majorHAnsi" w:hAnsiTheme="majorHAnsi" w:cs="Arial"/>
          <w:lang w:val="en-US"/>
        </w:rPr>
        <w:t>As well as putting in</w:t>
      </w:r>
      <w:r w:rsidR="0079261C">
        <w:rPr>
          <w:rFonts w:asciiTheme="majorHAnsi" w:hAnsiTheme="majorHAnsi" w:cs="Arial"/>
          <w:lang w:val="en-US"/>
        </w:rPr>
        <w:t>to</w:t>
      </w:r>
      <w:r>
        <w:rPr>
          <w:rFonts w:asciiTheme="majorHAnsi" w:hAnsiTheme="majorHAnsi" w:cs="Arial"/>
          <w:lang w:val="en-US"/>
        </w:rPr>
        <w:t xml:space="preserve"> practice a gendered understanding of violence, </w:t>
      </w:r>
      <w:r w:rsidR="001560BC">
        <w:rPr>
          <w:rFonts w:asciiTheme="majorHAnsi" w:hAnsiTheme="majorHAnsi" w:cs="Arial"/>
          <w:lang w:val="en-US"/>
        </w:rPr>
        <w:t xml:space="preserve">a service </w:t>
      </w:r>
      <w:r>
        <w:rPr>
          <w:rFonts w:asciiTheme="majorHAnsi" w:hAnsiTheme="majorHAnsi" w:cs="Arial"/>
          <w:lang w:val="en-US"/>
        </w:rPr>
        <w:t>aim</w:t>
      </w:r>
      <w:r w:rsidR="001560BC">
        <w:rPr>
          <w:rFonts w:asciiTheme="majorHAnsi" w:hAnsiTheme="majorHAnsi" w:cs="Arial"/>
          <w:lang w:val="en-US"/>
        </w:rPr>
        <w:t>s</w:t>
      </w:r>
      <w:r>
        <w:rPr>
          <w:rFonts w:asciiTheme="majorHAnsi" w:hAnsiTheme="majorHAnsi" w:cs="Arial"/>
          <w:lang w:val="en-US"/>
        </w:rPr>
        <w:t xml:space="preserve"> to </w:t>
      </w:r>
      <w:r>
        <w:rPr>
          <w:rFonts w:asciiTheme="majorHAnsi" w:hAnsiTheme="majorHAnsi" w:cs="Arial"/>
        </w:rPr>
        <w:t>redress the underlying</w:t>
      </w:r>
      <w:r>
        <w:t xml:space="preserve"> </w:t>
      </w:r>
      <w:r>
        <w:rPr>
          <w:rFonts w:asciiTheme="majorHAnsi" w:hAnsiTheme="majorHAnsi" w:cs="Arial"/>
        </w:rPr>
        <w:t xml:space="preserve">inequalities and power imbalances that women encounter in day-to-day life. Empowerment is promoted not just as an individual process but as a collective effort towards social change. </w:t>
      </w:r>
      <w:r w:rsidR="0035223E">
        <w:rPr>
          <w:rFonts w:asciiTheme="majorHAnsi" w:hAnsiTheme="majorHAnsi" w:cs="Arial"/>
        </w:rPr>
        <w:t>By p</w:t>
      </w:r>
      <w:r>
        <w:rPr>
          <w:rFonts w:asciiTheme="majorHAnsi" w:hAnsiTheme="majorHAnsi" w:cs="Arial"/>
        </w:rPr>
        <w:t>ositioning victims/survivors as active participant</w:t>
      </w:r>
      <w:r w:rsidRPr="00370352">
        <w:rPr>
          <w:rFonts w:asciiTheme="majorHAnsi" w:hAnsiTheme="majorHAnsi" w:cs="Arial"/>
        </w:rPr>
        <w:t>s</w:t>
      </w:r>
      <w:r w:rsidR="001560BC" w:rsidRPr="00370352">
        <w:rPr>
          <w:rStyle w:val="EndnoteReference"/>
          <w:rFonts w:cs="Arial"/>
          <w:vertAlign w:val="baseline"/>
        </w:rPr>
        <w:t>,</w:t>
      </w:r>
      <w:r w:rsidR="001560BC">
        <w:rPr>
          <w:rFonts w:cs="Arial"/>
        </w:rPr>
        <w:t xml:space="preserve"> </w:t>
      </w:r>
      <w:r w:rsidR="0079261C">
        <w:rPr>
          <w:rFonts w:cs="Arial"/>
        </w:rPr>
        <w:t xml:space="preserve">in control of their own journey, </w:t>
      </w:r>
      <w:r w:rsidR="001560BC">
        <w:rPr>
          <w:rFonts w:cs="Arial"/>
        </w:rPr>
        <w:t>t</w:t>
      </w:r>
      <w:r w:rsidR="00E759BA">
        <w:rPr>
          <w:rFonts w:asciiTheme="majorHAnsi" w:hAnsiTheme="majorHAnsi" w:cs="Arial"/>
        </w:rPr>
        <w:t>hey remain at the centre of decision making at all times</w:t>
      </w:r>
      <w:r w:rsidR="00B11F3A">
        <w:rPr>
          <w:rFonts w:asciiTheme="majorHAnsi" w:hAnsiTheme="majorHAnsi" w:cs="Arial"/>
        </w:rPr>
        <w:t>.</w:t>
      </w:r>
      <w:r w:rsidR="00E759BA">
        <w:rPr>
          <w:rFonts w:asciiTheme="majorHAnsi" w:hAnsiTheme="majorHAnsi" w:cs="Arial"/>
        </w:rPr>
        <w:t xml:space="preserve"> </w:t>
      </w:r>
      <w:r w:rsidR="00B11F3A">
        <w:rPr>
          <w:rFonts w:asciiTheme="majorHAnsi" w:hAnsiTheme="majorHAnsi" w:cs="Arial"/>
        </w:rPr>
        <w:t>E</w:t>
      </w:r>
      <w:r w:rsidR="00165A9D">
        <w:rPr>
          <w:rFonts w:asciiTheme="majorHAnsi" w:hAnsiTheme="majorHAnsi" w:cs="Arial"/>
        </w:rPr>
        <w:t>mpowerment methods work to recognise, respect and promote women’s agency and support women to consider their own interests, obligations and risks when making decisions</w:t>
      </w:r>
      <w:r w:rsidR="0035223E">
        <w:rPr>
          <w:rFonts w:asciiTheme="majorHAnsi" w:hAnsiTheme="majorHAnsi" w:cs="Arial"/>
        </w:rPr>
        <w:t>—</w:t>
      </w:r>
      <w:r w:rsidR="00165A9D">
        <w:rPr>
          <w:rFonts w:asciiTheme="majorHAnsi" w:hAnsiTheme="majorHAnsi" w:cs="Arial"/>
        </w:rPr>
        <w:t>including situations where a woman might decide not to use available services. By placing interests</w:t>
      </w:r>
      <w:r w:rsidR="001560BC">
        <w:rPr>
          <w:rFonts w:asciiTheme="majorHAnsi" w:hAnsiTheme="majorHAnsi" w:cs="Arial"/>
        </w:rPr>
        <w:t xml:space="preserve"> of victims/survivors</w:t>
      </w:r>
      <w:r w:rsidR="00165A9D">
        <w:rPr>
          <w:rFonts w:asciiTheme="majorHAnsi" w:hAnsiTheme="majorHAnsi" w:cs="Arial"/>
        </w:rPr>
        <w:t xml:space="preserve"> first, providing them with information and education as well as social and economic support, victim</w:t>
      </w:r>
      <w:r w:rsidR="00B11F3A">
        <w:rPr>
          <w:rFonts w:asciiTheme="majorHAnsi" w:hAnsiTheme="majorHAnsi" w:cs="Arial"/>
        </w:rPr>
        <w:t>s/survivors</w:t>
      </w:r>
      <w:r w:rsidR="00165A9D">
        <w:rPr>
          <w:rFonts w:asciiTheme="majorHAnsi" w:hAnsiTheme="majorHAnsi" w:cs="Arial"/>
        </w:rPr>
        <w:t xml:space="preserve"> are</w:t>
      </w:r>
      <w:r w:rsidR="00090443">
        <w:rPr>
          <w:rFonts w:asciiTheme="majorHAnsi" w:hAnsiTheme="majorHAnsi" w:cs="Arial"/>
        </w:rPr>
        <w:t xml:space="preserve"> supported to have the agency to </w:t>
      </w:r>
      <w:r w:rsidR="00165A9D">
        <w:rPr>
          <w:rFonts w:asciiTheme="majorHAnsi" w:hAnsiTheme="majorHAnsi" w:cs="Arial"/>
        </w:rPr>
        <w:t>make informed decisions and choices</w:t>
      </w:r>
      <w:r w:rsidR="00090443">
        <w:rPr>
          <w:rFonts w:asciiTheme="majorHAnsi" w:hAnsiTheme="majorHAnsi" w:cs="Arial"/>
        </w:rPr>
        <w:t xml:space="preserve"> that are right for them, whatever that may be</w:t>
      </w:r>
      <w:r w:rsidR="00EF7F7C">
        <w:rPr>
          <w:rFonts w:asciiTheme="majorHAnsi" w:hAnsiTheme="majorHAnsi" w:cs="Arial"/>
        </w:rPr>
        <w:t xml:space="preserve"> (Allen et al., 2012</w:t>
      </w:r>
      <w:r w:rsidR="005B337D">
        <w:rPr>
          <w:rFonts w:asciiTheme="majorHAnsi" w:hAnsiTheme="majorHAnsi" w:cs="Arial"/>
        </w:rPr>
        <w:t>, Zweig and Burt, 2007</w:t>
      </w:r>
      <w:r w:rsidR="00EF7F7C">
        <w:rPr>
          <w:rFonts w:asciiTheme="majorHAnsi" w:hAnsiTheme="majorHAnsi" w:cs="Arial"/>
        </w:rPr>
        <w:t>)</w:t>
      </w:r>
      <w:r w:rsidR="00370352">
        <w:rPr>
          <w:rFonts w:asciiTheme="majorHAnsi" w:hAnsiTheme="majorHAnsi" w:cs="Arial"/>
        </w:rPr>
        <w:t>.</w:t>
      </w:r>
    </w:p>
    <w:p w:rsidR="00FE010F" w:rsidRDefault="00FE010F" w:rsidP="00165A9D">
      <w:r>
        <w:t>In addition, this approach also recognis</w:t>
      </w:r>
      <w:r w:rsidR="00913B00">
        <w:t>e</w:t>
      </w:r>
      <w:r w:rsidR="0035223E">
        <w:t>s</w:t>
      </w:r>
      <w:r>
        <w:t xml:space="preserve"> children as clients in their own right. </w:t>
      </w:r>
      <w:r w:rsidR="00913B00">
        <w:t>It acknowledges the</w:t>
      </w:r>
      <w:r>
        <w:t xml:space="preserve"> cumulative effects of violence on children and prioritises children’s safety and wellbeing</w:t>
      </w:r>
      <w:r w:rsidR="005B337D" w:rsidRPr="005B337D">
        <w:t xml:space="preserve"> </w:t>
      </w:r>
      <w:r w:rsidR="005B337D">
        <w:t xml:space="preserve">(Domestic Violence Victoria, </w:t>
      </w:r>
      <w:r w:rsidR="005B337D" w:rsidRPr="005B337D">
        <w:t>2020)</w:t>
      </w:r>
      <w:r>
        <w:t xml:space="preserve">. </w:t>
      </w:r>
    </w:p>
    <w:tbl>
      <w:tblPr>
        <w:tblStyle w:val="TableGrid"/>
        <w:tblW w:w="0" w:type="auto"/>
        <w:tblLook w:val="04A0" w:firstRow="1" w:lastRow="0" w:firstColumn="1" w:lastColumn="0" w:noHBand="0" w:noVBand="1"/>
      </w:tblPr>
      <w:tblGrid>
        <w:gridCol w:w="9016"/>
      </w:tblGrid>
      <w:tr w:rsidR="00590A3E" w:rsidTr="00590A3E">
        <w:tc>
          <w:tcPr>
            <w:tcW w:w="9016" w:type="dxa"/>
          </w:tcPr>
          <w:p w:rsidR="00590A3E" w:rsidRDefault="00590A3E" w:rsidP="00590A3E">
            <w:pPr>
              <w:rPr>
                <w:b/>
              </w:rPr>
            </w:pPr>
            <w:r>
              <w:rPr>
                <w:b/>
              </w:rPr>
              <w:t xml:space="preserve">Practice guiding </w:t>
            </w:r>
            <w:r w:rsidR="00A93ECB">
              <w:rPr>
                <w:b/>
              </w:rPr>
              <w:t>considerations</w:t>
            </w:r>
            <w:r>
              <w:rPr>
                <w:b/>
              </w:rPr>
              <w:t xml:space="preserve">: </w:t>
            </w:r>
          </w:p>
          <w:p w:rsidR="0035334B" w:rsidRDefault="0035334B" w:rsidP="0035334B">
            <w:r>
              <w:t xml:space="preserve">To assess whether your service is operating through a </w:t>
            </w:r>
            <w:r w:rsidR="004D091F">
              <w:t xml:space="preserve">victim/survivor centred practice and empowerment </w:t>
            </w:r>
            <w:r>
              <w:t>approach, would you agree with the following statements being applie</w:t>
            </w:r>
            <w:r w:rsidR="0079261C">
              <w:t>d</w:t>
            </w:r>
            <w:r>
              <w:t xml:space="preserve"> in your organisation?</w:t>
            </w:r>
          </w:p>
          <w:p w:rsidR="008251FD" w:rsidRPr="00165A9D" w:rsidRDefault="008251FD" w:rsidP="008251FD">
            <w:pPr>
              <w:pStyle w:val="ListParagraph"/>
              <w:numPr>
                <w:ilvl w:val="0"/>
                <w:numId w:val="17"/>
              </w:numPr>
            </w:pPr>
            <w:r>
              <w:t xml:space="preserve">Victims/survivors are given a choice about what services to use, and within those services have the right to ask for a change in support worker without judgement or consequence. </w:t>
            </w:r>
          </w:p>
          <w:p w:rsidR="00590A3E" w:rsidRDefault="001560BC" w:rsidP="00095E27">
            <w:pPr>
              <w:pStyle w:val="ListParagraph"/>
              <w:numPr>
                <w:ilvl w:val="0"/>
                <w:numId w:val="17"/>
              </w:numPr>
            </w:pPr>
            <w:r>
              <w:t>The attitude of workers in a s</w:t>
            </w:r>
            <w:r w:rsidR="00590A3E">
              <w:t xml:space="preserve">ervice </w:t>
            </w:r>
            <w:r w:rsidR="00B11F3A">
              <w:t xml:space="preserve">are </w:t>
            </w:r>
            <w:r w:rsidR="00590A3E">
              <w:t xml:space="preserve">affirming of </w:t>
            </w:r>
            <w:r w:rsidR="00095E27">
              <w:t>the decisions made by a victim/survivor.</w:t>
            </w:r>
          </w:p>
          <w:p w:rsidR="00590A3E" w:rsidRDefault="00095E27" w:rsidP="00095E27">
            <w:pPr>
              <w:pStyle w:val="ListParagraph"/>
              <w:numPr>
                <w:ilvl w:val="0"/>
                <w:numId w:val="17"/>
              </w:numPr>
            </w:pPr>
            <w:r>
              <w:t>Victims/survivor</w:t>
            </w:r>
            <w:r w:rsidR="009158B2">
              <w:t>s</w:t>
            </w:r>
            <w:r>
              <w:t xml:space="preserve"> remain</w:t>
            </w:r>
            <w:r w:rsidR="00590A3E">
              <w:t xml:space="preserve"> in control of decisions being made about </w:t>
            </w:r>
            <w:r>
              <w:t>their</w:t>
            </w:r>
            <w:r w:rsidR="00590A3E">
              <w:t xml:space="preserve"> situation.</w:t>
            </w:r>
          </w:p>
          <w:p w:rsidR="00590A3E" w:rsidRDefault="009158B2" w:rsidP="00095E27">
            <w:pPr>
              <w:pStyle w:val="ListParagraph"/>
              <w:numPr>
                <w:ilvl w:val="0"/>
                <w:numId w:val="17"/>
              </w:numPr>
            </w:pPr>
            <w:r>
              <w:lastRenderedPageBreak/>
              <w:t>Services are delivered through a strength-based approach and aim to empower victims/survivors</w:t>
            </w:r>
            <w:r w:rsidR="00590A3E">
              <w:t>.</w:t>
            </w:r>
          </w:p>
          <w:p w:rsidR="00590A3E" w:rsidRDefault="009158B2" w:rsidP="00DC3E18">
            <w:pPr>
              <w:pStyle w:val="ListParagraph"/>
              <w:numPr>
                <w:ilvl w:val="0"/>
                <w:numId w:val="17"/>
              </w:numPr>
            </w:pPr>
            <w:r>
              <w:t>A support worker understand</w:t>
            </w:r>
            <w:r w:rsidR="00F3260A">
              <w:t>s</w:t>
            </w:r>
            <w:r>
              <w:t xml:space="preserve"> </w:t>
            </w:r>
            <w:r w:rsidR="00590A3E">
              <w:t xml:space="preserve">complex experiences of violence and what barriers </w:t>
            </w:r>
            <w:r w:rsidR="00370352">
              <w:t>a victim/survivor</w:t>
            </w:r>
            <w:r w:rsidR="00590A3E">
              <w:t xml:space="preserve"> </w:t>
            </w:r>
            <w:r w:rsidR="001560BC">
              <w:t xml:space="preserve">has </w:t>
            </w:r>
            <w:r w:rsidR="00590A3E">
              <w:t>to overcome to find safety.</w:t>
            </w:r>
          </w:p>
          <w:p w:rsidR="00590A3E" w:rsidRDefault="009158B2" w:rsidP="00370352">
            <w:pPr>
              <w:pStyle w:val="ListParagraph"/>
              <w:numPr>
                <w:ilvl w:val="0"/>
                <w:numId w:val="17"/>
              </w:numPr>
            </w:pPr>
            <w:r>
              <w:t>A</w:t>
            </w:r>
            <w:r w:rsidR="00590A3E">
              <w:t xml:space="preserve"> service focuse</w:t>
            </w:r>
            <w:r>
              <w:t>s</w:t>
            </w:r>
            <w:r w:rsidR="00590A3E">
              <w:t xml:space="preserve"> on </w:t>
            </w:r>
            <w:r>
              <w:t>the strengths</w:t>
            </w:r>
            <w:r w:rsidR="001560BC">
              <w:t xml:space="preserve"> of</w:t>
            </w:r>
            <w:r>
              <w:t xml:space="preserve"> and helps to e</w:t>
            </w:r>
            <w:r w:rsidR="00590A3E">
              <w:t>mpower</w:t>
            </w:r>
            <w:r w:rsidR="001560BC">
              <w:t xml:space="preserve"> a</w:t>
            </w:r>
            <w:r w:rsidR="00590A3E">
              <w:t xml:space="preserve"> </w:t>
            </w:r>
            <w:r>
              <w:t>victim/survivor</w:t>
            </w:r>
            <w:r w:rsidR="00590A3E">
              <w:t xml:space="preserve">, rather than making </w:t>
            </w:r>
            <w:r>
              <w:t>them</w:t>
            </w:r>
            <w:r w:rsidR="00590A3E">
              <w:t xml:space="preserve"> feel </w:t>
            </w:r>
            <w:r w:rsidR="0079261C">
              <w:t>powerless</w:t>
            </w:r>
            <w:r w:rsidR="00F4578C">
              <w:t>.</w:t>
            </w:r>
          </w:p>
          <w:p w:rsidR="00B11F3A" w:rsidRDefault="00B11F3A" w:rsidP="00370352">
            <w:pPr>
              <w:pStyle w:val="ListParagraph"/>
              <w:numPr>
                <w:ilvl w:val="0"/>
                <w:numId w:val="17"/>
              </w:numPr>
            </w:pPr>
            <w:r>
              <w:t xml:space="preserve">A victim/survivor has numerous opportunities to provide feedback on the services provided, and their feedback is incorporated into continuous improvement </w:t>
            </w:r>
            <w:r w:rsidR="004D091F">
              <w:t>processes</w:t>
            </w:r>
            <w:r>
              <w:t>.</w:t>
            </w:r>
          </w:p>
          <w:p w:rsidR="00B11F3A" w:rsidRDefault="00B11F3A" w:rsidP="00B11F3A">
            <w:pPr>
              <w:pStyle w:val="ListParagraph"/>
              <w:numPr>
                <w:ilvl w:val="0"/>
                <w:numId w:val="17"/>
              </w:numPr>
            </w:pPr>
            <w:r>
              <w:t>Organisational governance frameworks have leadership strategies in place to platform, hear and account for the diverse perspectives of victims/survivors.</w:t>
            </w:r>
          </w:p>
        </w:tc>
      </w:tr>
    </w:tbl>
    <w:p w:rsidR="00590A3E" w:rsidRDefault="00590A3E" w:rsidP="00165A9D"/>
    <w:p w:rsidR="004905B5" w:rsidRDefault="004905B5" w:rsidP="00297F19">
      <w:pPr>
        <w:pStyle w:val="Heading2"/>
      </w:pPr>
      <w:r>
        <w:t xml:space="preserve">Principle 4: </w:t>
      </w:r>
      <w:r w:rsidRPr="00EB73D5">
        <w:t xml:space="preserve">Safety and risk focus </w:t>
      </w:r>
    </w:p>
    <w:p w:rsidR="00FE010F" w:rsidRPr="004B70AD" w:rsidRDefault="004905B5" w:rsidP="004B70AD">
      <w:r>
        <w:t xml:space="preserve">This principle </w:t>
      </w:r>
      <w:r w:rsidR="004B70AD">
        <w:t xml:space="preserve">includes physical, psychological and cultural safety of victims/survivors as well as safety for support workers </w:t>
      </w:r>
      <w:r w:rsidR="005A7EEB">
        <w:t>(</w:t>
      </w:r>
      <w:r w:rsidR="004B70AD">
        <w:t>such as training and management of vicarious trauma</w:t>
      </w:r>
      <w:r w:rsidR="005B337D" w:rsidRPr="005B337D">
        <w:t xml:space="preserve"> </w:t>
      </w:r>
      <w:r w:rsidR="005B337D">
        <w:t xml:space="preserve">(Domestic Violence NSW, </w:t>
      </w:r>
      <w:r w:rsidR="005B337D" w:rsidRPr="005B337D">
        <w:t>20</w:t>
      </w:r>
      <w:r w:rsidR="00D03516">
        <w:t>19</w:t>
      </w:r>
      <w:r w:rsidR="005B337D">
        <w:t xml:space="preserve">; </w:t>
      </w:r>
      <w:r w:rsidR="00FE010F">
        <w:t xml:space="preserve">see </w:t>
      </w:r>
      <w:r w:rsidR="00FE010F" w:rsidRPr="00F4578C">
        <w:t>Principle 5)</w:t>
      </w:r>
      <w:r w:rsidR="00FE010F">
        <w:t xml:space="preserve"> </w:t>
      </w:r>
    </w:p>
    <w:p w:rsidR="00FE010F" w:rsidRPr="00EB73D5" w:rsidRDefault="00FE010F" w:rsidP="00EB73D5">
      <w:r w:rsidRPr="00EB73D5">
        <w:t xml:space="preserve">The physical and psychosocial safety and security of </w:t>
      </w:r>
      <w:r>
        <w:t>victims/survivors</w:t>
      </w:r>
      <w:r w:rsidRPr="00EB73D5">
        <w:t xml:space="preserve"> subjected to violence is paramount for effective service responses and must be a foundational standard of any service. </w:t>
      </w:r>
      <w:r w:rsidR="00A93ECB">
        <w:t>A s</w:t>
      </w:r>
      <w:r w:rsidR="00A93ECB" w:rsidRPr="00EB73D5">
        <w:t xml:space="preserve">ervice </w:t>
      </w:r>
      <w:r w:rsidRPr="00EB73D5">
        <w:t>recognise</w:t>
      </w:r>
      <w:r w:rsidR="00A93ECB">
        <w:t>s</w:t>
      </w:r>
      <w:r w:rsidRPr="00EB73D5">
        <w:t xml:space="preserve"> that </w:t>
      </w:r>
      <w:r>
        <w:t>victims/survivors</w:t>
      </w:r>
      <w:r w:rsidRPr="00EB73D5">
        <w:t xml:space="preserve"> face many risks to their immediate and ongoing safety, which change over time and may shift suddenly, usually beyond the control of the </w:t>
      </w:r>
      <w:r>
        <w:t>victims/survivors</w:t>
      </w:r>
      <w:r w:rsidRPr="00EB73D5">
        <w:t xml:space="preserve">. It is also important that services understand how these risks are specific to individual circumstances. </w:t>
      </w:r>
      <w:r w:rsidR="00DC3E18">
        <w:t xml:space="preserve">Safety for children and young people is also of paramount consideration (Australian Human Rights Commission, 2018). </w:t>
      </w:r>
    </w:p>
    <w:p w:rsidR="00FE010F" w:rsidRDefault="00A93ECB" w:rsidP="00EB73D5">
      <w:r>
        <w:t>The</w:t>
      </w:r>
      <w:r w:rsidR="00FE010F" w:rsidRPr="00EB73D5">
        <w:t xml:space="preserve"> safety</w:t>
      </w:r>
      <w:r>
        <w:t xml:space="preserve"> of victims/survivors must be placed</w:t>
      </w:r>
      <w:r w:rsidR="00FE010F" w:rsidRPr="00EB73D5">
        <w:t xml:space="preserve"> at the centre of </w:t>
      </w:r>
      <w:r w:rsidR="0079261C">
        <w:t xml:space="preserve">the </w:t>
      </w:r>
      <w:r>
        <w:t>service’s</w:t>
      </w:r>
      <w:r w:rsidRPr="00EB73D5">
        <w:t xml:space="preserve"> </w:t>
      </w:r>
      <w:r w:rsidR="00FE010F" w:rsidRPr="00EB73D5">
        <w:t>practices</w:t>
      </w:r>
      <w:r>
        <w:t xml:space="preserve"> at all times</w:t>
      </w:r>
      <w:r w:rsidR="00FE010F" w:rsidRPr="00EB73D5">
        <w:t xml:space="preserve"> through a continuous process of ongoing risk assessment, safety planning and risk management. Best practice risk assessment and management requires consistent and coordinated approaches within and between </w:t>
      </w:r>
      <w:r w:rsidR="0079261C">
        <w:t>community</w:t>
      </w:r>
      <w:r w:rsidR="00FE010F" w:rsidRPr="00EB73D5">
        <w:t xml:space="preserve">, health, </w:t>
      </w:r>
      <w:r w:rsidR="004D091F">
        <w:t>education</w:t>
      </w:r>
      <w:r w:rsidR="004D091F" w:rsidRPr="00EB73D5">
        <w:t xml:space="preserve"> </w:t>
      </w:r>
      <w:r w:rsidR="00FE010F" w:rsidRPr="00EB73D5">
        <w:t xml:space="preserve">and justice sectors. For example, in the context of women at risk of homelessness, it is crucial that they have access to immediate and secure emergency and short-term accommodation, and that there are also systems to support women to remain at home if it is safe to do so. </w:t>
      </w:r>
      <w:r w:rsidR="00577AD3">
        <w:t xml:space="preserve">Risk and safety assessment, safety planning and risk management also need to factor in the misuse of technology by abusers (Woodlock et al., 2020). </w:t>
      </w:r>
      <w:r w:rsidR="00FE010F" w:rsidRPr="00EB73D5">
        <w:t>Services addressing accommodation and housing needs must also prioritise the safety and confidentiality of women and children, be gender-responsive, trauma-informed, accessible and appropriate, and be driven by principles of empowerment</w:t>
      </w:r>
      <w:r w:rsidR="005B337D" w:rsidRPr="005B337D">
        <w:t xml:space="preserve"> </w:t>
      </w:r>
      <w:r w:rsidR="005B337D">
        <w:t>(</w:t>
      </w:r>
      <w:r w:rsidR="005B337D" w:rsidRPr="005B337D">
        <w:t>Tually</w:t>
      </w:r>
      <w:r w:rsidR="005B337D">
        <w:t xml:space="preserve"> et al., </w:t>
      </w:r>
      <w:r w:rsidR="005B337D" w:rsidRPr="005B337D">
        <w:t>2008)</w:t>
      </w:r>
      <w:r w:rsidR="00FE010F" w:rsidRPr="00EB73D5">
        <w:t xml:space="preserve">. </w:t>
      </w:r>
    </w:p>
    <w:p w:rsidR="00FE010F" w:rsidRDefault="004D091F" w:rsidP="00EB73D5">
      <w:r>
        <w:t xml:space="preserve">Identification and mitigation </w:t>
      </w:r>
      <w:r w:rsidR="00FE010F">
        <w:t>of risks must be underpinned by organisational policies and procedures</w:t>
      </w:r>
      <w:r w:rsidR="00120DD4">
        <w:t xml:space="preserve"> (Domestic Violence NSW, </w:t>
      </w:r>
      <w:r w:rsidR="00120DD4" w:rsidRPr="00120DD4">
        <w:t>20</w:t>
      </w:r>
      <w:r w:rsidR="00D96BD2">
        <w:t>19</w:t>
      </w:r>
      <w:r w:rsidR="00120DD4" w:rsidRPr="00120DD4">
        <w:t>)</w:t>
      </w:r>
      <w:r w:rsidR="00120DD4">
        <w:t>.</w:t>
      </w:r>
      <w:r w:rsidR="00FE010F">
        <w:t xml:space="preserve"> </w:t>
      </w:r>
      <w:r w:rsidR="005A7EEB">
        <w:t xml:space="preserve">Principles of safety must be responsive to the cultural safety needs of Aboriginal and Torres Strait Islander women, </w:t>
      </w:r>
      <w:r w:rsidR="00DC3E18">
        <w:t>migrant and refugee women</w:t>
      </w:r>
      <w:r w:rsidR="005A7EEB">
        <w:t xml:space="preserve"> and LGBTIQ+ people. Risk and safety assessment must be underpinned by “an intersectional analysis to ascertain any issues caused by systemic discrimination and marginalisation”</w:t>
      </w:r>
      <w:r w:rsidR="00120DD4" w:rsidRPr="00120DD4">
        <w:t xml:space="preserve"> </w:t>
      </w:r>
      <w:r w:rsidR="00120DD4">
        <w:t xml:space="preserve">(Domestic Violence Victoria, </w:t>
      </w:r>
      <w:r w:rsidR="00120DD4" w:rsidRPr="00120DD4">
        <w:t>2020)</w:t>
      </w:r>
      <w:r w:rsidR="005A7EEB">
        <w:t>.</w:t>
      </w:r>
    </w:p>
    <w:tbl>
      <w:tblPr>
        <w:tblStyle w:val="TableGrid"/>
        <w:tblW w:w="0" w:type="auto"/>
        <w:tblLook w:val="04A0" w:firstRow="1" w:lastRow="0" w:firstColumn="1" w:lastColumn="0" w:noHBand="0" w:noVBand="1"/>
      </w:tblPr>
      <w:tblGrid>
        <w:gridCol w:w="9016"/>
      </w:tblGrid>
      <w:tr w:rsidR="00A4131E" w:rsidTr="00A4131E">
        <w:tc>
          <w:tcPr>
            <w:tcW w:w="9016" w:type="dxa"/>
          </w:tcPr>
          <w:p w:rsidR="006A284F" w:rsidRDefault="006A284F" w:rsidP="006A284F">
            <w:pPr>
              <w:rPr>
                <w:b/>
              </w:rPr>
            </w:pPr>
            <w:r>
              <w:rPr>
                <w:b/>
              </w:rPr>
              <w:t xml:space="preserve">Practice guiding considerations: </w:t>
            </w:r>
          </w:p>
          <w:p w:rsidR="0035334B" w:rsidRDefault="0035334B" w:rsidP="0035334B">
            <w:r>
              <w:t xml:space="preserve">To assess whether your service is operating through a </w:t>
            </w:r>
            <w:r w:rsidR="004D091F">
              <w:t>safety and risk focus</w:t>
            </w:r>
            <w:r>
              <w:t>, would you agree with the following statements being applie</w:t>
            </w:r>
            <w:r w:rsidR="0079261C">
              <w:t>d</w:t>
            </w:r>
            <w:r>
              <w:t xml:space="preserve"> in your organisation?</w:t>
            </w:r>
          </w:p>
          <w:p w:rsidR="004D091F" w:rsidRDefault="00C21BEE" w:rsidP="004D091F">
            <w:pPr>
              <w:pStyle w:val="ListParagraph"/>
              <w:numPr>
                <w:ilvl w:val="0"/>
                <w:numId w:val="18"/>
              </w:numPr>
            </w:pPr>
            <w:r>
              <w:t>A service focuses</w:t>
            </w:r>
            <w:r w:rsidR="00A4131E">
              <w:t xml:space="preserve"> on </w:t>
            </w:r>
            <w:r>
              <w:t>the</w:t>
            </w:r>
            <w:r w:rsidR="00A4131E">
              <w:t xml:space="preserve"> safety </w:t>
            </w:r>
            <w:r>
              <w:t xml:space="preserve">of a victim/survivor </w:t>
            </w:r>
            <w:r w:rsidR="00A4131E">
              <w:t xml:space="preserve">as well as the safety of </w:t>
            </w:r>
            <w:r>
              <w:t>their</w:t>
            </w:r>
            <w:r w:rsidR="00A4131E">
              <w:t xml:space="preserve"> children</w:t>
            </w:r>
            <w:r w:rsidR="00F94C17">
              <w:t>.</w:t>
            </w:r>
            <w:r w:rsidR="00A4131E">
              <w:t xml:space="preserve"> </w:t>
            </w:r>
          </w:p>
          <w:p w:rsidR="00A4131E" w:rsidRDefault="00A4131E" w:rsidP="004D091F">
            <w:pPr>
              <w:pStyle w:val="ListParagraph"/>
              <w:numPr>
                <w:ilvl w:val="0"/>
                <w:numId w:val="18"/>
              </w:numPr>
            </w:pPr>
            <w:r>
              <w:t xml:space="preserve">A service </w:t>
            </w:r>
            <w:r w:rsidR="00C21BEE">
              <w:t>is</w:t>
            </w:r>
            <w:r>
              <w:t xml:space="preserve"> able to identify risks and assess safety needs, including for children </w:t>
            </w:r>
            <w:r w:rsidR="004D091F">
              <w:t>and young people</w:t>
            </w:r>
            <w:r>
              <w:t>.</w:t>
            </w:r>
          </w:p>
          <w:p w:rsidR="00A4131E" w:rsidRDefault="00A4131E" w:rsidP="004D091F">
            <w:pPr>
              <w:pStyle w:val="ListParagraph"/>
              <w:numPr>
                <w:ilvl w:val="0"/>
                <w:numId w:val="18"/>
              </w:numPr>
            </w:pPr>
            <w:r>
              <w:t xml:space="preserve">A </w:t>
            </w:r>
            <w:r w:rsidR="00C21BEE">
              <w:t xml:space="preserve">service works with a victim/survivor </w:t>
            </w:r>
            <w:r>
              <w:t xml:space="preserve">to develop </w:t>
            </w:r>
            <w:r w:rsidR="004D091F">
              <w:t xml:space="preserve">and maintain </w:t>
            </w:r>
            <w:r>
              <w:t xml:space="preserve">a thorough safety plan. </w:t>
            </w:r>
          </w:p>
          <w:p w:rsidR="00D96BD2" w:rsidRDefault="004D091F" w:rsidP="00F04A68">
            <w:r>
              <w:lastRenderedPageBreak/>
              <w:t>A service has a risk management plan in place to ensure victim/survivor and worker safety, and that risk management plan is reviewed on a regular basis</w:t>
            </w:r>
            <w:r w:rsidR="00CF7DF5">
              <w:t>.</w:t>
            </w:r>
          </w:p>
          <w:p w:rsidR="00D96BD2" w:rsidRDefault="00D96BD2" w:rsidP="00D96BD2">
            <w:pPr>
              <w:pStyle w:val="ListParagraph"/>
              <w:numPr>
                <w:ilvl w:val="0"/>
                <w:numId w:val="18"/>
              </w:numPr>
            </w:pPr>
            <w:r>
              <w:t>A safety plan is reviewed on an ongoing basis to ensure that it responds to the needs at the time.</w:t>
            </w:r>
          </w:p>
          <w:p w:rsidR="00D96BD2" w:rsidRDefault="004D091F" w:rsidP="00F04A68">
            <w:pPr>
              <w:pStyle w:val="ListParagraph"/>
              <w:numPr>
                <w:ilvl w:val="0"/>
                <w:numId w:val="18"/>
              </w:numPr>
            </w:pPr>
            <w:r>
              <w:t>A victim/survivor has numerous opportunities to provide feedback on their perceptions of safety and risk as a service user, and their feedback is incorporated into continuous improvement processes.</w:t>
            </w:r>
            <w:r w:rsidR="00D96BD2">
              <w:t xml:space="preserve"> </w:t>
            </w:r>
          </w:p>
          <w:p w:rsidR="00A4131E" w:rsidRDefault="00D96BD2">
            <w:pPr>
              <w:pStyle w:val="ListParagraph"/>
              <w:numPr>
                <w:ilvl w:val="0"/>
                <w:numId w:val="18"/>
              </w:numPr>
            </w:pPr>
            <w:r>
              <w:t>A service has a strategy to incorporate the safety of and access to pet</w:t>
            </w:r>
            <w:r w:rsidR="00F52C34">
              <w:t>s</w:t>
            </w:r>
            <w:r>
              <w:t>.</w:t>
            </w:r>
          </w:p>
          <w:p w:rsidR="00F94C17" w:rsidRDefault="00F94C17" w:rsidP="00F52C34">
            <w:pPr>
              <w:pStyle w:val="ListParagraph"/>
              <w:numPr>
                <w:ilvl w:val="0"/>
                <w:numId w:val="18"/>
              </w:numPr>
            </w:pPr>
            <w:r>
              <w:t>Workers have access to debriefing and are provided with immediate access to support and supervision to guide responses to identified threats to safety</w:t>
            </w:r>
            <w:r w:rsidR="00FE0185">
              <w:t>.</w:t>
            </w:r>
          </w:p>
        </w:tc>
      </w:tr>
    </w:tbl>
    <w:p w:rsidR="004B37ED" w:rsidRPr="00EB73D5" w:rsidRDefault="004B37ED" w:rsidP="004B37ED"/>
    <w:p w:rsidR="00921834" w:rsidRDefault="00921834" w:rsidP="00297F19">
      <w:pPr>
        <w:pStyle w:val="Heading2"/>
      </w:pPr>
      <w:r>
        <w:t xml:space="preserve">Principle 5: </w:t>
      </w:r>
      <w:r w:rsidRPr="00EB73D5">
        <w:t>Trauma-informed practice</w:t>
      </w:r>
    </w:p>
    <w:p w:rsidR="00F94C17" w:rsidRDefault="00F94C17" w:rsidP="00F04A68">
      <w:r w:rsidRPr="00F04A68">
        <w:t>Trau</w:t>
      </w:r>
      <w:r>
        <w:t>m</w:t>
      </w:r>
      <w:r w:rsidRPr="00F04A68">
        <w:t>a</w:t>
      </w:r>
      <w:r>
        <w:t xml:space="preserve">-informed practice </w:t>
      </w:r>
      <w:r w:rsidRPr="00F04A68">
        <w:t xml:space="preserve">means </w:t>
      </w:r>
      <w:r w:rsidR="00F52C34">
        <w:t>‘</w:t>
      </w:r>
      <w:r w:rsidRPr="00F04A68">
        <w:t>adapting practice that aligns with a strengths-based framework grounded in an understanding of, and responsiveness to, the impact of trauma</w:t>
      </w:r>
      <w:r w:rsidR="00F52C34">
        <w:t>’</w:t>
      </w:r>
      <w:r>
        <w:t xml:space="preserve"> (Domestic Violence NSW, 2019)</w:t>
      </w:r>
      <w:r w:rsidRPr="00F04A68">
        <w:t xml:space="preserve">. </w:t>
      </w:r>
    </w:p>
    <w:p w:rsidR="00CF7DF5" w:rsidRDefault="005574E7" w:rsidP="005574E7">
      <w:r>
        <w:t xml:space="preserve">Trauma-informed practice goes </w:t>
      </w:r>
      <w:r w:rsidR="00F52C34">
        <w:t>hand-in-</w:t>
      </w:r>
      <w:r>
        <w:t>hand with understanding trauma and its impacts, ongoing assessment of risks and safety needs of victims/survivors, cultural competency, enabling recovery, integrated care and victim/survivor’s centrality in decision making. It also ensures that support workers are trained and have the ability to prevent and manage</w:t>
      </w:r>
      <w:r w:rsidR="00CF7DF5">
        <w:t xml:space="preserve"> compassion fatigue and</w:t>
      </w:r>
      <w:r>
        <w:t xml:space="preserve"> vicarious trauma. </w:t>
      </w:r>
      <w:r w:rsidR="005E09C7">
        <w:t xml:space="preserve"> Trauma-informed practice understands that victims/survivors are having a normal reaction to a trauma.  Trauma-informed practice ensures victims/survivors are provided with integrated support so that the need to retell their experience </w:t>
      </w:r>
      <w:r w:rsidR="0021740F">
        <w:t>is</w:t>
      </w:r>
      <w:r w:rsidR="005E09C7">
        <w:t xml:space="preserve"> minimised to avoid further retraumatisation.</w:t>
      </w:r>
    </w:p>
    <w:p w:rsidR="005E09C7" w:rsidRDefault="005E09C7" w:rsidP="005E09C7">
      <w:r>
        <w:t>Services must also be aware of the risks regarding workers burnout</w:t>
      </w:r>
      <w:r w:rsidRPr="003E7B70">
        <w:t xml:space="preserve"> </w:t>
      </w:r>
      <w:r>
        <w:t>which can lead to serious emotional and health problems. A number of factors can contribute to burn out, including vicarious trauma, high volume of work, cumulative stress and chronic sense of hopelessness (Domestic Violence NSW, 2019).</w:t>
      </w:r>
    </w:p>
    <w:p w:rsidR="005574E7" w:rsidRDefault="00CA216C" w:rsidP="005574E7">
      <w:r>
        <w:t>Vicarious trauma is the cumulative effects of exposure to information about traumatic events and experiences, potentially leading to distress, dissatisfaction, hopelessness and serious mental and physical health problems</w:t>
      </w:r>
      <w:r w:rsidR="00B5233C" w:rsidRPr="00B5233C">
        <w:t xml:space="preserve"> </w:t>
      </w:r>
      <w:r w:rsidR="00B5233C">
        <w:t xml:space="preserve">(Domestic Violence Victoria, </w:t>
      </w:r>
      <w:r w:rsidR="00B5233C" w:rsidRPr="00B5233C">
        <w:t>2020)</w:t>
      </w:r>
      <w:r>
        <w:t>.</w:t>
      </w:r>
      <w:r w:rsidR="00FE010F">
        <w:t xml:space="preserve"> </w:t>
      </w:r>
      <w:r w:rsidR="005E09C7">
        <w:t>Actively participating in advocacy and structural change can help with vicarious resilience in support workers.</w:t>
      </w:r>
    </w:p>
    <w:p w:rsidR="003E7B70" w:rsidRDefault="003E7B70" w:rsidP="005574E7"/>
    <w:tbl>
      <w:tblPr>
        <w:tblStyle w:val="TableGrid"/>
        <w:tblW w:w="0" w:type="auto"/>
        <w:tblLook w:val="04A0" w:firstRow="1" w:lastRow="0" w:firstColumn="1" w:lastColumn="0" w:noHBand="0" w:noVBand="1"/>
      </w:tblPr>
      <w:tblGrid>
        <w:gridCol w:w="9016"/>
      </w:tblGrid>
      <w:tr w:rsidR="00715E32" w:rsidTr="00715E32">
        <w:tc>
          <w:tcPr>
            <w:tcW w:w="9016" w:type="dxa"/>
          </w:tcPr>
          <w:p w:rsidR="00921834" w:rsidRDefault="00921834" w:rsidP="00921834">
            <w:pPr>
              <w:rPr>
                <w:b/>
              </w:rPr>
            </w:pPr>
            <w:r>
              <w:rPr>
                <w:b/>
              </w:rPr>
              <w:t xml:space="preserve">Practice guiding considerations: </w:t>
            </w:r>
          </w:p>
          <w:p w:rsidR="0035334B" w:rsidRDefault="0035334B" w:rsidP="0035334B">
            <w:r>
              <w:t xml:space="preserve">To assess whether your service is operating through </w:t>
            </w:r>
            <w:r w:rsidR="00213BEC">
              <w:t>t</w:t>
            </w:r>
            <w:r w:rsidR="00213BEC" w:rsidRPr="00213BEC">
              <w:t>rauma-informed practice</w:t>
            </w:r>
            <w:r>
              <w:t>, would you agree with the following statements being applie</w:t>
            </w:r>
            <w:r w:rsidR="005E09C7">
              <w:t>d</w:t>
            </w:r>
            <w:r>
              <w:t xml:space="preserve"> in your organisation?</w:t>
            </w:r>
          </w:p>
          <w:p w:rsidR="00715E32" w:rsidRDefault="00A24FD8" w:rsidP="00CF7DF5">
            <w:pPr>
              <w:pStyle w:val="ListParagraph"/>
              <w:numPr>
                <w:ilvl w:val="0"/>
                <w:numId w:val="13"/>
              </w:numPr>
            </w:pPr>
            <w:r>
              <w:t xml:space="preserve">A </w:t>
            </w:r>
            <w:r w:rsidR="005E09C7">
              <w:t>service has a</w:t>
            </w:r>
            <w:r w:rsidR="00CF7DF5">
              <w:t xml:space="preserve"> policy</w:t>
            </w:r>
            <w:r w:rsidR="00715E32">
              <w:t xml:space="preserve"> </w:t>
            </w:r>
            <w:r w:rsidR="005E09C7">
              <w:t xml:space="preserve">that </w:t>
            </w:r>
            <w:r w:rsidR="00CF7DF5">
              <w:t>clarifies how trauma-informed approaches are integrated into service provision and human resource management practices</w:t>
            </w:r>
          </w:p>
          <w:p w:rsidR="00715E32" w:rsidRDefault="00A93ECB" w:rsidP="00CF7DF5">
            <w:pPr>
              <w:pStyle w:val="ListParagraph"/>
              <w:numPr>
                <w:ilvl w:val="0"/>
                <w:numId w:val="13"/>
              </w:numPr>
            </w:pPr>
            <w:r>
              <w:t>All</w:t>
            </w:r>
            <w:r w:rsidR="00715E32">
              <w:t xml:space="preserve"> workers </w:t>
            </w:r>
            <w:r w:rsidR="00CF7DF5">
              <w:t xml:space="preserve">including </w:t>
            </w:r>
            <w:r w:rsidR="00715E32">
              <w:t xml:space="preserve">management </w:t>
            </w:r>
            <w:r>
              <w:t xml:space="preserve">are trained </w:t>
            </w:r>
            <w:r w:rsidR="00715E32">
              <w:t>in trauma-informed practice</w:t>
            </w:r>
            <w:r>
              <w:t xml:space="preserve">. </w:t>
            </w:r>
          </w:p>
          <w:p w:rsidR="00715E32" w:rsidRDefault="00A93ECB" w:rsidP="00CF7DF5">
            <w:pPr>
              <w:pStyle w:val="ListParagraph"/>
              <w:numPr>
                <w:ilvl w:val="0"/>
                <w:numId w:val="13"/>
              </w:numPr>
            </w:pPr>
            <w:r>
              <w:t xml:space="preserve">All </w:t>
            </w:r>
            <w:r w:rsidR="00715E32">
              <w:t xml:space="preserve">workers </w:t>
            </w:r>
            <w:r>
              <w:t xml:space="preserve">possess </w:t>
            </w:r>
            <w:r w:rsidR="00715E32">
              <w:t>a nuanced understanding of the</w:t>
            </w:r>
            <w:r w:rsidR="00CF7DF5">
              <w:t xml:space="preserve"> intersectional</w:t>
            </w:r>
            <w:r w:rsidR="00715E32">
              <w:t xml:space="preserve"> impacts of sexual and gender-based violence</w:t>
            </w:r>
            <w:r>
              <w:t xml:space="preserve">. </w:t>
            </w:r>
          </w:p>
          <w:p w:rsidR="0029596E" w:rsidRDefault="0029596E" w:rsidP="00CF7DF5">
            <w:pPr>
              <w:pStyle w:val="ListParagraph"/>
              <w:numPr>
                <w:ilvl w:val="0"/>
                <w:numId w:val="13"/>
              </w:numPr>
            </w:pPr>
            <w:r>
              <w:t>Victims/survivors do not have to retell their story to access different parts of the service.</w:t>
            </w:r>
          </w:p>
          <w:p w:rsidR="00715E32" w:rsidRDefault="00A93ECB" w:rsidP="00CF7DF5">
            <w:pPr>
              <w:pStyle w:val="ListParagraph"/>
              <w:numPr>
                <w:ilvl w:val="0"/>
                <w:numId w:val="13"/>
              </w:numPr>
            </w:pPr>
            <w:r>
              <w:t xml:space="preserve">All </w:t>
            </w:r>
            <w:r w:rsidR="00CF7DF5">
              <w:t xml:space="preserve">workers </w:t>
            </w:r>
            <w:r>
              <w:t>ha</w:t>
            </w:r>
            <w:r w:rsidR="00CF7DF5">
              <w:t>ve</w:t>
            </w:r>
            <w:r>
              <w:t xml:space="preserve"> </w:t>
            </w:r>
            <w:r w:rsidR="00715E32">
              <w:t>access to supervision and debrief</w:t>
            </w:r>
            <w:r w:rsidR="005E09C7">
              <w:t>ing</w:t>
            </w:r>
            <w:r w:rsidR="00715E32">
              <w:t xml:space="preserve"> as a part of management strategies for </w:t>
            </w:r>
            <w:r w:rsidR="00CF7DF5">
              <w:t>preventing and assessing risk of</w:t>
            </w:r>
            <w:r w:rsidR="00715E32">
              <w:t xml:space="preserve"> vicarious trauma</w:t>
            </w:r>
            <w:r>
              <w:t xml:space="preserve">. </w:t>
            </w:r>
          </w:p>
          <w:p w:rsidR="00715E32" w:rsidRDefault="00A93ECB" w:rsidP="00CF7DF5">
            <w:pPr>
              <w:pStyle w:val="ListParagraph"/>
              <w:numPr>
                <w:ilvl w:val="0"/>
                <w:numId w:val="13"/>
              </w:numPr>
            </w:pPr>
            <w:r>
              <w:t xml:space="preserve">All </w:t>
            </w:r>
            <w:r w:rsidR="00FB1EB9">
              <w:t>s</w:t>
            </w:r>
            <w:r w:rsidR="00715E32">
              <w:t xml:space="preserve">upport workers </w:t>
            </w:r>
            <w:r>
              <w:t xml:space="preserve">are </w:t>
            </w:r>
            <w:r w:rsidR="00715E32">
              <w:t xml:space="preserve">trained to understand trauma and address </w:t>
            </w:r>
            <w:r w:rsidR="00FB1EB9">
              <w:t>multiple and complex needs of their clients</w:t>
            </w:r>
            <w:r>
              <w:t xml:space="preserve">. </w:t>
            </w:r>
          </w:p>
          <w:p w:rsidR="00CF7DF5" w:rsidRDefault="00CF7DF5" w:rsidP="00CF7DF5">
            <w:pPr>
              <w:pStyle w:val="ListParagraph"/>
              <w:numPr>
                <w:ilvl w:val="0"/>
                <w:numId w:val="13"/>
              </w:numPr>
            </w:pPr>
            <w:r>
              <w:t xml:space="preserve">A service has resourced social, emotional and cultural support pathways for staff, </w:t>
            </w:r>
            <w:r w:rsidR="002007F8">
              <w:t xml:space="preserve">that may </w:t>
            </w:r>
            <w:r>
              <w:t>includ</w:t>
            </w:r>
            <w:r w:rsidR="002007F8">
              <w:t>e</w:t>
            </w:r>
            <w:r>
              <w:t xml:space="preserve"> external supervision or peer support options with sister services.</w:t>
            </w:r>
          </w:p>
          <w:p w:rsidR="00921834" w:rsidRPr="00DB3FC4" w:rsidRDefault="001F4DF9" w:rsidP="00CF7DF5">
            <w:pPr>
              <w:pStyle w:val="ListParagraph"/>
              <w:numPr>
                <w:ilvl w:val="0"/>
                <w:numId w:val="13"/>
              </w:numPr>
            </w:pPr>
            <w:r>
              <w:lastRenderedPageBreak/>
              <w:t>A s</w:t>
            </w:r>
            <w:r w:rsidR="00921834" w:rsidRPr="00921834">
              <w:t>ervice work</w:t>
            </w:r>
            <w:r>
              <w:t>s</w:t>
            </w:r>
            <w:r w:rsidR="00921834" w:rsidRPr="00921834">
              <w:t xml:space="preserve"> to foster resilience in the workplace, and encourage</w:t>
            </w:r>
            <w:r>
              <w:t>s</w:t>
            </w:r>
            <w:r w:rsidR="002007F8">
              <w:t xml:space="preserve"> activism against discrimination, victim-blaming and the social drivers of sexual and gender-based violence. It also provides formal and</w:t>
            </w:r>
            <w:r w:rsidR="00921834" w:rsidRPr="00921834">
              <w:t xml:space="preserve"> informal supervision such as providing a space to unwind and debrief, opportunities to exercise on lunch breaks and other self-care activities</w:t>
            </w:r>
            <w:r w:rsidR="005D5B7D">
              <w:t>.</w:t>
            </w:r>
          </w:p>
          <w:p w:rsidR="00715E32" w:rsidRDefault="00715E32" w:rsidP="00FB1EB9">
            <w:pPr>
              <w:pStyle w:val="ListParagraph"/>
            </w:pPr>
          </w:p>
        </w:tc>
      </w:tr>
    </w:tbl>
    <w:p w:rsidR="005574E7" w:rsidRDefault="005574E7" w:rsidP="005574E7"/>
    <w:p w:rsidR="00425897" w:rsidRDefault="00425897" w:rsidP="00297F19">
      <w:pPr>
        <w:pStyle w:val="Heading2"/>
      </w:pPr>
      <w:r>
        <w:t xml:space="preserve">Principle 6: </w:t>
      </w:r>
      <w:r w:rsidRPr="00EB73D5">
        <w:t>Perpetrator accountability</w:t>
      </w:r>
    </w:p>
    <w:p w:rsidR="00165A9D" w:rsidRDefault="00165A9D" w:rsidP="00165A9D">
      <w:pPr>
        <w:rPr>
          <w:rFonts w:asciiTheme="majorHAnsi" w:hAnsiTheme="majorHAnsi" w:cs="Arial"/>
        </w:rPr>
      </w:pPr>
      <w:r>
        <w:rPr>
          <w:rFonts w:asciiTheme="majorHAnsi" w:hAnsiTheme="majorHAnsi" w:cs="Arial"/>
        </w:rPr>
        <w:t xml:space="preserve">To end </w:t>
      </w:r>
      <w:r w:rsidR="00A93ECB">
        <w:rPr>
          <w:rFonts w:asciiTheme="majorHAnsi" w:hAnsiTheme="majorHAnsi" w:cs="Arial"/>
        </w:rPr>
        <w:t>sexual and gender-based violence</w:t>
      </w:r>
      <w:r>
        <w:rPr>
          <w:rFonts w:asciiTheme="majorHAnsi" w:hAnsiTheme="majorHAnsi" w:cs="Arial"/>
        </w:rPr>
        <w:t xml:space="preserve">, all services involved in preventing and responding to this violence must contribute to perpetrator accountability. </w:t>
      </w:r>
    </w:p>
    <w:p w:rsidR="00FE010F" w:rsidRDefault="00165A9D" w:rsidP="00165A9D">
      <w:pPr>
        <w:rPr>
          <w:rFonts w:asciiTheme="majorHAnsi" w:hAnsiTheme="majorHAnsi" w:cs="Arial"/>
          <w:color w:val="000000" w:themeColor="text1"/>
        </w:rPr>
      </w:pPr>
      <w:r>
        <w:rPr>
          <w:rFonts w:asciiTheme="majorHAnsi" w:hAnsiTheme="majorHAnsi" w:cs="Arial"/>
          <w:color w:val="000000" w:themeColor="text1"/>
        </w:rPr>
        <w:t>Services also play an important role in supporting and facilitating the</w:t>
      </w:r>
      <w:r w:rsidR="00603C5F">
        <w:rPr>
          <w:rFonts w:asciiTheme="majorHAnsi" w:hAnsiTheme="majorHAnsi" w:cs="Arial"/>
          <w:color w:val="000000" w:themeColor="text1"/>
        </w:rPr>
        <w:t xml:space="preserve"> victim/survivor’s</w:t>
      </w:r>
      <w:r>
        <w:rPr>
          <w:rFonts w:asciiTheme="majorHAnsi" w:hAnsiTheme="majorHAnsi" w:cs="Arial"/>
          <w:color w:val="000000" w:themeColor="text1"/>
        </w:rPr>
        <w:t xml:space="preserve"> interactions with all relevant systems including the justice system, promoting </w:t>
      </w:r>
      <w:r w:rsidR="00AC6810">
        <w:rPr>
          <w:rFonts w:asciiTheme="majorHAnsi" w:hAnsiTheme="majorHAnsi" w:cs="Arial"/>
          <w:color w:val="000000" w:themeColor="text1"/>
        </w:rPr>
        <w:t>their</w:t>
      </w:r>
      <w:r>
        <w:rPr>
          <w:rFonts w:asciiTheme="majorHAnsi" w:hAnsiTheme="majorHAnsi" w:cs="Arial"/>
          <w:color w:val="000000" w:themeColor="text1"/>
        </w:rPr>
        <w:t xml:space="preserve"> capacity to exercise </w:t>
      </w:r>
      <w:r w:rsidR="00AC6810">
        <w:rPr>
          <w:rFonts w:asciiTheme="majorHAnsi" w:hAnsiTheme="majorHAnsi" w:cs="Arial"/>
          <w:color w:val="000000" w:themeColor="text1"/>
        </w:rPr>
        <w:t>their</w:t>
      </w:r>
      <w:r>
        <w:rPr>
          <w:rFonts w:asciiTheme="majorHAnsi" w:hAnsiTheme="majorHAnsi" w:cs="Arial"/>
          <w:color w:val="000000" w:themeColor="text1"/>
        </w:rPr>
        <w:t xml:space="preserve"> </w:t>
      </w:r>
      <w:r w:rsidR="00323D77">
        <w:rPr>
          <w:rFonts w:asciiTheme="majorHAnsi" w:hAnsiTheme="majorHAnsi" w:cs="Arial"/>
          <w:color w:val="000000" w:themeColor="text1"/>
        </w:rPr>
        <w:t xml:space="preserve">personal </w:t>
      </w:r>
      <w:r>
        <w:rPr>
          <w:rFonts w:asciiTheme="majorHAnsi" w:hAnsiTheme="majorHAnsi" w:cs="Arial"/>
          <w:color w:val="000000" w:themeColor="text1"/>
        </w:rPr>
        <w:t xml:space="preserve">agency, and working towards a situation in which the burden of seeking justice is borne by the state and not the </w:t>
      </w:r>
      <w:r w:rsidR="00603C5F">
        <w:rPr>
          <w:rFonts w:asciiTheme="majorHAnsi" w:hAnsiTheme="majorHAnsi" w:cs="Arial"/>
          <w:color w:val="000000" w:themeColor="text1"/>
        </w:rPr>
        <w:t>victim/survivor</w:t>
      </w:r>
      <w:r w:rsidR="00B5233C" w:rsidRPr="00B5233C">
        <w:t xml:space="preserve"> </w:t>
      </w:r>
      <w:r w:rsidR="00B5233C" w:rsidRPr="00B5233C">
        <w:rPr>
          <w:rFonts w:asciiTheme="majorHAnsi" w:hAnsiTheme="majorHAnsi" w:cs="Arial"/>
          <w:color w:val="000000" w:themeColor="text1"/>
        </w:rPr>
        <w:t>(UN Women</w:t>
      </w:r>
      <w:r w:rsidR="00F3260A">
        <w:rPr>
          <w:rFonts w:asciiTheme="majorHAnsi" w:hAnsiTheme="majorHAnsi" w:cs="Arial"/>
          <w:color w:val="000000" w:themeColor="text1"/>
        </w:rPr>
        <w:t xml:space="preserve"> et al.</w:t>
      </w:r>
      <w:r w:rsidR="00B5233C" w:rsidRPr="00B5233C">
        <w:rPr>
          <w:rFonts w:asciiTheme="majorHAnsi" w:hAnsiTheme="majorHAnsi" w:cs="Arial"/>
          <w:color w:val="000000" w:themeColor="text1"/>
        </w:rPr>
        <w:t>, 2016)</w:t>
      </w:r>
      <w:r w:rsidR="00370352">
        <w:rPr>
          <w:rFonts w:asciiTheme="majorHAnsi" w:hAnsiTheme="majorHAnsi" w:cs="Arial"/>
          <w:color w:val="000000" w:themeColor="text1"/>
        </w:rPr>
        <w:t>.</w:t>
      </w:r>
    </w:p>
    <w:p w:rsidR="00FE010F" w:rsidRDefault="00FE010F" w:rsidP="00165A9D">
      <w:r>
        <w:t>Any action undertaken by the services to promote perpetrator accountability must centre the safety of victims/survivors, consent and their centrality in decision making</w:t>
      </w:r>
      <w:r w:rsidR="00B5233C" w:rsidRPr="00B5233C">
        <w:t xml:space="preserve"> </w:t>
      </w:r>
      <w:r w:rsidR="00B5233C">
        <w:t xml:space="preserve">(Domestic Violence Victoria, </w:t>
      </w:r>
      <w:r w:rsidR="00B5233C" w:rsidRPr="00B5233C">
        <w:t>2020)</w:t>
      </w:r>
      <w:r>
        <w:t>.</w:t>
      </w:r>
    </w:p>
    <w:tbl>
      <w:tblPr>
        <w:tblStyle w:val="TableGrid"/>
        <w:tblW w:w="0" w:type="auto"/>
        <w:tblLook w:val="04A0" w:firstRow="1" w:lastRow="0" w:firstColumn="1" w:lastColumn="0" w:noHBand="0" w:noVBand="1"/>
      </w:tblPr>
      <w:tblGrid>
        <w:gridCol w:w="9016"/>
      </w:tblGrid>
      <w:tr w:rsidR="00FE010F" w:rsidTr="00140FCA">
        <w:tc>
          <w:tcPr>
            <w:tcW w:w="9016" w:type="dxa"/>
          </w:tcPr>
          <w:p w:rsidR="00FE010F" w:rsidRDefault="00FE010F" w:rsidP="00140FCA">
            <w:pPr>
              <w:rPr>
                <w:b/>
              </w:rPr>
            </w:pPr>
            <w:r>
              <w:rPr>
                <w:b/>
              </w:rPr>
              <w:t xml:space="preserve">Practice guiding </w:t>
            </w:r>
            <w:r w:rsidR="00A93ECB">
              <w:rPr>
                <w:b/>
              </w:rPr>
              <w:t>considerations</w:t>
            </w:r>
            <w:r>
              <w:rPr>
                <w:b/>
              </w:rPr>
              <w:t xml:space="preserve">: </w:t>
            </w:r>
          </w:p>
          <w:p w:rsidR="004E68DE" w:rsidRDefault="004E68DE" w:rsidP="004E68DE">
            <w:r>
              <w:t xml:space="preserve">To assess whether your service is operating through a </w:t>
            </w:r>
            <w:r w:rsidR="008251FD">
              <w:t>perpetrator accountability lens</w:t>
            </w:r>
            <w:r>
              <w:t>, would you agree with the following statements being applie</w:t>
            </w:r>
            <w:r w:rsidR="00323D77">
              <w:t>d</w:t>
            </w:r>
            <w:r>
              <w:t xml:space="preserve"> in your organisation?</w:t>
            </w:r>
          </w:p>
          <w:p w:rsidR="00FE010F" w:rsidRDefault="00FE010F" w:rsidP="00140FCA">
            <w:pPr>
              <w:pStyle w:val="ListParagraph"/>
              <w:numPr>
                <w:ilvl w:val="0"/>
                <w:numId w:val="16"/>
              </w:numPr>
              <w:spacing w:before="0" w:after="0"/>
            </w:pPr>
            <w:r>
              <w:t xml:space="preserve">A service validates </w:t>
            </w:r>
            <w:r w:rsidR="00F1003C">
              <w:t xml:space="preserve">victim/survivors’ </w:t>
            </w:r>
            <w:r>
              <w:t>experiences of violence and reinforces perpetrator accountability.</w:t>
            </w:r>
          </w:p>
          <w:p w:rsidR="00FE010F" w:rsidRDefault="00E065F3" w:rsidP="00140FCA">
            <w:pPr>
              <w:pStyle w:val="ListParagraph"/>
              <w:numPr>
                <w:ilvl w:val="0"/>
                <w:numId w:val="16"/>
              </w:numPr>
              <w:spacing w:before="0" w:after="0"/>
            </w:pPr>
            <w:r>
              <w:t>A s</w:t>
            </w:r>
            <w:r w:rsidR="00FE010F" w:rsidRPr="0097012F">
              <w:t xml:space="preserve">ervice </w:t>
            </w:r>
            <w:r w:rsidRPr="0097012F">
              <w:t>help</w:t>
            </w:r>
            <w:r>
              <w:t xml:space="preserve">s </w:t>
            </w:r>
            <w:r w:rsidR="00FE010F">
              <w:t>victims/survivors</w:t>
            </w:r>
            <w:r w:rsidR="00FE010F" w:rsidRPr="0097012F">
              <w:t xml:space="preserve"> to navigate multiple systems </w:t>
            </w:r>
            <w:r w:rsidR="00FE010F">
              <w:t>(such as courts)</w:t>
            </w:r>
            <w:r w:rsidR="00FE010F" w:rsidRPr="001E09D3">
              <w:t xml:space="preserve">, giving </w:t>
            </w:r>
            <w:r w:rsidR="00FE010F">
              <w:t>them</w:t>
            </w:r>
            <w:r w:rsidR="00FE010F" w:rsidRPr="001E09D3">
              <w:t xml:space="preserve"> the chance to</w:t>
            </w:r>
            <w:r w:rsidR="00FE010F" w:rsidRPr="0097012F">
              <w:t xml:space="preserve"> </w:t>
            </w:r>
            <w:r w:rsidR="00FE010F">
              <w:t>decide for themselves</w:t>
            </w:r>
            <w:r w:rsidR="00FE010F" w:rsidRPr="0097012F">
              <w:t xml:space="preserve"> and </w:t>
            </w:r>
            <w:r w:rsidR="00FE010F" w:rsidRPr="001E09D3">
              <w:t>prevent</w:t>
            </w:r>
            <w:r w:rsidR="00FE010F">
              <w:t>ing the</w:t>
            </w:r>
            <w:r w:rsidR="00323D77">
              <w:t xml:space="preserve"> perpetrator</w:t>
            </w:r>
            <w:r w:rsidR="00FE010F">
              <w:t xml:space="preserve"> from being able to manipulate the </w:t>
            </w:r>
            <w:r w:rsidR="00FE010F" w:rsidRPr="0097012F">
              <w:t>system</w:t>
            </w:r>
            <w:r w:rsidR="00FE010F">
              <w:t>s.</w:t>
            </w:r>
          </w:p>
          <w:p w:rsidR="00FB1760" w:rsidRDefault="00FB1760" w:rsidP="00140FCA">
            <w:pPr>
              <w:pStyle w:val="ListParagraph"/>
              <w:numPr>
                <w:ilvl w:val="0"/>
                <w:numId w:val="16"/>
              </w:numPr>
              <w:spacing w:before="0" w:after="0"/>
            </w:pPr>
            <w:r>
              <w:t>A s</w:t>
            </w:r>
            <w:r w:rsidRPr="0097012F">
              <w:t xml:space="preserve">ervice </w:t>
            </w:r>
            <w:r>
              <w:t xml:space="preserve">contributes to societal change with community education materials and public relations </w:t>
            </w:r>
            <w:r w:rsidR="00F1003C">
              <w:t xml:space="preserve">that </w:t>
            </w:r>
            <w:r>
              <w:t>continue to challenge myths and misconceptions that lead to victim blam</w:t>
            </w:r>
            <w:r w:rsidR="00323D77">
              <w:t>ing</w:t>
            </w:r>
            <w:r w:rsidR="00A24FD8">
              <w:t xml:space="preserve"> </w:t>
            </w:r>
            <w:r>
              <w:t>and sham</w:t>
            </w:r>
            <w:r w:rsidR="00323D77">
              <w:t>ing</w:t>
            </w:r>
            <w:r w:rsidR="00F1003C">
              <w:t>.</w:t>
            </w:r>
          </w:p>
          <w:p w:rsidR="00FE010F" w:rsidRDefault="00FE010F" w:rsidP="00140FCA">
            <w:pPr>
              <w:pStyle w:val="ListParagraph"/>
              <w:numPr>
                <w:ilvl w:val="0"/>
                <w:numId w:val="16"/>
              </w:numPr>
              <w:spacing w:before="0" w:after="0"/>
            </w:pPr>
            <w:r w:rsidRPr="00140FCA">
              <w:t xml:space="preserve">Violence </w:t>
            </w:r>
            <w:r>
              <w:t>is</w:t>
            </w:r>
            <w:r w:rsidRPr="00140FCA">
              <w:t xml:space="preserve"> not condoned, tolerated, excused, minimised or perpetuated in any way by the service. </w:t>
            </w:r>
          </w:p>
          <w:p w:rsidR="00FE010F" w:rsidRDefault="00FE010F" w:rsidP="00140FCA"/>
        </w:tc>
      </w:tr>
    </w:tbl>
    <w:p w:rsidR="00FE010F" w:rsidRDefault="00FE010F" w:rsidP="00165A9D"/>
    <w:p w:rsidR="00CF4D01" w:rsidRDefault="00CF4D01" w:rsidP="00297F19">
      <w:pPr>
        <w:pStyle w:val="Heading2"/>
      </w:pPr>
      <w:r>
        <w:t>Principle 7: Confidentiality, o</w:t>
      </w:r>
      <w:r w:rsidRPr="00EB73D5">
        <w:t>rganisational accountability</w:t>
      </w:r>
      <w:r>
        <w:t xml:space="preserve"> and service responsiveness</w:t>
      </w:r>
      <w:r w:rsidRPr="00EB73D5">
        <w:t xml:space="preserve"> </w:t>
      </w:r>
    </w:p>
    <w:p w:rsidR="00FE010F" w:rsidRDefault="00E065F3" w:rsidP="00087B55">
      <w:r>
        <w:t>According to this principle, s</w:t>
      </w:r>
      <w:r w:rsidR="00FE010F">
        <w:t xml:space="preserve">ervices are responsive to the needs of victim/survivors, providing them with integrated support or referring them to other services where other support will be provided. Support workers are clear and transparent </w:t>
      </w:r>
      <w:r w:rsidR="00323D77">
        <w:t xml:space="preserve">with </w:t>
      </w:r>
      <w:r w:rsidR="00FE010F">
        <w:t>what types of support can be provided at a given service</w:t>
      </w:r>
      <w:r w:rsidR="006F3A94">
        <w:t xml:space="preserve"> (AWAVA, 2020)</w:t>
      </w:r>
      <w:r w:rsidR="00FE010F">
        <w:t>.</w:t>
      </w:r>
    </w:p>
    <w:p w:rsidR="00FE010F" w:rsidRDefault="00FE010F" w:rsidP="00087B55">
      <w:r>
        <w:t>Services are collaborating in providing support and leading a coordinated response for a victim/survivor. The purpose of collaboration is to provide an integrated support</w:t>
      </w:r>
      <w:r w:rsidR="00323D77">
        <w:t xml:space="preserve"> response</w:t>
      </w:r>
      <w:r>
        <w:t xml:space="preserve">, address specific needs and minimise silos and duplication. </w:t>
      </w:r>
    </w:p>
    <w:p w:rsidR="00FE010F" w:rsidRDefault="00FE010F" w:rsidP="00087B55">
      <w:r>
        <w:t xml:space="preserve">This principle </w:t>
      </w:r>
      <w:r w:rsidR="00CF4D01">
        <w:t>encompasses a number of operational issues,</w:t>
      </w:r>
      <w:r>
        <w:t xml:space="preserve"> includ</w:t>
      </w:r>
      <w:r w:rsidR="00CF4D01">
        <w:t>ing</w:t>
      </w:r>
      <w:r>
        <w:t xml:space="preserve"> confidentiality, informed consent and data management practices. Confidentiality is key to safety of victims/survivors and support workers must be able to maintain privacy. This means not sharing any victims/survivors’ details with other services or individuals without their consent. This is also relevant to LGBTIQ+ people whose sexual orientation, gender identity or intersex status must not be outed to others. Victims/survivors must be </w:t>
      </w:r>
      <w:r w:rsidR="00323D77">
        <w:lastRenderedPageBreak/>
        <w:t>informed of the</w:t>
      </w:r>
      <w:r>
        <w:t xml:space="preserve"> privacy and confidentiality policy of the service. Consent-seeking must be prioritised as it is a key component for victims/survivor’s centred decision making in rebuilding their lives</w:t>
      </w:r>
      <w:r w:rsidR="006F3A94">
        <w:t xml:space="preserve"> (Domestic Violence Victoria, </w:t>
      </w:r>
      <w:r w:rsidR="006F3A94" w:rsidRPr="006F3A94">
        <w:t>2020)</w:t>
      </w:r>
      <w:r>
        <w:t>.</w:t>
      </w:r>
    </w:p>
    <w:p w:rsidR="00FE010F" w:rsidRDefault="00FE010F" w:rsidP="00D97AF3">
      <w:r>
        <w:t xml:space="preserve">Information sharing </w:t>
      </w:r>
      <w:r w:rsidR="00046B4B">
        <w:t xml:space="preserve">practices </w:t>
      </w:r>
      <w:r w:rsidR="00124F8E">
        <w:t>utilising</w:t>
      </w:r>
      <w:r w:rsidR="00046B4B">
        <w:t xml:space="preserve"> informed consent</w:t>
      </w:r>
      <w:r w:rsidR="00323D77">
        <w:t>, or by legislation through prescribed agencies,</w:t>
      </w:r>
      <w:r w:rsidR="00046B4B">
        <w:t xml:space="preserve"> </w:t>
      </w:r>
      <w:r>
        <w:t xml:space="preserve">mitigate the risks of a victim/survivor </w:t>
      </w:r>
      <w:r w:rsidR="00154B48">
        <w:t xml:space="preserve">being </w:t>
      </w:r>
      <w:r>
        <w:t xml:space="preserve">wrongly identified as a perpetrator. This is </w:t>
      </w:r>
      <w:r w:rsidR="00154B48">
        <w:t>particularly salient</w:t>
      </w:r>
      <w:r>
        <w:t xml:space="preserve"> for </w:t>
      </w:r>
      <w:r w:rsidRPr="00140FCA">
        <w:t xml:space="preserve">women </w:t>
      </w:r>
      <w:r w:rsidR="00154B48">
        <w:t xml:space="preserve">who face compounded discriminations, such as women </w:t>
      </w:r>
      <w:r w:rsidRPr="00140FCA">
        <w:t xml:space="preserve">with mental health </w:t>
      </w:r>
      <w:r w:rsidR="00154B48">
        <w:t>conditions</w:t>
      </w:r>
      <w:r w:rsidRPr="00140FCA">
        <w:t xml:space="preserve">, Aboriginal </w:t>
      </w:r>
      <w:r w:rsidR="00DD22DD">
        <w:t xml:space="preserve">and Torres Strait Islander </w:t>
      </w:r>
      <w:r w:rsidRPr="00140FCA">
        <w:t>women, women with disabilit</w:t>
      </w:r>
      <w:r w:rsidR="00637FFA">
        <w:t>ies</w:t>
      </w:r>
      <w:r w:rsidRPr="00140FCA">
        <w:t>, women from refugee and migrant backgrounds, and LGBTIQ</w:t>
      </w:r>
      <w:r w:rsidR="00DD22DD">
        <w:t>+</w:t>
      </w:r>
      <w:r w:rsidRPr="00140FCA">
        <w:t xml:space="preserve"> people. It is the responsibility of the service to “critically reflect on the biases that perpetuate the misidentification of victim-survivors, ensure that corrections are made within record-keeping and information-sharing processes (within the service itself and through feedback to other services and systems that hold this information), and advocate for reforms to address the perpetuation of this problem”</w:t>
      </w:r>
      <w:r w:rsidR="006F3A94" w:rsidRPr="006F3A94">
        <w:t xml:space="preserve"> </w:t>
      </w:r>
      <w:r w:rsidR="006F3A94">
        <w:t xml:space="preserve">(Domestic Violence Victoria, </w:t>
      </w:r>
      <w:r w:rsidR="006F3A94" w:rsidRPr="006F3A94">
        <w:t>2020)</w:t>
      </w:r>
      <w:r w:rsidR="006F3A94">
        <w:t>.</w:t>
      </w:r>
    </w:p>
    <w:p w:rsidR="006D5C94" w:rsidRDefault="006D5C94" w:rsidP="00087B55">
      <w:r>
        <w:t>This principle is also linked to trauma-informed practices through ensuring that retelling of stories and experiences is minimised across different parts of the service</w:t>
      </w:r>
      <w:r w:rsidR="006F3A94">
        <w:t xml:space="preserve"> </w:t>
      </w:r>
      <w:r w:rsidR="006F3A94" w:rsidRPr="006F3A94">
        <w:t>(Domestic Violence Victoria, 2020)</w:t>
      </w:r>
      <w:r>
        <w:t>.</w:t>
      </w:r>
    </w:p>
    <w:p w:rsidR="000834C5" w:rsidRDefault="000834C5" w:rsidP="00087B55">
      <w:r w:rsidRPr="00A24FD8">
        <w:t xml:space="preserve">Data </w:t>
      </w:r>
      <w:r w:rsidR="00A76D59" w:rsidRPr="00A24FD8">
        <w:t>management practices need to be robust and be designed to not only guard against general cybersafety threats of a random nature but also of a targeted nature by perpetrators with specific motivations.</w:t>
      </w:r>
      <w:r w:rsidR="00A76D59">
        <w:t xml:space="preserve">  </w:t>
      </w:r>
    </w:p>
    <w:tbl>
      <w:tblPr>
        <w:tblStyle w:val="TableGrid"/>
        <w:tblW w:w="0" w:type="auto"/>
        <w:tblLook w:val="04A0" w:firstRow="1" w:lastRow="0" w:firstColumn="1" w:lastColumn="0" w:noHBand="0" w:noVBand="1"/>
      </w:tblPr>
      <w:tblGrid>
        <w:gridCol w:w="9016"/>
      </w:tblGrid>
      <w:tr w:rsidR="00140FCA" w:rsidTr="00140FCA">
        <w:tc>
          <w:tcPr>
            <w:tcW w:w="9016" w:type="dxa"/>
          </w:tcPr>
          <w:p w:rsidR="00CF4D01" w:rsidRDefault="00CF4D01" w:rsidP="00CF4D01">
            <w:pPr>
              <w:rPr>
                <w:b/>
              </w:rPr>
            </w:pPr>
            <w:r>
              <w:rPr>
                <w:b/>
              </w:rPr>
              <w:t xml:space="preserve">Practice guiding questions: </w:t>
            </w:r>
          </w:p>
          <w:p w:rsidR="004E68DE" w:rsidRDefault="004E68DE" w:rsidP="004E68DE">
            <w:r>
              <w:t xml:space="preserve">To assess whether your service is operating through a </w:t>
            </w:r>
            <w:r w:rsidR="008251FD">
              <w:t>c</w:t>
            </w:r>
            <w:r w:rsidR="008251FD" w:rsidRPr="008251FD">
              <w:t>onfidentiality, organisational accountability and service responsiveness</w:t>
            </w:r>
            <w:r w:rsidR="008251FD">
              <w:t xml:space="preserve"> approach</w:t>
            </w:r>
            <w:r>
              <w:t>, would you agree with the following statements being applie</w:t>
            </w:r>
            <w:r w:rsidR="00F408BE">
              <w:t>d</w:t>
            </w:r>
            <w:r>
              <w:t xml:space="preserve"> in your organisation?</w:t>
            </w:r>
          </w:p>
          <w:p w:rsidR="00140FCA" w:rsidRPr="00B81DE6" w:rsidRDefault="00140FCA" w:rsidP="00CF4D01">
            <w:pPr>
              <w:pStyle w:val="ListParagraph"/>
              <w:numPr>
                <w:ilvl w:val="0"/>
                <w:numId w:val="16"/>
              </w:numPr>
              <w:spacing w:before="0" w:after="0"/>
              <w:jc w:val="left"/>
              <w:rPr>
                <w:rFonts w:ascii="Times New Roman" w:hAnsi="Times New Roman"/>
                <w:sz w:val="24"/>
                <w:szCs w:val="24"/>
                <w:lang w:val="en-AU" w:eastAsia="en-AU"/>
              </w:rPr>
            </w:pPr>
            <w:r>
              <w:t>Support workers are clear about their role and limitation of what they could do</w:t>
            </w:r>
            <w:r w:rsidR="00F408BE">
              <w:t xml:space="preserve"> and where they would need to refer to other services</w:t>
            </w:r>
            <w:r>
              <w:t xml:space="preserve">. </w:t>
            </w:r>
          </w:p>
          <w:p w:rsidR="00140FCA" w:rsidRPr="00B81DE6" w:rsidRDefault="00140FCA" w:rsidP="00CF4D01">
            <w:pPr>
              <w:pStyle w:val="ListParagraph"/>
              <w:numPr>
                <w:ilvl w:val="0"/>
                <w:numId w:val="16"/>
              </w:numPr>
              <w:spacing w:before="0" w:after="0"/>
              <w:jc w:val="left"/>
              <w:rPr>
                <w:rFonts w:ascii="Times New Roman" w:hAnsi="Times New Roman"/>
                <w:sz w:val="24"/>
                <w:szCs w:val="24"/>
                <w:lang w:val="en-AU" w:eastAsia="en-AU"/>
              </w:rPr>
            </w:pPr>
            <w:r>
              <w:t>A service is confidential and the confidentiality policy is explained to each victim/survivor.</w:t>
            </w:r>
            <w:r w:rsidRPr="00B81DE6">
              <w:rPr>
                <w:rFonts w:ascii="Times New Roman" w:hAnsi="Times New Roman"/>
                <w:sz w:val="24"/>
                <w:szCs w:val="24"/>
                <w:lang w:val="en-AU" w:eastAsia="en-AU"/>
              </w:rPr>
              <w:t xml:space="preserve"> </w:t>
            </w:r>
          </w:p>
          <w:p w:rsidR="00140FCA" w:rsidRDefault="00140FCA" w:rsidP="00CF4D01">
            <w:pPr>
              <w:pStyle w:val="ListParagraph"/>
              <w:numPr>
                <w:ilvl w:val="0"/>
                <w:numId w:val="16"/>
              </w:numPr>
              <w:spacing w:before="0" w:after="0"/>
              <w:jc w:val="left"/>
              <w:rPr>
                <w:rFonts w:ascii="Times New Roman" w:hAnsi="Times New Roman"/>
                <w:sz w:val="24"/>
                <w:szCs w:val="24"/>
                <w:lang w:val="en-AU" w:eastAsia="en-AU"/>
              </w:rPr>
            </w:pPr>
            <w:r>
              <w:t>A service seeks feedback about their support</w:t>
            </w:r>
            <w:r w:rsidR="00E065F3">
              <w:t xml:space="preserve"> from victims/survivors</w:t>
            </w:r>
            <w:r w:rsidR="00DD22DD">
              <w:t xml:space="preserve"> and their feedback is incorporated into continuous improvement processes.</w:t>
            </w:r>
          </w:p>
          <w:p w:rsidR="00140FCA" w:rsidRPr="00140FCA" w:rsidRDefault="00140FCA" w:rsidP="00CF4D01">
            <w:pPr>
              <w:pStyle w:val="ListParagraph"/>
              <w:numPr>
                <w:ilvl w:val="0"/>
                <w:numId w:val="16"/>
              </w:numPr>
              <w:spacing w:before="0" w:after="0"/>
              <w:jc w:val="left"/>
            </w:pPr>
            <w:r>
              <w:t>Where the information about the experiences and circumstances of a victim/survivor is shared, it is done without any risks to them, in a safe manner with their consent</w:t>
            </w:r>
            <w:r w:rsidR="00F408BE">
              <w:t xml:space="preserve"> or as legislated for </w:t>
            </w:r>
            <w:r w:rsidR="00A24FD8">
              <w:t>prescribed</w:t>
            </w:r>
            <w:r w:rsidR="00F408BE">
              <w:t xml:space="preserve"> agencies</w:t>
            </w:r>
            <w:r>
              <w:t>.</w:t>
            </w:r>
          </w:p>
          <w:p w:rsidR="00140FCA" w:rsidRPr="00F04A68" w:rsidRDefault="00140FCA" w:rsidP="00CF4D01">
            <w:pPr>
              <w:pStyle w:val="ListParagraph"/>
              <w:numPr>
                <w:ilvl w:val="0"/>
                <w:numId w:val="16"/>
              </w:numPr>
              <w:spacing w:before="0" w:after="0"/>
              <w:jc w:val="left"/>
              <w:rPr>
                <w:rFonts w:ascii="Times New Roman" w:hAnsi="Times New Roman"/>
                <w:sz w:val="24"/>
                <w:szCs w:val="24"/>
                <w:lang w:val="en-AU" w:eastAsia="en-AU"/>
              </w:rPr>
            </w:pPr>
            <w:r>
              <w:t>A service never discloses any personal identities or circumstances to other services without an explicit consent by a victim/survivor</w:t>
            </w:r>
            <w:r w:rsidR="00F408BE">
              <w:t xml:space="preserve"> or as prescribed by legislation</w:t>
            </w:r>
            <w:r>
              <w:t xml:space="preserve">. </w:t>
            </w:r>
          </w:p>
          <w:p w:rsidR="00DD22DD" w:rsidRPr="00F04A68" w:rsidRDefault="00DD22DD" w:rsidP="00CF4D01">
            <w:pPr>
              <w:pStyle w:val="ListParagraph"/>
              <w:numPr>
                <w:ilvl w:val="0"/>
                <w:numId w:val="16"/>
              </w:numPr>
              <w:spacing w:before="0" w:after="0"/>
              <w:jc w:val="left"/>
              <w:rPr>
                <w:rFonts w:ascii="Times New Roman" w:hAnsi="Times New Roman"/>
                <w:sz w:val="24"/>
                <w:szCs w:val="24"/>
                <w:lang w:val="en-AU" w:eastAsia="en-AU"/>
              </w:rPr>
            </w:pPr>
            <w:r>
              <w:t>A service has an annual report or other reporting as accountability mechanisms that demonstrate continuous improvement to victim/survivors and the general community.</w:t>
            </w:r>
          </w:p>
          <w:p w:rsidR="00CF4D01" w:rsidRPr="00F04A68" w:rsidRDefault="00CF4D01" w:rsidP="00CF4D01">
            <w:pPr>
              <w:pStyle w:val="CommentText"/>
              <w:numPr>
                <w:ilvl w:val="0"/>
                <w:numId w:val="16"/>
              </w:numPr>
              <w:rPr>
                <w:sz w:val="22"/>
                <w:szCs w:val="22"/>
              </w:rPr>
            </w:pPr>
            <w:r w:rsidRPr="00F04A68">
              <w:rPr>
                <w:sz w:val="22"/>
                <w:szCs w:val="22"/>
              </w:rPr>
              <w:t>Individuals in contact with the service have a right to both safety and privacy but, where these rights are in tension, victim-survivor safety prevails</w:t>
            </w:r>
            <w:r w:rsidR="00F408BE">
              <w:rPr>
                <w:sz w:val="22"/>
                <w:szCs w:val="22"/>
              </w:rPr>
              <w:t xml:space="preserve">  Where there is tension between the rights of an adult and the rights of a child, the rights of the child prevail.</w:t>
            </w:r>
          </w:p>
          <w:p w:rsidR="00A24FD8" w:rsidRDefault="00CF4D01" w:rsidP="00A24FD8">
            <w:pPr>
              <w:pStyle w:val="CommentText"/>
              <w:numPr>
                <w:ilvl w:val="0"/>
                <w:numId w:val="16"/>
              </w:numPr>
              <w:rPr>
                <w:sz w:val="22"/>
                <w:szCs w:val="22"/>
              </w:rPr>
            </w:pPr>
            <w:r w:rsidRPr="00A24FD8">
              <w:rPr>
                <w:sz w:val="22"/>
                <w:szCs w:val="22"/>
              </w:rPr>
              <w:t>Victim-survivors have the right to access information held about them by the service and are able to correct that information</w:t>
            </w:r>
            <w:r w:rsidR="00A24FD8">
              <w:rPr>
                <w:sz w:val="22"/>
                <w:szCs w:val="22"/>
              </w:rPr>
              <w:t>.</w:t>
            </w:r>
          </w:p>
          <w:p w:rsidR="00A76D59" w:rsidRPr="00A24FD8" w:rsidRDefault="00A76D59" w:rsidP="00A24FD8">
            <w:pPr>
              <w:pStyle w:val="CommentText"/>
              <w:numPr>
                <w:ilvl w:val="0"/>
                <w:numId w:val="16"/>
              </w:numPr>
              <w:rPr>
                <w:sz w:val="22"/>
                <w:szCs w:val="22"/>
              </w:rPr>
            </w:pPr>
            <w:r w:rsidRPr="00A24FD8">
              <w:rPr>
                <w:sz w:val="22"/>
                <w:szCs w:val="22"/>
              </w:rPr>
              <w:t>Data about the victim/survivors and the s</w:t>
            </w:r>
            <w:r w:rsidR="00871B85" w:rsidRPr="00A24FD8">
              <w:rPr>
                <w:sz w:val="22"/>
                <w:szCs w:val="22"/>
              </w:rPr>
              <w:t>upport workers is secure and protected. A service has very high standards of data privacy and security in all aspects of its operations.</w:t>
            </w:r>
          </w:p>
          <w:p w:rsidR="00CF4D01" w:rsidRPr="00F04A68" w:rsidRDefault="00CF4D01" w:rsidP="00F04A68">
            <w:pPr>
              <w:spacing w:before="0" w:after="0"/>
              <w:jc w:val="left"/>
              <w:rPr>
                <w:rFonts w:ascii="Times New Roman" w:hAnsi="Times New Roman"/>
                <w:sz w:val="24"/>
                <w:szCs w:val="24"/>
                <w:lang w:val="en-AU" w:eastAsia="en-AU"/>
              </w:rPr>
            </w:pPr>
          </w:p>
          <w:p w:rsidR="00140FCA" w:rsidRDefault="00140FCA" w:rsidP="00140FCA">
            <w:r>
              <w:rPr>
                <w:rFonts w:ascii="Times New Roman" w:hAnsi="Times New Roman"/>
                <w:sz w:val="24"/>
                <w:szCs w:val="24"/>
                <w:lang w:val="en-AU" w:eastAsia="en-AU"/>
              </w:rPr>
              <w:t xml:space="preserve"> </w:t>
            </w:r>
          </w:p>
        </w:tc>
      </w:tr>
    </w:tbl>
    <w:p w:rsidR="00140FCA" w:rsidRDefault="00140FCA" w:rsidP="00140FCA"/>
    <w:p w:rsidR="004921B6" w:rsidRDefault="004921B6" w:rsidP="00297F19">
      <w:pPr>
        <w:pStyle w:val="Heading2"/>
      </w:pPr>
      <w:r>
        <w:lastRenderedPageBreak/>
        <w:t>Principle 8</w:t>
      </w:r>
      <w:r w:rsidRPr="00B53103">
        <w:t xml:space="preserve">: </w:t>
      </w:r>
      <w:r>
        <w:t xml:space="preserve">Interagency collaboration </w:t>
      </w:r>
    </w:p>
    <w:p w:rsidR="00FE010F" w:rsidRDefault="00603C5F" w:rsidP="00B53103">
      <w:pPr>
        <w:rPr>
          <w:rFonts w:asciiTheme="majorHAnsi" w:hAnsiTheme="majorHAnsi" w:cs="Arial"/>
          <w:noProof/>
        </w:rPr>
      </w:pPr>
      <w:r>
        <w:rPr>
          <w:color w:val="000000" w:themeColor="text1"/>
        </w:rPr>
        <w:t>Sexual and gender-based violence</w:t>
      </w:r>
      <w:r w:rsidR="00172923">
        <w:rPr>
          <w:color w:val="000000" w:themeColor="text1"/>
        </w:rPr>
        <w:t xml:space="preserve"> is a complex issue requiring a coordinated multi-pronged approach to address it. A strong </w:t>
      </w:r>
      <w:r w:rsidR="00567DCE">
        <w:rPr>
          <w:color w:val="000000" w:themeColor="text1"/>
        </w:rPr>
        <w:t>collaboration</w:t>
      </w:r>
      <w:r w:rsidR="00172923">
        <w:rPr>
          <w:color w:val="000000" w:themeColor="text1"/>
        </w:rPr>
        <w:t xml:space="preserve"> across services can enhance effectiveness in addressing the spectrum of violence and track change over time. </w:t>
      </w:r>
      <w:r w:rsidR="00E065F3">
        <w:rPr>
          <w:rFonts w:asciiTheme="majorHAnsi" w:hAnsiTheme="majorHAnsi" w:cs="Arial"/>
          <w:noProof/>
        </w:rPr>
        <w:t>S</w:t>
      </w:r>
      <w:r w:rsidR="00B53103">
        <w:rPr>
          <w:rFonts w:asciiTheme="majorHAnsi" w:hAnsiTheme="majorHAnsi" w:cs="Arial"/>
          <w:noProof/>
        </w:rPr>
        <w:t xml:space="preserve">ervices work with other organisations, including </w:t>
      </w:r>
      <w:r w:rsidR="007E3691">
        <w:rPr>
          <w:rFonts w:asciiTheme="majorHAnsi" w:hAnsiTheme="majorHAnsi" w:cs="Arial"/>
          <w:noProof/>
        </w:rPr>
        <w:t xml:space="preserve">legal, </w:t>
      </w:r>
      <w:r w:rsidR="00B53103">
        <w:rPr>
          <w:rFonts w:asciiTheme="majorHAnsi" w:hAnsiTheme="majorHAnsi" w:cs="Arial"/>
          <w:noProof/>
        </w:rPr>
        <w:t xml:space="preserve">health, </w:t>
      </w:r>
      <w:r w:rsidR="007E3691">
        <w:rPr>
          <w:rFonts w:asciiTheme="majorHAnsi" w:hAnsiTheme="majorHAnsi" w:cs="Arial"/>
          <w:noProof/>
        </w:rPr>
        <w:t>information services</w:t>
      </w:r>
      <w:r w:rsidR="00B53103">
        <w:rPr>
          <w:rFonts w:asciiTheme="majorHAnsi" w:hAnsiTheme="majorHAnsi" w:cs="Arial"/>
          <w:noProof/>
        </w:rPr>
        <w:t xml:space="preserve"> to provide holistic support to women and their children so they can live free of violence. While some s</w:t>
      </w:r>
      <w:r w:rsidR="00B53103" w:rsidRPr="008F6EBB">
        <w:rPr>
          <w:rFonts w:asciiTheme="majorHAnsi" w:hAnsiTheme="majorHAnsi" w:cs="Arial"/>
          <w:noProof/>
        </w:rPr>
        <w:t xml:space="preserve">ervices responding to violence also provide </w:t>
      </w:r>
      <w:r w:rsidR="00B53103">
        <w:rPr>
          <w:rFonts w:asciiTheme="majorHAnsi" w:hAnsiTheme="majorHAnsi" w:cs="Arial"/>
          <w:noProof/>
        </w:rPr>
        <w:t>support</w:t>
      </w:r>
      <w:r w:rsidR="00B53103" w:rsidRPr="008F6EBB">
        <w:rPr>
          <w:rFonts w:asciiTheme="majorHAnsi" w:hAnsiTheme="majorHAnsi" w:cs="Arial"/>
          <w:noProof/>
        </w:rPr>
        <w:t xml:space="preserve"> to men and other</w:t>
      </w:r>
      <w:r w:rsidR="00B53103">
        <w:rPr>
          <w:rFonts w:asciiTheme="majorHAnsi" w:hAnsiTheme="majorHAnsi" w:cs="Arial"/>
          <w:noProof/>
        </w:rPr>
        <w:t xml:space="preserve"> people </w:t>
      </w:r>
      <w:r w:rsidR="00B53103" w:rsidRPr="008F6EBB">
        <w:rPr>
          <w:rFonts w:asciiTheme="majorHAnsi" w:hAnsiTheme="majorHAnsi" w:cs="Arial"/>
          <w:noProof/>
        </w:rPr>
        <w:t xml:space="preserve">who are </w:t>
      </w:r>
      <w:r w:rsidR="00B53103">
        <w:rPr>
          <w:rFonts w:asciiTheme="majorHAnsi" w:hAnsiTheme="majorHAnsi" w:cs="Arial"/>
          <w:noProof/>
        </w:rPr>
        <w:t xml:space="preserve">non-gender binary, </w:t>
      </w:r>
      <w:r w:rsidR="00B53103" w:rsidRPr="008F6EBB">
        <w:rPr>
          <w:rFonts w:asciiTheme="majorHAnsi" w:hAnsiTheme="majorHAnsi" w:cs="Arial"/>
          <w:noProof/>
        </w:rPr>
        <w:t xml:space="preserve">they do so in a way that </w:t>
      </w:r>
      <w:r w:rsidR="00B53103">
        <w:rPr>
          <w:rFonts w:asciiTheme="majorHAnsi" w:hAnsiTheme="majorHAnsi" w:cs="Arial"/>
          <w:noProof/>
        </w:rPr>
        <w:t xml:space="preserve">also </w:t>
      </w:r>
      <w:r w:rsidR="00B53103" w:rsidRPr="008F6EBB">
        <w:rPr>
          <w:rFonts w:asciiTheme="majorHAnsi" w:hAnsiTheme="majorHAnsi" w:cs="Arial"/>
          <w:noProof/>
        </w:rPr>
        <w:t xml:space="preserve">recognises the gendered dynamics of violence. </w:t>
      </w:r>
      <w:r w:rsidR="009B492E">
        <w:rPr>
          <w:rFonts w:asciiTheme="majorHAnsi" w:hAnsiTheme="majorHAnsi" w:cs="Arial"/>
          <w:noProof/>
        </w:rPr>
        <w:t xml:space="preserve">These services work not only to support victims/survivors </w:t>
      </w:r>
      <w:r w:rsidR="009B492E" w:rsidRPr="00A7337A">
        <w:rPr>
          <w:rFonts w:asciiTheme="majorHAnsi" w:hAnsiTheme="majorHAnsi" w:cs="Arial"/>
          <w:noProof/>
        </w:rPr>
        <w:t>“but also to collectively transform the conditions of society that make violence possible in the first place, through primary prevention strategies, systemic advocacy, political reform and social change campaigning”</w:t>
      </w:r>
      <w:r w:rsidR="006F3A94" w:rsidRPr="006F3A94">
        <w:t xml:space="preserve"> </w:t>
      </w:r>
      <w:r w:rsidR="006F3A94" w:rsidRPr="006F3A94">
        <w:rPr>
          <w:rFonts w:asciiTheme="majorHAnsi" w:hAnsiTheme="majorHAnsi" w:cs="Arial"/>
          <w:noProof/>
        </w:rPr>
        <w:t>(Domestic Violence Victoria, 2020)</w:t>
      </w:r>
      <w:r w:rsidR="00C32776">
        <w:rPr>
          <w:rFonts w:asciiTheme="majorHAnsi" w:hAnsiTheme="majorHAnsi" w:cs="Arial"/>
          <w:noProof/>
        </w:rPr>
        <w:t>.</w:t>
      </w:r>
    </w:p>
    <w:p w:rsidR="002F6DBB" w:rsidRDefault="00FE010F" w:rsidP="002F6DBB">
      <w:pPr>
        <w:rPr>
          <w:color w:val="000000" w:themeColor="text1"/>
        </w:rPr>
      </w:pPr>
      <w:r>
        <w:rPr>
          <w:rFonts w:asciiTheme="majorHAnsi" w:hAnsiTheme="majorHAnsi" w:cs="Arial"/>
          <w:noProof/>
        </w:rPr>
        <w:t xml:space="preserve">There are a number of benefits to collborative practices </w:t>
      </w:r>
      <w:r w:rsidR="009B4596">
        <w:rPr>
          <w:rFonts w:asciiTheme="majorHAnsi" w:hAnsiTheme="majorHAnsi" w:cs="Arial"/>
          <w:noProof/>
        </w:rPr>
        <w:t xml:space="preserve">in formalising referral pathways, </w:t>
      </w:r>
      <w:r w:rsidR="009B4596">
        <w:rPr>
          <w:color w:val="000000" w:themeColor="text1"/>
        </w:rPr>
        <w:t>sharing information, and resources, and cross-training between services</w:t>
      </w:r>
      <w:r w:rsidR="00C32776">
        <w:rPr>
          <w:color w:val="000000" w:themeColor="text1"/>
        </w:rPr>
        <w:t xml:space="preserve"> (ANROWS, </w:t>
      </w:r>
      <w:r w:rsidR="00C32776" w:rsidRPr="00C32776">
        <w:rPr>
          <w:color w:val="000000" w:themeColor="text1"/>
        </w:rPr>
        <w:t>2020)</w:t>
      </w:r>
      <w:r w:rsidR="009B4596">
        <w:rPr>
          <w:color w:val="000000" w:themeColor="text1"/>
        </w:rPr>
        <w:t>. Firstly, victims/survivors are more likely to have their various needs met</w:t>
      </w:r>
      <w:r w:rsidR="007B24A6">
        <w:rPr>
          <w:color w:val="000000" w:themeColor="text1"/>
        </w:rPr>
        <w:t xml:space="preserve"> by different service providers</w:t>
      </w:r>
      <w:r w:rsidR="009B4596">
        <w:rPr>
          <w:color w:val="000000" w:themeColor="text1"/>
        </w:rPr>
        <w:t xml:space="preserve">. Secondly, the collaboration is more likely to reduce risks for secondary victimisation where victims/survivors have to retell their stories </w:t>
      </w:r>
      <w:r w:rsidR="007B24A6">
        <w:rPr>
          <w:color w:val="000000" w:themeColor="text1"/>
        </w:rPr>
        <w:t>multiple times or are faced with inappropriate service responses</w:t>
      </w:r>
      <w:r w:rsidR="009B4596">
        <w:rPr>
          <w:color w:val="000000" w:themeColor="text1"/>
        </w:rPr>
        <w:t>.</w:t>
      </w:r>
      <w:r w:rsidR="007B24A6">
        <w:rPr>
          <w:color w:val="000000" w:themeColor="text1"/>
        </w:rPr>
        <w:t xml:space="preserve"> Thirdly, </w:t>
      </w:r>
      <w:r w:rsidR="009B492E">
        <w:rPr>
          <w:color w:val="000000" w:themeColor="text1"/>
        </w:rPr>
        <w:t>collaboration can lead to improved outcome with more holistic response strategies, including safety and financial security for the victims/survivors and their children as well as perpetrator accountability and behavioural change program</w:t>
      </w:r>
      <w:r w:rsidR="00F408BE">
        <w:rPr>
          <w:color w:val="000000" w:themeColor="text1"/>
        </w:rPr>
        <w:t>s</w:t>
      </w:r>
      <w:r w:rsidR="009B492E">
        <w:rPr>
          <w:color w:val="000000" w:themeColor="text1"/>
        </w:rPr>
        <w:t xml:space="preserve">. </w:t>
      </w:r>
      <w:r w:rsidR="007B24A6">
        <w:rPr>
          <w:color w:val="000000" w:themeColor="text1"/>
        </w:rPr>
        <w:t xml:space="preserve">Fourthly, </w:t>
      </w:r>
      <w:r w:rsidR="009B492E">
        <w:rPr>
          <w:color w:val="000000" w:themeColor="text1"/>
        </w:rPr>
        <w:t xml:space="preserve">collaborative practices can be more cost-effective and reduce duplication. Collaboration can be beneficial to the service staff as they are able to share workloads and refer to colleagues with specialised skills on various issues and support one another with decision making. </w:t>
      </w:r>
      <w:r w:rsidR="00F408BE">
        <w:rPr>
          <w:color w:val="000000" w:themeColor="text1"/>
        </w:rPr>
        <w:t>It also demonstrates to the victim/survivor that multiple services are there to support them.</w:t>
      </w:r>
    </w:p>
    <w:p w:rsidR="007E3691" w:rsidRDefault="00172923" w:rsidP="00172923">
      <w:r>
        <w:t>A study conducted by ANROWS</w:t>
      </w:r>
      <w:r w:rsidR="0042789B">
        <w:t xml:space="preserve"> has </w:t>
      </w:r>
      <w:r>
        <w:t>found that for victims/survivors to heal from the trauma caused by the abuse, s</w:t>
      </w:r>
      <w:r w:rsidRPr="00BB3E92">
        <w:t xml:space="preserve">upportive counselling </w:t>
      </w:r>
      <w:r w:rsidR="008175D7">
        <w:t>is</w:t>
      </w:r>
      <w:r w:rsidR="008175D7" w:rsidRPr="00BB3E92">
        <w:t xml:space="preserve"> </w:t>
      </w:r>
      <w:r w:rsidRPr="00BB3E92">
        <w:t>essential</w:t>
      </w:r>
      <w:r>
        <w:t xml:space="preserve"> along with</w:t>
      </w:r>
      <w:r w:rsidRPr="00BB3E92">
        <w:t xml:space="preserve"> holistic </w:t>
      </w:r>
      <w:r>
        <w:t xml:space="preserve">health </w:t>
      </w:r>
      <w:r w:rsidRPr="00BB3E92">
        <w:t>services that underst</w:t>
      </w:r>
      <w:r w:rsidR="008175D7">
        <w:t>and</w:t>
      </w:r>
      <w:r w:rsidRPr="00BB3E92">
        <w:t xml:space="preserve"> their individual experiences and respond accordingly to empow</w:t>
      </w:r>
      <w:r>
        <w:t>er women</w:t>
      </w:r>
      <w:r w:rsidR="00C32776" w:rsidRPr="00C32776">
        <w:t xml:space="preserve"> </w:t>
      </w:r>
      <w:r w:rsidR="00C32776">
        <w:t xml:space="preserve">(ANROWS, </w:t>
      </w:r>
      <w:r w:rsidR="00C32776" w:rsidRPr="00C32776">
        <w:t>2017</w:t>
      </w:r>
      <w:r w:rsidR="00F2361D">
        <w:t>A</w:t>
      </w:r>
      <w:r w:rsidR="00370352">
        <w:t>)</w:t>
      </w:r>
      <w:r>
        <w:t xml:space="preserve">. </w:t>
      </w:r>
      <w:r w:rsidRPr="00BB3E92">
        <w:t xml:space="preserve">The healing process </w:t>
      </w:r>
      <w:r w:rsidR="008175D7">
        <w:t>i</w:t>
      </w:r>
      <w:r w:rsidR="008175D7" w:rsidRPr="00BB3E92">
        <w:t xml:space="preserve">s </w:t>
      </w:r>
      <w:r w:rsidRPr="00BB3E92">
        <w:t xml:space="preserve">supported by being connected to services and services that </w:t>
      </w:r>
      <w:r w:rsidR="007F4F88">
        <w:t>are</w:t>
      </w:r>
      <w:r w:rsidR="007F4F88" w:rsidRPr="00BB3E92">
        <w:t xml:space="preserve"> </w:t>
      </w:r>
      <w:r w:rsidRPr="00BB3E92">
        <w:t xml:space="preserve">connected with each other. </w:t>
      </w:r>
      <w:r>
        <w:t xml:space="preserve">Victims/survivors interviewed in the same study also pointed out that </w:t>
      </w:r>
      <w:r w:rsidRPr="00BB3E92">
        <w:t xml:space="preserve">services </w:t>
      </w:r>
      <w:r>
        <w:t xml:space="preserve">need to be holistic in </w:t>
      </w:r>
      <w:r w:rsidR="00966071">
        <w:t xml:space="preserve">supporting women with </w:t>
      </w:r>
      <w:r w:rsidRPr="00BB3E92">
        <w:t xml:space="preserve">multiple compounding </w:t>
      </w:r>
      <w:r w:rsidR="00966071">
        <w:t>concerns</w:t>
      </w:r>
      <w:r w:rsidRPr="00BB3E92">
        <w:t xml:space="preserve">, such as family violence, alcohol and drug </w:t>
      </w:r>
      <w:r>
        <w:t>abuse</w:t>
      </w:r>
      <w:r w:rsidRPr="00BB3E92">
        <w:t>,</w:t>
      </w:r>
      <w:r w:rsidR="00F408BE">
        <w:t xml:space="preserve"> having a disability,</w:t>
      </w:r>
      <w:r w:rsidRPr="00BB3E92">
        <w:t xml:space="preserve"> and being from Aboriginal and Torres Strait Islander</w:t>
      </w:r>
      <w:r w:rsidR="00F408BE">
        <w:t xml:space="preserve"> background</w:t>
      </w:r>
      <w:r w:rsidRPr="00BB3E92">
        <w:t xml:space="preserve"> or </w:t>
      </w:r>
      <w:r w:rsidR="00760657">
        <w:t>women from migrant and refugee backgrounds</w:t>
      </w:r>
      <w:r w:rsidRPr="00BB3E92">
        <w:t xml:space="preserve">. Women emphasised the importance of being able to easily access appropriate ongoing trauma-informed services that share information, provide referrals, and support women in accessing help for their complex issues at all times, not only during crises. </w:t>
      </w:r>
    </w:p>
    <w:p w:rsidR="00FE010F" w:rsidRPr="006B442A" w:rsidRDefault="00D939DA" w:rsidP="00172923">
      <w:pPr>
        <w:rPr>
          <w:color w:val="000000" w:themeColor="text1"/>
        </w:rPr>
      </w:pPr>
      <w:r>
        <w:rPr>
          <w:color w:val="000000" w:themeColor="text1"/>
        </w:rPr>
        <w:t>Underpinned by the</w:t>
      </w:r>
      <w:r w:rsidR="00172923">
        <w:rPr>
          <w:color w:val="000000" w:themeColor="text1"/>
        </w:rPr>
        <w:t xml:space="preserve"> victim</w:t>
      </w:r>
      <w:r>
        <w:rPr>
          <w:color w:val="000000" w:themeColor="text1"/>
        </w:rPr>
        <w:t xml:space="preserve">/survivor-centred approach, the </w:t>
      </w:r>
      <w:r w:rsidR="00966071">
        <w:rPr>
          <w:color w:val="000000" w:themeColor="text1"/>
        </w:rPr>
        <w:t xml:space="preserve">multisectoral </w:t>
      </w:r>
      <w:r w:rsidR="009B492E">
        <w:rPr>
          <w:color w:val="000000" w:themeColor="text1"/>
        </w:rPr>
        <w:t>collaboration</w:t>
      </w:r>
      <w:r w:rsidR="009B492E" w:rsidRPr="00732653">
        <w:rPr>
          <w:color w:val="000000" w:themeColor="text1"/>
        </w:rPr>
        <w:t xml:space="preserve"> </w:t>
      </w:r>
      <w:r w:rsidR="00172923" w:rsidRPr="00732653">
        <w:rPr>
          <w:color w:val="000000" w:themeColor="text1"/>
        </w:rPr>
        <w:t>between</w:t>
      </w:r>
      <w:r w:rsidR="00172923">
        <w:rPr>
          <w:color w:val="000000" w:themeColor="text1"/>
        </w:rPr>
        <w:t xml:space="preserve"> essential service</w:t>
      </w:r>
      <w:r>
        <w:rPr>
          <w:color w:val="000000" w:themeColor="text1"/>
        </w:rPr>
        <w:t xml:space="preserve">s, including </w:t>
      </w:r>
      <w:r w:rsidR="00172923" w:rsidRPr="00732653">
        <w:rPr>
          <w:color w:val="000000" w:themeColor="text1"/>
        </w:rPr>
        <w:t xml:space="preserve">health, welfare, justice, </w:t>
      </w:r>
      <w:r w:rsidR="00770C56">
        <w:rPr>
          <w:color w:val="000000" w:themeColor="text1"/>
        </w:rPr>
        <w:t xml:space="preserve">migration, </w:t>
      </w:r>
      <w:r w:rsidR="00172923" w:rsidRPr="00732653">
        <w:rPr>
          <w:color w:val="000000" w:themeColor="text1"/>
        </w:rPr>
        <w:t xml:space="preserve">police and </w:t>
      </w:r>
      <w:r w:rsidR="00172923">
        <w:rPr>
          <w:color w:val="000000" w:themeColor="text1"/>
        </w:rPr>
        <w:t>disaster responses</w:t>
      </w:r>
      <w:r>
        <w:rPr>
          <w:color w:val="000000" w:themeColor="text1"/>
        </w:rPr>
        <w:t xml:space="preserve"> serves to </w:t>
      </w:r>
      <w:r w:rsidR="00172923" w:rsidRPr="00732653">
        <w:rPr>
          <w:color w:val="000000" w:themeColor="text1"/>
        </w:rPr>
        <w:t xml:space="preserve">minimise </w:t>
      </w:r>
      <w:r w:rsidR="00172923">
        <w:rPr>
          <w:color w:val="000000" w:themeColor="text1"/>
        </w:rPr>
        <w:t xml:space="preserve">the </w:t>
      </w:r>
      <w:r w:rsidR="00172923" w:rsidRPr="00732653">
        <w:rPr>
          <w:color w:val="000000" w:themeColor="text1"/>
        </w:rPr>
        <w:t>number of visits and</w:t>
      </w:r>
      <w:r w:rsidR="00172923">
        <w:rPr>
          <w:color w:val="000000" w:themeColor="text1"/>
        </w:rPr>
        <w:t xml:space="preserve"> to</w:t>
      </w:r>
      <w:r w:rsidR="00172923" w:rsidRPr="00732653">
        <w:rPr>
          <w:color w:val="000000" w:themeColor="text1"/>
        </w:rPr>
        <w:t xml:space="preserve"> streamline referral pathway</w:t>
      </w:r>
      <w:r w:rsidR="00F408BE">
        <w:rPr>
          <w:color w:val="000000" w:themeColor="text1"/>
        </w:rPr>
        <w:t>s</w:t>
      </w:r>
      <w:r w:rsidR="00172923" w:rsidRPr="00732653">
        <w:rPr>
          <w:color w:val="000000" w:themeColor="text1"/>
        </w:rPr>
        <w:t xml:space="preserve"> for victims/survivors of violence</w:t>
      </w:r>
      <w:r w:rsidR="00172923">
        <w:rPr>
          <w:color w:val="000000" w:themeColor="text1"/>
        </w:rPr>
        <w:t xml:space="preserve">. </w:t>
      </w:r>
      <w:r w:rsidR="00172923">
        <w:rPr>
          <w:lang w:val="en-US"/>
        </w:rPr>
        <w:t>A consistency in standards of practice and a</w:t>
      </w:r>
      <w:r w:rsidR="00172923" w:rsidRPr="00247116">
        <w:rPr>
          <w:lang w:val="en-US"/>
        </w:rPr>
        <w:t xml:space="preserve">n intersectional lens needs to be mainstreamed throughout </w:t>
      </w:r>
      <w:r w:rsidR="00172923">
        <w:rPr>
          <w:lang w:val="en-US"/>
        </w:rPr>
        <w:t>all services driving on the best practice principles and standards developed by specialist women’s services</w:t>
      </w:r>
      <w:r w:rsidR="00C32776" w:rsidRPr="00C32776">
        <w:t xml:space="preserve"> </w:t>
      </w:r>
      <w:r w:rsidR="00C32776">
        <w:t>(</w:t>
      </w:r>
      <w:r w:rsidR="00C32776">
        <w:rPr>
          <w:lang w:val="en-US"/>
        </w:rPr>
        <w:t xml:space="preserve">AWAVA, </w:t>
      </w:r>
      <w:r w:rsidR="00C32776" w:rsidRPr="00C32776">
        <w:rPr>
          <w:lang w:val="en-US"/>
        </w:rPr>
        <w:t>2016)</w:t>
      </w:r>
      <w:r w:rsidR="00172923" w:rsidRPr="00247116">
        <w:rPr>
          <w:lang w:val="en-US"/>
        </w:rPr>
        <w:t>.</w:t>
      </w:r>
    </w:p>
    <w:p w:rsidR="004921B6" w:rsidRPr="00507120" w:rsidRDefault="00FE010F" w:rsidP="004921B6">
      <w:r w:rsidRPr="00507120">
        <w:t xml:space="preserve">Disaster planning needs </w:t>
      </w:r>
      <w:r>
        <w:t>to include</w:t>
      </w:r>
      <w:r w:rsidRPr="00507120">
        <w:t xml:space="preserve"> </w:t>
      </w:r>
      <w:r>
        <w:t>and coordinate with specialist women’s services to ensure appropriate responses for victims/survivors</w:t>
      </w:r>
      <w:r w:rsidRPr="00507120">
        <w:t>. Further, support service workers responding to disasters</w:t>
      </w:r>
      <w:r>
        <w:t xml:space="preserve"> </w:t>
      </w:r>
      <w:r w:rsidRPr="00507120">
        <w:t>must be training to recognise and respond to</w:t>
      </w:r>
      <w:r>
        <w:t xml:space="preserve"> sexual and gender-based violence</w:t>
      </w:r>
      <w:r w:rsidRPr="00507120">
        <w:t>. Previous</w:t>
      </w:r>
      <w:r>
        <w:t xml:space="preserve"> </w:t>
      </w:r>
      <w:r w:rsidRPr="00507120">
        <w:t>experience shows that involving domestic and family violence</w:t>
      </w:r>
      <w:r w:rsidR="00F408BE">
        <w:t xml:space="preserve"> services</w:t>
      </w:r>
      <w:r>
        <w:t>,</w:t>
      </w:r>
      <w:r w:rsidRPr="006D6EC1">
        <w:t xml:space="preserve"> </w:t>
      </w:r>
      <w:r>
        <w:t xml:space="preserve">sexual assault services, </w:t>
      </w:r>
      <w:r w:rsidRPr="00507120">
        <w:t xml:space="preserve">and women’s health </w:t>
      </w:r>
      <w:r w:rsidR="00DD22DD">
        <w:t xml:space="preserve">services </w:t>
      </w:r>
      <w:r w:rsidRPr="00507120">
        <w:t>from the beginning is crucial for gender-sensi</w:t>
      </w:r>
      <w:r>
        <w:t>tive approaches to recovery.</w:t>
      </w:r>
      <w:r w:rsidRPr="00507120">
        <w:t xml:space="preserve"> </w:t>
      </w:r>
    </w:p>
    <w:p w:rsidR="00FE010F" w:rsidRDefault="00FE010F" w:rsidP="00B53103">
      <w:pPr>
        <w:rPr>
          <w:rFonts w:asciiTheme="majorHAnsi" w:hAnsiTheme="majorHAnsi" w:cs="Arial"/>
          <w:noProof/>
        </w:rPr>
      </w:pPr>
    </w:p>
    <w:tbl>
      <w:tblPr>
        <w:tblStyle w:val="TableGrid"/>
        <w:tblW w:w="0" w:type="auto"/>
        <w:tblLook w:val="04A0" w:firstRow="1" w:lastRow="0" w:firstColumn="1" w:lastColumn="0" w:noHBand="0" w:noVBand="1"/>
      </w:tblPr>
      <w:tblGrid>
        <w:gridCol w:w="9016"/>
      </w:tblGrid>
      <w:tr w:rsidR="00E36C86" w:rsidRPr="00425765" w:rsidTr="00835907">
        <w:tc>
          <w:tcPr>
            <w:tcW w:w="9016" w:type="dxa"/>
          </w:tcPr>
          <w:p w:rsidR="00E36C86" w:rsidRPr="00FE2C84" w:rsidRDefault="00FE010F" w:rsidP="00835907">
            <w:pPr>
              <w:rPr>
                <w:rFonts w:asciiTheme="majorHAnsi" w:hAnsiTheme="majorHAnsi" w:cstheme="majorHAnsi"/>
                <w:b/>
              </w:rPr>
            </w:pPr>
            <w:r w:rsidRPr="00FE2C84">
              <w:rPr>
                <w:rFonts w:asciiTheme="majorHAnsi" w:hAnsiTheme="majorHAnsi" w:cstheme="majorHAnsi"/>
                <w:b/>
              </w:rPr>
              <w:t xml:space="preserve">Practice guiding </w:t>
            </w:r>
            <w:r w:rsidR="0042789B">
              <w:rPr>
                <w:rFonts w:asciiTheme="majorHAnsi" w:hAnsiTheme="majorHAnsi" w:cstheme="majorHAnsi"/>
                <w:b/>
              </w:rPr>
              <w:t xml:space="preserve">considerations: </w:t>
            </w:r>
          </w:p>
          <w:p w:rsidR="004E68DE" w:rsidRDefault="004E68DE" w:rsidP="004E68DE">
            <w:r>
              <w:lastRenderedPageBreak/>
              <w:t xml:space="preserve">To assess whether your service is operating through </w:t>
            </w:r>
            <w:r w:rsidR="00213BEC">
              <w:t>i</w:t>
            </w:r>
            <w:r w:rsidR="00213BEC" w:rsidRPr="00213BEC">
              <w:t>nteragency collaboration</w:t>
            </w:r>
            <w:r>
              <w:t>, would you agree with the following statements being applie</w:t>
            </w:r>
            <w:r w:rsidR="00F408BE">
              <w:t>d</w:t>
            </w:r>
            <w:r>
              <w:t xml:space="preserve"> in your organisation?</w:t>
            </w:r>
          </w:p>
          <w:p w:rsidR="00F17454" w:rsidRPr="00FE2C84" w:rsidRDefault="00425765" w:rsidP="00425765">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lang w:val="en-AU" w:eastAsia="en-AU"/>
              </w:rPr>
              <w:t xml:space="preserve">There is a </w:t>
            </w:r>
            <w:r w:rsidR="00F17454" w:rsidRPr="00FE2C84">
              <w:rPr>
                <w:rFonts w:asciiTheme="majorHAnsi" w:hAnsiTheme="majorHAnsi" w:cstheme="majorHAnsi"/>
                <w:lang w:val="en-AU" w:eastAsia="en-AU"/>
              </w:rPr>
              <w:t>framework for multi-sectoral collaboration</w:t>
            </w:r>
            <w:r w:rsidR="00EA744E">
              <w:rPr>
                <w:rFonts w:asciiTheme="majorHAnsi" w:hAnsiTheme="majorHAnsi" w:cstheme="majorHAnsi"/>
                <w:lang w:val="en-AU" w:eastAsia="en-AU"/>
              </w:rPr>
              <w:t xml:space="preserve">, including a framework for disaster response </w:t>
            </w:r>
            <w:r>
              <w:rPr>
                <w:rFonts w:asciiTheme="majorHAnsi" w:hAnsiTheme="majorHAnsi" w:cstheme="majorHAnsi"/>
                <w:lang w:val="en-AU" w:eastAsia="en-AU"/>
              </w:rPr>
              <w:t>and a</w:t>
            </w:r>
            <w:r w:rsidR="00F17454" w:rsidRPr="00FE2C84">
              <w:rPr>
                <w:rFonts w:asciiTheme="majorHAnsi" w:hAnsiTheme="majorHAnsi" w:cstheme="majorHAnsi"/>
                <w:lang w:val="en-AU" w:eastAsia="en-AU"/>
              </w:rPr>
              <w:t xml:space="preserve"> </w:t>
            </w:r>
            <w:r w:rsidR="00F408BE">
              <w:rPr>
                <w:rFonts w:asciiTheme="majorHAnsi" w:hAnsiTheme="majorHAnsi" w:cstheme="majorHAnsi"/>
                <w:lang w:val="en-AU" w:eastAsia="en-AU"/>
              </w:rPr>
              <w:t>process</w:t>
            </w:r>
            <w:r w:rsidR="00F17454" w:rsidRPr="00FE2C84">
              <w:rPr>
                <w:rFonts w:asciiTheme="majorHAnsi" w:hAnsiTheme="majorHAnsi" w:cstheme="majorHAnsi"/>
                <w:lang w:val="en-AU" w:eastAsia="en-AU"/>
              </w:rPr>
              <w:t xml:space="preserve"> to monitor progress</w:t>
            </w:r>
            <w:r>
              <w:rPr>
                <w:rFonts w:asciiTheme="majorHAnsi" w:hAnsiTheme="majorHAnsi" w:cstheme="majorHAnsi"/>
                <w:lang w:val="en-AU" w:eastAsia="en-AU"/>
              </w:rPr>
              <w:t>.</w:t>
            </w:r>
          </w:p>
          <w:p w:rsidR="00F17454" w:rsidRPr="00FE2C84" w:rsidRDefault="00425765" w:rsidP="00425765">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rPr>
              <w:t xml:space="preserve">There is a </w:t>
            </w:r>
            <w:r w:rsidR="00F17454" w:rsidRPr="00FE2C84">
              <w:rPr>
                <w:rFonts w:asciiTheme="majorHAnsi" w:hAnsiTheme="majorHAnsi" w:cstheme="majorHAnsi"/>
                <w:lang w:val="en-AU" w:eastAsia="en-AU"/>
              </w:rPr>
              <w:t xml:space="preserve">common understanding among all providers of the </w:t>
            </w:r>
            <w:r>
              <w:rPr>
                <w:rFonts w:asciiTheme="majorHAnsi" w:hAnsiTheme="majorHAnsi" w:cstheme="majorHAnsi"/>
                <w:lang w:val="en-AU" w:eastAsia="en-AU"/>
              </w:rPr>
              <w:t xml:space="preserve">gendered </w:t>
            </w:r>
            <w:r w:rsidR="00F17454" w:rsidRPr="00FE2C84">
              <w:rPr>
                <w:rFonts w:asciiTheme="majorHAnsi" w:hAnsiTheme="majorHAnsi" w:cstheme="majorHAnsi"/>
                <w:lang w:val="en-AU" w:eastAsia="en-AU"/>
              </w:rPr>
              <w:t>causes</w:t>
            </w:r>
            <w:r>
              <w:rPr>
                <w:rFonts w:asciiTheme="majorHAnsi" w:hAnsiTheme="majorHAnsi" w:cstheme="majorHAnsi"/>
                <w:lang w:val="en-AU" w:eastAsia="en-AU"/>
              </w:rPr>
              <w:t xml:space="preserve"> </w:t>
            </w:r>
            <w:r w:rsidR="00F17454" w:rsidRPr="00FE2C84">
              <w:rPr>
                <w:rFonts w:asciiTheme="majorHAnsi" w:hAnsiTheme="majorHAnsi" w:cstheme="majorHAnsi"/>
                <w:lang w:val="en-AU" w:eastAsia="en-AU"/>
              </w:rPr>
              <w:t xml:space="preserve">and consequences of </w:t>
            </w:r>
            <w:r w:rsidRPr="00FE2C84">
              <w:rPr>
                <w:rFonts w:asciiTheme="majorHAnsi" w:hAnsiTheme="majorHAnsi" w:cstheme="majorHAnsi"/>
                <w:lang w:val="en-AU" w:eastAsia="en-AU"/>
              </w:rPr>
              <w:t>sexual and gender-based violence and an agreement that  institutions and not victims/survivors are responsible for addressing violence.</w:t>
            </w:r>
          </w:p>
          <w:p w:rsidR="00F17454" w:rsidRPr="00FE2C84" w:rsidRDefault="00425765" w:rsidP="00F17454">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lang w:val="en-AU" w:eastAsia="en-AU"/>
              </w:rPr>
              <w:t>There is a set of a</w:t>
            </w:r>
            <w:r w:rsidR="00F17454" w:rsidRPr="00FE2C84">
              <w:rPr>
                <w:rFonts w:asciiTheme="majorHAnsi" w:hAnsiTheme="majorHAnsi" w:cstheme="majorHAnsi"/>
                <w:lang w:val="en-AU" w:eastAsia="en-AU"/>
              </w:rPr>
              <w:t>gree</w:t>
            </w:r>
            <w:r>
              <w:rPr>
                <w:rFonts w:asciiTheme="majorHAnsi" w:hAnsiTheme="majorHAnsi" w:cstheme="majorHAnsi"/>
                <w:lang w:val="en-AU" w:eastAsia="en-AU"/>
              </w:rPr>
              <w:t>d</w:t>
            </w:r>
            <w:r w:rsidR="00F17454" w:rsidRPr="00FE2C84">
              <w:rPr>
                <w:rFonts w:asciiTheme="majorHAnsi" w:hAnsiTheme="majorHAnsi" w:cstheme="majorHAnsi"/>
                <w:lang w:val="en-AU" w:eastAsia="en-AU"/>
              </w:rPr>
              <w:t xml:space="preserve"> common terminology </w:t>
            </w:r>
            <w:r w:rsidR="00903132">
              <w:rPr>
                <w:rFonts w:asciiTheme="majorHAnsi" w:hAnsiTheme="majorHAnsi" w:cstheme="majorHAnsi"/>
                <w:lang w:val="en-AU" w:eastAsia="en-AU"/>
              </w:rPr>
              <w:t xml:space="preserve">and procedure </w:t>
            </w:r>
            <w:r w:rsidR="00F17454" w:rsidRPr="00FE2C84">
              <w:rPr>
                <w:rFonts w:asciiTheme="majorHAnsi" w:hAnsiTheme="majorHAnsi" w:cstheme="majorHAnsi"/>
                <w:lang w:val="en-AU" w:eastAsia="en-AU"/>
              </w:rPr>
              <w:t xml:space="preserve">for </w:t>
            </w:r>
            <w:r w:rsidR="00903132">
              <w:rPr>
                <w:rFonts w:asciiTheme="majorHAnsi" w:hAnsiTheme="majorHAnsi" w:cstheme="majorHAnsi"/>
                <w:lang w:val="en-AU" w:eastAsia="en-AU"/>
              </w:rPr>
              <w:t xml:space="preserve">risk assessment, </w:t>
            </w:r>
            <w:r w:rsidR="00F17454" w:rsidRPr="00FE2C84">
              <w:rPr>
                <w:rFonts w:asciiTheme="majorHAnsi" w:hAnsiTheme="majorHAnsi" w:cstheme="majorHAnsi"/>
                <w:lang w:val="en-AU" w:eastAsia="en-AU"/>
              </w:rPr>
              <w:t>recording and reporting</w:t>
            </w:r>
            <w:r w:rsidR="00DD1B0B">
              <w:rPr>
                <w:rFonts w:asciiTheme="majorHAnsi" w:hAnsiTheme="majorHAnsi" w:cstheme="majorHAnsi"/>
                <w:lang w:val="en-AU" w:eastAsia="en-AU"/>
              </w:rPr>
              <w:t xml:space="preserve"> between the agencies</w:t>
            </w:r>
            <w:r w:rsidR="00F17454" w:rsidRPr="00FE2C84">
              <w:rPr>
                <w:rFonts w:asciiTheme="majorHAnsi" w:hAnsiTheme="majorHAnsi" w:cstheme="majorHAnsi"/>
                <w:lang w:val="en-AU" w:eastAsia="en-AU"/>
              </w:rPr>
              <w:t>.</w:t>
            </w:r>
          </w:p>
          <w:p w:rsidR="00425765" w:rsidRDefault="00F17454" w:rsidP="00425765">
            <w:pPr>
              <w:pStyle w:val="ListParagraph"/>
              <w:numPr>
                <w:ilvl w:val="0"/>
                <w:numId w:val="15"/>
              </w:numPr>
              <w:spacing w:before="0" w:after="0"/>
              <w:jc w:val="left"/>
              <w:rPr>
                <w:rFonts w:asciiTheme="majorHAnsi" w:hAnsiTheme="majorHAnsi" w:cstheme="majorHAnsi"/>
                <w:lang w:val="en-AU" w:eastAsia="en-AU"/>
              </w:rPr>
            </w:pPr>
            <w:r w:rsidRPr="00FE2C84">
              <w:rPr>
                <w:rFonts w:asciiTheme="majorHAnsi" w:hAnsiTheme="majorHAnsi" w:cstheme="majorHAnsi"/>
                <w:lang w:val="en-AU" w:eastAsia="en-AU"/>
              </w:rPr>
              <w:t>Shared p</w:t>
            </w:r>
            <w:r w:rsidR="00425765" w:rsidRPr="00425765">
              <w:rPr>
                <w:rFonts w:asciiTheme="majorHAnsi" w:hAnsiTheme="majorHAnsi" w:cstheme="majorHAnsi"/>
                <w:lang w:val="en-AU" w:eastAsia="en-AU"/>
              </w:rPr>
              <w:t xml:space="preserve">olicies and protocols </w:t>
            </w:r>
            <w:r w:rsidR="00DD1B0B">
              <w:rPr>
                <w:rFonts w:asciiTheme="majorHAnsi" w:hAnsiTheme="majorHAnsi" w:cstheme="majorHAnsi"/>
                <w:lang w:val="en-AU" w:eastAsia="en-AU"/>
              </w:rPr>
              <w:t xml:space="preserve">have been </w:t>
            </w:r>
            <w:r w:rsidR="00425765" w:rsidRPr="00425765">
              <w:rPr>
                <w:rFonts w:asciiTheme="majorHAnsi" w:hAnsiTheme="majorHAnsi" w:cstheme="majorHAnsi"/>
                <w:lang w:val="en-AU" w:eastAsia="en-AU"/>
              </w:rPr>
              <w:t>developed</w:t>
            </w:r>
            <w:r w:rsidR="00425765">
              <w:rPr>
                <w:rFonts w:asciiTheme="majorHAnsi" w:hAnsiTheme="majorHAnsi" w:cstheme="majorHAnsi"/>
                <w:lang w:val="en-AU" w:eastAsia="en-AU"/>
              </w:rPr>
              <w:t xml:space="preserve"> for referral pathways and files sharing</w:t>
            </w:r>
            <w:r w:rsidRPr="00FE2C84">
              <w:rPr>
                <w:rFonts w:asciiTheme="majorHAnsi" w:hAnsiTheme="majorHAnsi" w:cstheme="majorHAnsi"/>
                <w:lang w:val="en-AU" w:eastAsia="en-AU"/>
              </w:rPr>
              <w:t>.</w:t>
            </w:r>
          </w:p>
          <w:p w:rsidR="00F17454" w:rsidRDefault="00F17454" w:rsidP="00425765">
            <w:pPr>
              <w:pStyle w:val="ListParagraph"/>
              <w:numPr>
                <w:ilvl w:val="0"/>
                <w:numId w:val="15"/>
              </w:numPr>
              <w:spacing w:before="0" w:after="0"/>
              <w:jc w:val="left"/>
              <w:rPr>
                <w:rFonts w:asciiTheme="majorHAnsi" w:hAnsiTheme="majorHAnsi" w:cstheme="majorHAnsi"/>
                <w:lang w:val="en-AU" w:eastAsia="en-AU"/>
              </w:rPr>
            </w:pPr>
            <w:r w:rsidRPr="00FE2C84">
              <w:rPr>
                <w:rFonts w:asciiTheme="majorHAnsi" w:hAnsiTheme="majorHAnsi" w:cstheme="majorHAnsi"/>
                <w:lang w:val="en-AU" w:eastAsia="en-AU"/>
              </w:rPr>
              <w:t xml:space="preserve">Roles and responsibilities of </w:t>
            </w:r>
            <w:r w:rsidR="00DD1B0B">
              <w:rPr>
                <w:rFonts w:asciiTheme="majorHAnsi" w:hAnsiTheme="majorHAnsi" w:cstheme="majorHAnsi"/>
                <w:lang w:val="en-AU" w:eastAsia="en-AU"/>
              </w:rPr>
              <w:t xml:space="preserve">each </w:t>
            </w:r>
            <w:r w:rsidRPr="00FE2C84">
              <w:rPr>
                <w:rFonts w:asciiTheme="majorHAnsi" w:hAnsiTheme="majorHAnsi" w:cstheme="majorHAnsi"/>
                <w:lang w:val="en-AU" w:eastAsia="en-AU"/>
              </w:rPr>
              <w:t>agenc</w:t>
            </w:r>
            <w:r w:rsidR="00DD1B0B">
              <w:rPr>
                <w:rFonts w:asciiTheme="majorHAnsi" w:hAnsiTheme="majorHAnsi" w:cstheme="majorHAnsi"/>
                <w:lang w:val="en-AU" w:eastAsia="en-AU"/>
              </w:rPr>
              <w:t>y</w:t>
            </w:r>
            <w:r w:rsidRPr="00FE2C84">
              <w:rPr>
                <w:rFonts w:asciiTheme="majorHAnsi" w:hAnsiTheme="majorHAnsi" w:cstheme="majorHAnsi"/>
                <w:lang w:val="en-AU" w:eastAsia="en-AU"/>
              </w:rPr>
              <w:t xml:space="preserve"> and persons involved </w:t>
            </w:r>
            <w:r w:rsidR="00425765">
              <w:rPr>
                <w:rFonts w:asciiTheme="majorHAnsi" w:hAnsiTheme="majorHAnsi" w:cstheme="majorHAnsi"/>
                <w:lang w:val="en-AU" w:eastAsia="en-AU"/>
              </w:rPr>
              <w:t>are clearly defined</w:t>
            </w:r>
            <w:r w:rsidRPr="00FE2C84">
              <w:rPr>
                <w:rFonts w:asciiTheme="majorHAnsi" w:hAnsiTheme="majorHAnsi" w:cstheme="majorHAnsi"/>
                <w:lang w:val="en-AU" w:eastAsia="en-AU"/>
              </w:rPr>
              <w:t>.</w:t>
            </w:r>
          </w:p>
          <w:p w:rsidR="00C37BBC" w:rsidRDefault="00903132" w:rsidP="00C37BBC">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lang w:val="en-AU" w:eastAsia="en-AU"/>
              </w:rPr>
              <w:t xml:space="preserve">There are </w:t>
            </w:r>
            <w:r w:rsidR="0042789B">
              <w:rPr>
                <w:rFonts w:asciiTheme="majorHAnsi" w:hAnsiTheme="majorHAnsi" w:cstheme="majorHAnsi"/>
                <w:lang w:val="en-AU" w:eastAsia="en-AU"/>
              </w:rPr>
              <w:t>opportunities</w:t>
            </w:r>
            <w:r>
              <w:rPr>
                <w:rFonts w:asciiTheme="majorHAnsi" w:hAnsiTheme="majorHAnsi" w:cstheme="majorHAnsi"/>
                <w:lang w:val="en-AU" w:eastAsia="en-AU"/>
              </w:rPr>
              <w:t xml:space="preserve"> for information and resource sharing, including c</w:t>
            </w:r>
            <w:r w:rsidR="00C37BBC">
              <w:rPr>
                <w:rFonts w:asciiTheme="majorHAnsi" w:hAnsiTheme="majorHAnsi" w:cstheme="majorHAnsi"/>
                <w:lang w:val="en-AU" w:eastAsia="en-AU"/>
              </w:rPr>
              <w:t>ross</w:t>
            </w:r>
            <w:r>
              <w:rPr>
                <w:rFonts w:asciiTheme="majorHAnsi" w:hAnsiTheme="majorHAnsi" w:cstheme="majorHAnsi"/>
                <w:lang w:val="en-AU" w:eastAsia="en-AU"/>
              </w:rPr>
              <w:t>-</w:t>
            </w:r>
            <w:r w:rsidR="00DD22DD">
              <w:rPr>
                <w:rFonts w:asciiTheme="majorHAnsi" w:hAnsiTheme="majorHAnsi" w:cstheme="majorHAnsi"/>
                <w:lang w:val="en-AU" w:eastAsia="en-AU"/>
              </w:rPr>
              <w:t xml:space="preserve">sector capacity building or peer support </w:t>
            </w:r>
            <w:r>
              <w:rPr>
                <w:rFonts w:asciiTheme="majorHAnsi" w:hAnsiTheme="majorHAnsi" w:cstheme="majorHAnsi"/>
                <w:lang w:val="en-AU" w:eastAsia="en-AU"/>
              </w:rPr>
              <w:t>between services.</w:t>
            </w:r>
          </w:p>
          <w:p w:rsidR="00C37BBC" w:rsidRDefault="00903132" w:rsidP="00C37BBC">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lang w:val="en-AU" w:eastAsia="en-AU"/>
              </w:rPr>
              <w:t>Formal c</w:t>
            </w:r>
            <w:r w:rsidR="00C37BBC">
              <w:rPr>
                <w:rFonts w:asciiTheme="majorHAnsi" w:hAnsiTheme="majorHAnsi" w:cstheme="majorHAnsi"/>
                <w:lang w:val="en-AU" w:eastAsia="en-AU"/>
              </w:rPr>
              <w:t>onsent</w:t>
            </w:r>
            <w:r>
              <w:rPr>
                <w:rFonts w:asciiTheme="majorHAnsi" w:hAnsiTheme="majorHAnsi" w:cstheme="majorHAnsi"/>
                <w:lang w:val="en-AU" w:eastAsia="en-AU"/>
              </w:rPr>
              <w:t xml:space="preserve"> </w:t>
            </w:r>
            <w:r w:rsidR="00DD1B0B">
              <w:rPr>
                <w:rFonts w:asciiTheme="majorHAnsi" w:hAnsiTheme="majorHAnsi" w:cstheme="majorHAnsi"/>
                <w:lang w:val="en-AU" w:eastAsia="en-AU"/>
              </w:rPr>
              <w:t xml:space="preserve">is </w:t>
            </w:r>
            <w:r>
              <w:rPr>
                <w:rFonts w:asciiTheme="majorHAnsi" w:hAnsiTheme="majorHAnsi" w:cstheme="majorHAnsi"/>
                <w:lang w:val="en-AU" w:eastAsia="en-AU"/>
              </w:rPr>
              <w:t>sought</w:t>
            </w:r>
            <w:r w:rsidR="00C37BBC">
              <w:rPr>
                <w:rFonts w:asciiTheme="majorHAnsi" w:hAnsiTheme="majorHAnsi" w:cstheme="majorHAnsi"/>
                <w:lang w:val="en-AU" w:eastAsia="en-AU"/>
              </w:rPr>
              <w:t xml:space="preserve"> from victims/survivors about sharing of information and files between </w:t>
            </w:r>
            <w:r w:rsidR="00676E0C">
              <w:rPr>
                <w:rFonts w:asciiTheme="majorHAnsi" w:hAnsiTheme="majorHAnsi" w:cstheme="majorHAnsi"/>
                <w:lang w:val="en-AU" w:eastAsia="en-AU"/>
              </w:rPr>
              <w:t>services</w:t>
            </w:r>
            <w:r w:rsidR="00902C4E">
              <w:rPr>
                <w:rFonts w:asciiTheme="majorHAnsi" w:hAnsiTheme="majorHAnsi" w:cstheme="majorHAnsi"/>
                <w:lang w:val="en-AU" w:eastAsia="en-AU"/>
              </w:rPr>
              <w:t xml:space="preserve"> unless legislation provides this through prescribed agencies.</w:t>
            </w:r>
            <w:r>
              <w:rPr>
                <w:rFonts w:asciiTheme="majorHAnsi" w:hAnsiTheme="majorHAnsi" w:cstheme="majorHAnsi"/>
                <w:lang w:val="en-AU" w:eastAsia="en-AU"/>
              </w:rPr>
              <w:t>.</w:t>
            </w:r>
          </w:p>
          <w:p w:rsidR="004E68DE" w:rsidRDefault="00DD1B0B" w:rsidP="00C37BBC">
            <w:pPr>
              <w:pStyle w:val="ListParagraph"/>
              <w:numPr>
                <w:ilvl w:val="0"/>
                <w:numId w:val="15"/>
              </w:numPr>
              <w:spacing w:before="0" w:after="0"/>
              <w:jc w:val="left"/>
              <w:rPr>
                <w:rFonts w:asciiTheme="majorHAnsi" w:hAnsiTheme="majorHAnsi" w:cstheme="majorHAnsi"/>
                <w:lang w:val="en-AU" w:eastAsia="en-AU"/>
              </w:rPr>
            </w:pPr>
            <w:r>
              <w:rPr>
                <w:rFonts w:asciiTheme="majorHAnsi" w:hAnsiTheme="majorHAnsi" w:cstheme="majorHAnsi"/>
                <w:lang w:val="en-AU" w:eastAsia="en-AU"/>
              </w:rPr>
              <w:t>There is c</w:t>
            </w:r>
            <w:r w:rsidR="00903132">
              <w:rPr>
                <w:rFonts w:asciiTheme="majorHAnsi" w:hAnsiTheme="majorHAnsi" w:cstheme="majorHAnsi"/>
                <w:lang w:val="en-AU" w:eastAsia="en-AU"/>
              </w:rPr>
              <w:t>lose proximity or co-location among services wherever possible.</w:t>
            </w:r>
          </w:p>
          <w:p w:rsidR="004E68DE" w:rsidRPr="00370352" w:rsidRDefault="00903132" w:rsidP="00370352">
            <w:pPr>
              <w:pStyle w:val="ListParagraph"/>
              <w:numPr>
                <w:ilvl w:val="0"/>
                <w:numId w:val="15"/>
              </w:numPr>
              <w:spacing w:before="0" w:after="0"/>
              <w:jc w:val="left"/>
              <w:rPr>
                <w:rFonts w:asciiTheme="majorHAnsi" w:hAnsiTheme="majorHAnsi" w:cstheme="majorHAnsi"/>
                <w:lang w:val="en-AU" w:eastAsia="en-AU"/>
              </w:rPr>
            </w:pPr>
            <w:r w:rsidRPr="00370352">
              <w:rPr>
                <w:rFonts w:asciiTheme="majorHAnsi" w:hAnsiTheme="majorHAnsi" w:cstheme="majorHAnsi"/>
                <w:lang w:val="en-AU" w:eastAsia="en-AU"/>
              </w:rPr>
              <w:t xml:space="preserve">Formalised processes for collaboration and referral are co-reviewed regularly and strengthened over time. </w:t>
            </w:r>
          </w:p>
          <w:p w:rsidR="0042789B" w:rsidRDefault="0042789B" w:rsidP="00370352">
            <w:pPr>
              <w:pStyle w:val="ListParagraph"/>
              <w:spacing w:before="0" w:after="0"/>
              <w:jc w:val="left"/>
              <w:rPr>
                <w:lang w:val="en-AU" w:eastAsia="en-AU"/>
              </w:rPr>
            </w:pPr>
          </w:p>
          <w:p w:rsidR="00E36C86" w:rsidRPr="00FE2C84" w:rsidRDefault="00E36C86" w:rsidP="00A24FD8"/>
        </w:tc>
      </w:tr>
    </w:tbl>
    <w:p w:rsidR="00E36C86" w:rsidRPr="00FE2C84" w:rsidRDefault="00E36C86" w:rsidP="00140FCA">
      <w:pPr>
        <w:rPr>
          <w:rFonts w:asciiTheme="majorHAnsi" w:hAnsiTheme="majorHAnsi" w:cstheme="majorHAnsi"/>
        </w:rPr>
      </w:pPr>
    </w:p>
    <w:p w:rsidR="00E36C86" w:rsidRDefault="00E36C86" w:rsidP="00140FCA"/>
    <w:p w:rsidR="00771D45" w:rsidRDefault="002379BA" w:rsidP="00297F19">
      <w:pPr>
        <w:pStyle w:val="Heading2"/>
      </w:pPr>
      <w:r>
        <w:t>Other u</w:t>
      </w:r>
      <w:r w:rsidR="00771D45">
        <w:t>seful resources</w:t>
      </w:r>
    </w:p>
    <w:p w:rsidR="0042789B" w:rsidRPr="003825B3" w:rsidRDefault="0042789B" w:rsidP="00370352">
      <w:pPr>
        <w:jc w:val="left"/>
        <w:rPr>
          <w:lang w:val="en-US"/>
        </w:rPr>
      </w:pPr>
      <w:r w:rsidRPr="00B46388">
        <w:rPr>
          <w:lang w:val="en-US"/>
        </w:rPr>
        <w:t xml:space="preserve">Australia’s National Research Organisation for Women’s Safety </w:t>
      </w:r>
      <w:r>
        <w:rPr>
          <w:lang w:val="en-US"/>
        </w:rPr>
        <w:t xml:space="preserve"> (2017). </w:t>
      </w:r>
      <w:r w:rsidRPr="003825B3">
        <w:rPr>
          <w:lang w:val="en-US"/>
        </w:rPr>
        <w:t>Women’s Input to a Trauma-informed systems model of care in Health settings: The WITH study</w:t>
      </w:r>
      <w:r w:rsidRPr="00B46388">
        <w:rPr>
          <w:lang w:val="en-US"/>
        </w:rPr>
        <w:t xml:space="preserve">. Available at:  </w:t>
      </w:r>
      <w:r w:rsidRPr="003825B3">
        <w:rPr>
          <w:lang w:val="en-US"/>
        </w:rPr>
        <w:t xml:space="preserve"> </w:t>
      </w:r>
      <w:hyperlink r:id="rId8" w:history="1">
        <w:r>
          <w:rPr>
            <w:rStyle w:val="Hyperlink"/>
          </w:rPr>
          <w:t>https://www.anrows.org.au/project/womens-input-to-a-trauma-informed-systems-model-of-care-in-health-settings/</w:t>
        </w:r>
      </w:hyperlink>
    </w:p>
    <w:p w:rsidR="0042789B" w:rsidRDefault="0042789B" w:rsidP="00370352">
      <w:pPr>
        <w:jc w:val="left"/>
      </w:pPr>
      <w:r w:rsidRPr="00B46388">
        <w:rPr>
          <w:lang w:val="en-US"/>
        </w:rPr>
        <w:t>Australia’s National Research Organisation for Women’s Safety</w:t>
      </w:r>
      <w:r>
        <w:rPr>
          <w:lang w:val="en-US"/>
        </w:rPr>
        <w:t xml:space="preserve"> (2017) </w:t>
      </w:r>
      <w:r w:rsidRPr="00B46388">
        <w:rPr>
          <w:lang w:val="en-US"/>
        </w:rPr>
        <w:t>The PATRICIA Project: Pathways And Research In Collaborative Inter-Agency working</w:t>
      </w:r>
      <w:r>
        <w:rPr>
          <w:lang w:val="en-US"/>
        </w:rPr>
        <w:t xml:space="preserve">. Available at: </w:t>
      </w:r>
      <w:r w:rsidRPr="00B46388" w:rsidDel="00B46388">
        <w:rPr>
          <w:lang w:val="en-US"/>
        </w:rPr>
        <w:t xml:space="preserve"> </w:t>
      </w:r>
      <w:hyperlink r:id="rId9" w:history="1">
        <w:r>
          <w:rPr>
            <w:rStyle w:val="Hyperlink"/>
          </w:rPr>
          <w:t>https://www.anrows.org.au/project/pathways-and-research-in-collaborative-inter-agency-working/</w:t>
        </w:r>
      </w:hyperlink>
    </w:p>
    <w:p w:rsidR="0042789B" w:rsidRDefault="0042789B" w:rsidP="00370352">
      <w:pPr>
        <w:jc w:val="left"/>
      </w:pPr>
      <w:r>
        <w:t xml:space="preserve">Australia’s National Research Organisation for Women’s Safety (2020) </w:t>
      </w:r>
      <w:r w:rsidRPr="003825B3">
        <w:rPr>
          <w:lang w:val="en-US"/>
        </w:rPr>
        <w:t>Culturally and Linguistically Diverse Projects with Action Research</w:t>
      </w:r>
      <w:r w:rsidRPr="00B46388">
        <w:rPr>
          <w:lang w:val="en-US"/>
        </w:rPr>
        <w:t xml:space="preserve">. Available at:  </w:t>
      </w:r>
      <w:r w:rsidRPr="007D0403">
        <w:rPr>
          <w:lang w:val="en-US"/>
        </w:rPr>
        <w:t xml:space="preserve"> </w:t>
      </w:r>
      <w:hyperlink r:id="rId10" w:history="1">
        <w:r>
          <w:rPr>
            <w:rStyle w:val="Hyperlink"/>
          </w:rPr>
          <w:t>https://www.anrows.org.au/research-program/culturally-and-linguistically-diverse-projects-with-action-research/</w:t>
        </w:r>
      </w:hyperlink>
    </w:p>
    <w:p w:rsidR="0042789B" w:rsidRPr="003825B3" w:rsidRDefault="0042789B" w:rsidP="00370352">
      <w:pPr>
        <w:jc w:val="left"/>
      </w:pPr>
      <w:r w:rsidRPr="003825B3">
        <w:t>Australia’s National Research Organisation for Women’s Safety. (2020).</w:t>
      </w:r>
      <w:r w:rsidRPr="003825B3" w:rsidDel="0042789B">
        <w:t> </w:t>
      </w:r>
      <w:r>
        <w:t xml:space="preserve"> </w:t>
      </w:r>
      <w:r w:rsidRPr="00370352">
        <w:t>Working across sectors to meet the needs of clients experiencing domestic and family violence</w:t>
      </w:r>
      <w:r>
        <w:t xml:space="preserve"> </w:t>
      </w:r>
      <w:r w:rsidRPr="003825B3" w:rsidDel="0042789B">
        <w:t> </w:t>
      </w:r>
      <w:r w:rsidRPr="003825B3">
        <w:t>(ANROWS Insights, 05/2020). Sydney: ANROWS.</w:t>
      </w:r>
      <w:r w:rsidR="000C60EF">
        <w:t xml:space="preserve"> Available at: </w:t>
      </w:r>
      <w:hyperlink r:id="rId11" w:history="1">
        <w:r w:rsidR="00EB4A9B" w:rsidRPr="00E76CDC">
          <w:rPr>
            <w:rStyle w:val="Hyperlink"/>
          </w:rPr>
          <w:t>https://www.anrows.org.au/publication/working-across-sectors-to-meet-the-needs-of-clients-experiencing-domestic-and-family-violence/</w:t>
        </w:r>
      </w:hyperlink>
      <w:r w:rsidR="00EB4A9B">
        <w:t xml:space="preserve"> </w:t>
      </w:r>
    </w:p>
    <w:p w:rsidR="005D3AC2" w:rsidRDefault="005D3AC2" w:rsidP="00370352">
      <w:pPr>
        <w:jc w:val="left"/>
        <w:rPr>
          <w:lang w:val="en-US"/>
        </w:rPr>
      </w:pPr>
      <w:r>
        <w:rPr>
          <w:lang w:val="en-US"/>
        </w:rPr>
        <w:t xml:space="preserve">Chen, J.  (2017) </w:t>
      </w:r>
      <w:r w:rsidRPr="005D3AC2">
        <w:rPr>
          <w:lang w:val="en-US"/>
        </w:rPr>
        <w:t>Intersectionali</w:t>
      </w:r>
      <w:r>
        <w:rPr>
          <w:lang w:val="en-US"/>
        </w:rPr>
        <w:t xml:space="preserve">ty Matters: A guide to engaging </w:t>
      </w:r>
      <w:r w:rsidRPr="005D3AC2">
        <w:rPr>
          <w:lang w:val="en-US"/>
        </w:rPr>
        <w:t>immig</w:t>
      </w:r>
      <w:r>
        <w:rPr>
          <w:lang w:val="en-US"/>
        </w:rPr>
        <w:t xml:space="preserve">rant and refugee communities in </w:t>
      </w:r>
      <w:r w:rsidRPr="005D3AC2">
        <w:rPr>
          <w:lang w:val="en-US"/>
        </w:rPr>
        <w:t>Australia. M</w:t>
      </w:r>
      <w:r>
        <w:rPr>
          <w:lang w:val="en-US"/>
        </w:rPr>
        <w:t xml:space="preserve">ulticultural Centre for Women’s </w:t>
      </w:r>
      <w:r w:rsidRPr="005D3AC2">
        <w:rPr>
          <w:lang w:val="en-US"/>
        </w:rPr>
        <w:t>Health. Melbourne.</w:t>
      </w:r>
      <w:r>
        <w:rPr>
          <w:lang w:val="en-US"/>
        </w:rPr>
        <w:t xml:space="preserve"> Available at: </w:t>
      </w:r>
      <w:hyperlink r:id="rId12" w:history="1">
        <w:r w:rsidR="00EB4A9B" w:rsidRPr="00E76CDC">
          <w:rPr>
            <w:rStyle w:val="Hyperlink"/>
            <w:lang w:val="en-US"/>
          </w:rPr>
          <w:t>https://www.mcwh.com.au/wp-content/uploads/Intersectionality-Matters-Guide-2017.pdf</w:t>
        </w:r>
      </w:hyperlink>
      <w:r w:rsidR="00EB4A9B">
        <w:rPr>
          <w:lang w:val="en-US"/>
        </w:rPr>
        <w:t xml:space="preserve"> </w:t>
      </w:r>
    </w:p>
    <w:p w:rsidR="00EB4A9B" w:rsidRDefault="0042789B" w:rsidP="00370352">
      <w:pPr>
        <w:jc w:val="left"/>
      </w:pPr>
      <w:r w:rsidRPr="003825B3">
        <w:t>Domestic Violence NSW (20</w:t>
      </w:r>
      <w:r w:rsidR="00D03516">
        <w:t>19</w:t>
      </w:r>
      <w:r w:rsidRPr="003825B3">
        <w:t xml:space="preserve">) Good Practice Guidelines for the Domestic and Family Violence Sector in NSW. Available at: </w:t>
      </w:r>
      <w:hyperlink r:id="rId13" w:history="1">
        <w:r w:rsidR="00EB4A9B" w:rsidRPr="00E76CDC">
          <w:rPr>
            <w:rStyle w:val="Hyperlink"/>
          </w:rPr>
          <w:t>https://www.dvnsw.org.au/wp-content/uploads/2020/11/DFV-Practice-Guidelines-1.pdf</w:t>
        </w:r>
      </w:hyperlink>
    </w:p>
    <w:p w:rsidR="0042789B" w:rsidRPr="003825B3" w:rsidRDefault="0042789B" w:rsidP="00370352">
      <w:pPr>
        <w:jc w:val="left"/>
      </w:pPr>
      <w:r w:rsidRPr="00B46388">
        <w:lastRenderedPageBreak/>
        <w:t xml:space="preserve">Domestic Violence Victoria (2020). Code of Practice: Principles and Standards for Specialist Family Violence Services for Victim-Survivors. 2nd Edition. Available at: </w:t>
      </w:r>
      <w:hyperlink r:id="rId14" w:history="1">
        <w:r w:rsidRPr="00370352">
          <w:rPr>
            <w:rStyle w:val="Hyperlink"/>
          </w:rPr>
          <w:t>http://dvvic.org.au/wp-content/uploads/2020/07/DV-Vic-Code-of-Practice-v1.0-FINAL.pdf</w:t>
        </w:r>
      </w:hyperlink>
    </w:p>
    <w:p w:rsidR="0042789B" w:rsidRPr="003825B3" w:rsidDel="003825B3" w:rsidRDefault="0042789B" w:rsidP="003825B3">
      <w:pPr>
        <w:jc w:val="left"/>
      </w:pPr>
      <w:r w:rsidRPr="003825B3">
        <w:t xml:space="preserve">Government of Victoria (2018) MARAM practice guides and resources. Available at: </w:t>
      </w:r>
      <w:hyperlink r:id="rId15" w:history="1">
        <w:r w:rsidRPr="003825B3">
          <w:rPr>
            <w:rStyle w:val="Hyperlink"/>
          </w:rPr>
          <w:t>https://www.vic.gov.au/maram-practice-guides-and-resources</w:t>
        </w:r>
      </w:hyperlink>
    </w:p>
    <w:p w:rsidR="000C60EF" w:rsidRDefault="000C60EF" w:rsidP="000C60EF">
      <w:pPr>
        <w:jc w:val="left"/>
        <w:rPr>
          <w:lang w:val="en-US"/>
        </w:rPr>
      </w:pPr>
      <w:r w:rsidRPr="000C60EF">
        <w:rPr>
          <w:lang w:val="en-US"/>
        </w:rPr>
        <w:t>Hach</w:t>
      </w:r>
      <w:r>
        <w:rPr>
          <w:lang w:val="en-US"/>
        </w:rPr>
        <w:t xml:space="preserve">, M. (2012)  Common Threads, </w:t>
      </w:r>
      <w:r w:rsidRPr="000C60EF">
        <w:rPr>
          <w:lang w:val="en-US"/>
        </w:rPr>
        <w:t>Common Practi</w:t>
      </w:r>
      <w:r>
        <w:rPr>
          <w:lang w:val="en-US"/>
        </w:rPr>
        <w:t>ce: Working w</w:t>
      </w:r>
      <w:r w:rsidRPr="000C60EF">
        <w:rPr>
          <w:lang w:val="en-US"/>
        </w:rPr>
        <w:t>ith Immigrant &amp; Refugee Women</w:t>
      </w:r>
      <w:r w:rsidR="00EB4A9B">
        <w:rPr>
          <w:lang w:val="en-US"/>
        </w:rPr>
        <w:t xml:space="preserve"> </w:t>
      </w:r>
      <w:r w:rsidRPr="000C60EF">
        <w:rPr>
          <w:lang w:val="en-US"/>
        </w:rPr>
        <w:t>In Sexual &amp; Reproductive Health</w:t>
      </w:r>
      <w:r>
        <w:rPr>
          <w:lang w:val="en-US"/>
        </w:rPr>
        <w:t xml:space="preserve">. </w:t>
      </w:r>
      <w:r w:rsidRPr="000C60EF">
        <w:rPr>
          <w:lang w:val="en-US"/>
        </w:rPr>
        <w:t>Multicultural Centre for Women’s Health. Melbourne. Available at:</w:t>
      </w:r>
      <w:r>
        <w:rPr>
          <w:lang w:val="en-US"/>
        </w:rPr>
        <w:t xml:space="preserve"> </w:t>
      </w:r>
      <w:hyperlink r:id="rId16" w:history="1">
        <w:r w:rsidR="00EB4A9B" w:rsidRPr="00E76CDC">
          <w:rPr>
            <w:rStyle w:val="Hyperlink"/>
            <w:lang w:val="en-US"/>
          </w:rPr>
          <w:t>https://www.mcwh.com.au/downloads/publications/MCWH_CommonThreads_BestPracticeGuide_WEB.pdf</w:t>
        </w:r>
      </w:hyperlink>
      <w:r w:rsidR="00EB4A9B">
        <w:rPr>
          <w:lang w:val="en-US"/>
        </w:rPr>
        <w:t xml:space="preserve"> </w:t>
      </w:r>
    </w:p>
    <w:p w:rsidR="0042789B" w:rsidRPr="00370352" w:rsidRDefault="0042789B" w:rsidP="00370352">
      <w:pPr>
        <w:jc w:val="left"/>
      </w:pPr>
      <w:r w:rsidRPr="00370352">
        <w:t>UN Women</w:t>
      </w:r>
      <w:r w:rsidR="000C60EF">
        <w:t>,</w:t>
      </w:r>
      <w:r w:rsidR="000C60EF" w:rsidRPr="000C60EF">
        <w:t xml:space="preserve"> UNFPA, WHO, UNDP and UNODC (2016</w:t>
      </w:r>
      <w:r w:rsidR="000C60EF">
        <w:t xml:space="preserve">) </w:t>
      </w:r>
      <w:r w:rsidRPr="00370352">
        <w:t xml:space="preserve"> </w:t>
      </w:r>
      <w:r w:rsidRPr="003825B3">
        <w:t xml:space="preserve">Essential Services Package for Women and Girls Subject to Violence Core Elements and Quality Guidelines </w:t>
      </w:r>
      <w:hyperlink r:id="rId17" w:history="1">
        <w:r w:rsidRPr="003825B3">
          <w:rPr>
            <w:rStyle w:val="Hyperlink"/>
          </w:rPr>
          <w:t>https://www.unfpa.org/sites/default/files/pub-pdf/Essential-Services-Package-en.pdf</w:t>
        </w:r>
      </w:hyperlink>
      <w:r w:rsidRPr="003825B3">
        <w:t xml:space="preserve"> </w:t>
      </w:r>
    </w:p>
    <w:p w:rsidR="0042789B" w:rsidRPr="00370352" w:rsidDel="003825B3" w:rsidRDefault="0042789B" w:rsidP="00370352">
      <w:pPr>
        <w:jc w:val="left"/>
      </w:pPr>
      <w:r w:rsidRPr="00370352">
        <w:t xml:space="preserve">UNFPA </w:t>
      </w:r>
      <w:r w:rsidRPr="003825B3">
        <w:t xml:space="preserve">Minimum Standards for Prevention and Response to Gender-Based Violence in Emergencies </w:t>
      </w:r>
      <w:hyperlink r:id="rId18" w:history="1">
        <w:r w:rsidRPr="003825B3">
          <w:rPr>
            <w:rStyle w:val="Hyperlink"/>
          </w:rPr>
          <w:t>https://www.unfpa.org/sites/default/files/pub-pdf/GBVIE.Minimum.Standards.Publication.FINAL_.ENG_.pdf</w:t>
        </w:r>
      </w:hyperlink>
    </w:p>
    <w:p w:rsidR="0042789B" w:rsidRPr="00370352" w:rsidDel="003825B3" w:rsidRDefault="0042789B" w:rsidP="00370352">
      <w:pPr>
        <w:jc w:val="left"/>
      </w:pPr>
      <w:r w:rsidRPr="00370352">
        <w:t>UNFPA</w:t>
      </w:r>
      <w:r w:rsidR="000C60EF">
        <w:t xml:space="preserve"> (2019) </w:t>
      </w:r>
      <w:r w:rsidRPr="00370352">
        <w:t xml:space="preserve"> The Inter-Agency Minimum Standards for Gender-Based Violence in Emergencies Programming </w:t>
      </w:r>
      <w:hyperlink r:id="rId19" w:history="1">
        <w:r w:rsidRPr="003825B3">
          <w:rPr>
            <w:rStyle w:val="Hyperlink"/>
          </w:rPr>
          <w:t>https://www.unfpa.org/minimum-standards</w:t>
        </w:r>
      </w:hyperlink>
    </w:p>
    <w:p w:rsidR="0042789B" w:rsidRPr="00370352" w:rsidDel="003825B3" w:rsidRDefault="0042789B" w:rsidP="00370352">
      <w:pPr>
        <w:jc w:val="left"/>
      </w:pPr>
      <w:r w:rsidRPr="00370352">
        <w:t>Victoria Royal Commission into Family Violence</w:t>
      </w:r>
      <w:r w:rsidR="000C60EF">
        <w:t xml:space="preserve"> (2016)</w:t>
      </w:r>
      <w:r w:rsidRPr="00370352">
        <w:t xml:space="preserve"> volume 2, section 8 Specialist Family Violence Services </w:t>
      </w:r>
      <w:r w:rsidR="000C60EF">
        <w:t xml:space="preserve">. Available at: </w:t>
      </w:r>
      <w:hyperlink r:id="rId20" w:history="1">
        <w:r w:rsidRPr="003825B3">
          <w:rPr>
            <w:rStyle w:val="Hyperlink"/>
          </w:rPr>
          <w:t>http://rcfv.archive.royalcommission.vic.gov.au/MediaLibraries/RCFamilyViolence/Reports/Final/RCFV-Vol-II.pdf</w:t>
        </w:r>
      </w:hyperlink>
    </w:p>
    <w:p w:rsidR="0042789B" w:rsidRPr="00370352" w:rsidDel="003825B3" w:rsidRDefault="0042789B" w:rsidP="00370352">
      <w:pPr>
        <w:jc w:val="left"/>
      </w:pPr>
      <w:r w:rsidRPr="00370352">
        <w:t xml:space="preserve">With Respect, Practice Guide, Family Violence and LGBTIQ+ people </w:t>
      </w:r>
      <w:r w:rsidR="000C60EF">
        <w:t xml:space="preserve">. Available at: </w:t>
      </w:r>
      <w:hyperlink r:id="rId21" w:history="1">
        <w:r w:rsidRPr="003825B3">
          <w:rPr>
            <w:rStyle w:val="Hyperlink"/>
          </w:rPr>
          <w:t>https://www.withrespect.org.au/practice-guide/</w:t>
        </w:r>
      </w:hyperlink>
    </w:p>
    <w:p w:rsidR="00B64603" w:rsidRDefault="00B64603" w:rsidP="00140FCA">
      <w:pPr>
        <w:rPr>
          <w:lang w:val="en-US"/>
        </w:rPr>
      </w:pPr>
    </w:p>
    <w:p w:rsidR="00370352" w:rsidRDefault="00370352" w:rsidP="00297F19">
      <w:pPr>
        <w:pStyle w:val="Heading2"/>
      </w:pPr>
      <w:r>
        <w:t xml:space="preserve">References </w:t>
      </w:r>
    </w:p>
    <w:p w:rsidR="00370352"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Andrew, M. (2013) The institutional harvest: women’s services and women’s policy agencies. Maddison, S., and Sawer, M. (eds.) (2013). The Women’s Movement in Protest, Institutions and the Internet (pp. 87-104). New York, NY: Routledge.</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Allen, N., Larsen, S., Trotter, J,&amp; Sullivan, C. M. (2012). Exploring the Core Service Delivery Processes of an evidence-based community advocacy program for women with abusive partners. Journal of Community Psychology,14(1), 1-18.</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ANROWS (2017A) Women’s Input into a Trauma-informed systems model of care in Health settings: The WITH study: Final report Available at: </w:t>
      </w:r>
      <w:hyperlink r:id="rId22" w:history="1">
        <w:r w:rsidRPr="00154B48">
          <w:rPr>
            <w:rStyle w:val="Hyperlink"/>
            <w:rFonts w:asciiTheme="majorHAnsi" w:hAnsiTheme="majorHAnsi" w:cstheme="majorHAnsi"/>
            <w:lang w:val="en-US"/>
          </w:rPr>
          <w:t>https://www.anrows.org.au/publication/womens-input-into-a-trauma-informed-systems-model-of-care-in-health-settings-the-with-study-final-report/</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ANROWS (2017B) Women’s specialist domestic and family violence services: Their responses and practices with and for Aboriginal women: Key findings and future directions.</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ANROWS (2020). Working across sectors to meet the needs of clients experiencing domestic and family violence (ANROWS Insights, 05/2020). Sydney: ANROWS.</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Australian Bureau of Statistics (2020). 4524.0 - In Focus: Crime and Justice Statistics, Partner Violence - January 2020  Available at: https://www.abs.gov.au/ausstats/abs@.nsf/mf/4524.0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Australian Human Rights Commission (2012) Australian study tour report: Visit of the UN Special Rapporteur</w:t>
      </w:r>
    </w:p>
    <w:p w:rsidR="00370352" w:rsidRDefault="00370352" w:rsidP="00370352">
      <w:pPr>
        <w:pStyle w:val="EndnoteText"/>
        <w:jc w:val="left"/>
        <w:rPr>
          <w:rStyle w:val="Hyperlink"/>
          <w:rFonts w:asciiTheme="majorHAnsi" w:hAnsiTheme="majorHAnsi" w:cstheme="majorHAnsi"/>
          <w:lang w:val="en-US"/>
        </w:rPr>
      </w:pPr>
      <w:r w:rsidRPr="00154B48">
        <w:rPr>
          <w:rFonts w:asciiTheme="majorHAnsi" w:hAnsiTheme="majorHAnsi" w:cstheme="majorHAnsi"/>
          <w:lang w:val="en-US"/>
        </w:rPr>
        <w:lastRenderedPageBreak/>
        <w:t xml:space="preserve">on violence against women, 10-20 April 2012. Available at: </w:t>
      </w:r>
      <w:hyperlink r:id="rId23" w:history="1">
        <w:r w:rsidRPr="00154B48">
          <w:rPr>
            <w:rStyle w:val="Hyperlink"/>
            <w:rFonts w:asciiTheme="majorHAnsi" w:hAnsiTheme="majorHAnsi" w:cstheme="majorHAnsi"/>
            <w:lang w:val="en-US"/>
          </w:rPr>
          <w:t>file:///G:/Shared%20drives/1%20AWAVA/Pam's%20folder/UNSRVAW%202012%20Web%20Version.pdf</w:t>
        </w:r>
      </w:hyperlink>
    </w:p>
    <w:p w:rsidR="00DC3E18" w:rsidRDefault="00DC3E18" w:rsidP="00370352">
      <w:pPr>
        <w:pStyle w:val="EndnoteText"/>
        <w:jc w:val="left"/>
        <w:rPr>
          <w:rStyle w:val="Hyperlink"/>
          <w:rFonts w:asciiTheme="majorHAnsi" w:hAnsiTheme="majorHAnsi" w:cstheme="majorHAnsi"/>
          <w:lang w:val="en-US"/>
        </w:rPr>
      </w:pPr>
    </w:p>
    <w:p w:rsidR="00DC3E18" w:rsidRPr="00F04A68" w:rsidRDefault="00DC3E18" w:rsidP="00F04A68">
      <w:pPr>
        <w:pStyle w:val="EndnoteText"/>
        <w:jc w:val="left"/>
        <w:rPr>
          <w:rFonts w:asciiTheme="majorHAnsi" w:hAnsiTheme="majorHAnsi" w:cstheme="majorHAnsi"/>
          <w:lang w:val="en-US"/>
        </w:rPr>
      </w:pPr>
      <w:r w:rsidRPr="00F04A68">
        <w:t xml:space="preserve">Australian Human Rights Commission (2018) </w:t>
      </w:r>
      <w:r w:rsidRPr="00F04A68">
        <w:rPr>
          <w:rFonts w:asciiTheme="majorHAnsi" w:hAnsiTheme="majorHAnsi" w:cstheme="majorHAnsi"/>
          <w:lang w:val="en-US"/>
        </w:rPr>
        <w:t>The National Principles for Child Safe Organisations</w:t>
      </w:r>
      <w:r>
        <w:rPr>
          <w:rFonts w:asciiTheme="majorHAnsi" w:hAnsiTheme="majorHAnsi" w:cstheme="majorHAnsi"/>
          <w:lang w:val="en-US"/>
        </w:rPr>
        <w:t>. National Framework for Protecting Australia’s Children 2009-2002. Available at:</w:t>
      </w:r>
      <w:r w:rsidRPr="00DC3E18">
        <w:t xml:space="preserve"> </w:t>
      </w:r>
      <w:hyperlink r:id="rId24" w:history="1">
        <w:r w:rsidRPr="00E76CDC">
          <w:rPr>
            <w:rStyle w:val="Hyperlink"/>
            <w:rFonts w:asciiTheme="majorHAnsi" w:hAnsiTheme="majorHAnsi" w:cstheme="majorHAnsi"/>
            <w:lang w:val="en-US"/>
          </w:rPr>
          <w:t>https://humanrights.gov.au/our-work/childrens-rights/national-principles-child-safe-organisations</w:t>
        </w:r>
      </w:hyperlink>
      <w:r>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Australian Institute of Health and Welfare (2018) Family, Domestic and Sexual Violence in Australia.  Available at: </w:t>
      </w:r>
      <w:hyperlink r:id="rId25" w:history="1">
        <w:r w:rsidRPr="00154B48">
          <w:rPr>
            <w:rStyle w:val="Hyperlink"/>
            <w:rFonts w:asciiTheme="majorHAnsi" w:hAnsiTheme="majorHAnsi" w:cstheme="majorHAnsi"/>
            <w:lang w:val="en-US"/>
          </w:rPr>
          <w:t>https://www.aihw.gov.au/getmedia/d1a8d479-a39a-48c1-bbe2-4b27c7a321e0/aihw-fdv-02.pdf.aspx?inline=true</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AWAVA (2016) Policy Brief on the role of specialist women’s services in Australia’s response to violence against women and their children. Available at:  </w:t>
      </w:r>
      <w:hyperlink r:id="rId26" w:history="1">
        <w:r w:rsidRPr="00154B48">
          <w:rPr>
            <w:rStyle w:val="Hyperlink"/>
            <w:rFonts w:asciiTheme="majorHAnsi" w:hAnsiTheme="majorHAnsi" w:cstheme="majorHAnsi"/>
            <w:lang w:val="en-US"/>
          </w:rPr>
          <w:t>http://awava.org.au/2016/04/07/research/role-specialist-womens-services-australias-response-violence-women-children</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AWAVA (2018)  Working Methods. Available at: </w:t>
      </w:r>
      <w:hyperlink r:id="rId27" w:history="1">
        <w:r w:rsidR="00EB4A9B" w:rsidRPr="00E76CDC">
          <w:rPr>
            <w:rStyle w:val="Hyperlink"/>
            <w:rFonts w:asciiTheme="majorHAnsi" w:hAnsiTheme="majorHAnsi" w:cstheme="majorHAnsi"/>
            <w:lang w:val="en-US"/>
          </w:rPr>
          <w:t>https://awava.org.au/wp-content/uploads/2018/11/FINAL-AWAVA-Working-Methods-5-June-2018.pdf</w:t>
        </w:r>
      </w:hyperlink>
      <w:r w:rsidR="00EB4A9B">
        <w:rPr>
          <w:rFonts w:asciiTheme="majorHAnsi" w:hAnsiTheme="majorHAnsi" w:cstheme="majorHAnsi"/>
          <w:lang w:val="en-US"/>
        </w:rPr>
        <w:t xml:space="preserve"> </w:t>
      </w:r>
      <w:r w:rsidRPr="00154B48">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AWAVA (2020) Survey Data Analysis Report: The role of the specialist women’s services: Survey on the standards of service provision for victims/survivors of gender-based violence. Available at:  </w:t>
      </w:r>
      <w:hyperlink r:id="rId28" w:history="1">
        <w:r w:rsidR="00EB4A9B" w:rsidRPr="00E76CDC">
          <w:rPr>
            <w:rStyle w:val="Hyperlink"/>
            <w:rFonts w:asciiTheme="majorHAnsi" w:hAnsiTheme="majorHAnsi" w:cstheme="majorHAnsi"/>
            <w:lang w:val="en-US"/>
          </w:rPr>
          <w:t>https://awava.org.au/2020/06/30/research-and-reports/survey-report-on-the-victims-survivors-experiences-of-seeking-help</w:t>
        </w:r>
      </w:hyperlink>
      <w:r w:rsidR="00EB4A9B">
        <w:rPr>
          <w:rFonts w:asciiTheme="majorHAnsi" w:hAnsiTheme="majorHAnsi" w:cstheme="majorHAnsi"/>
          <w:lang w:val="en-US"/>
        </w:rPr>
        <w:t xml:space="preserve"> </w:t>
      </w:r>
      <w:r w:rsidRPr="00154B48">
        <w:rPr>
          <w:rFonts w:asciiTheme="majorHAnsi" w:hAnsiTheme="majorHAnsi" w:cstheme="majorHAnsi"/>
          <w:lang w:val="en-US"/>
        </w:rPr>
        <w:t xml:space="preserve"> </w:t>
      </w:r>
      <w:r w:rsidR="00EB4A9B">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Bricknell S (2020) Homicide in Australia 2017-18. Statistical Report no. 23. Canberra: Australian Institute of Criminology. Available at:  </w:t>
      </w:r>
      <w:hyperlink r:id="rId29" w:history="1">
        <w:r w:rsidRPr="00154B48">
          <w:rPr>
            <w:rStyle w:val="Hyperlink"/>
            <w:rFonts w:asciiTheme="majorHAnsi" w:hAnsiTheme="majorHAnsi" w:cstheme="majorHAnsi"/>
            <w:lang w:val="en-US"/>
          </w:rPr>
          <w:t>https://www.aic.gov.au/publications/sr/sr23</w:t>
        </w:r>
      </w:hyperlink>
    </w:p>
    <w:p w:rsidR="00CD000D" w:rsidRDefault="00CD000D" w:rsidP="00370352">
      <w:pPr>
        <w:pStyle w:val="EndnoteText"/>
        <w:jc w:val="left"/>
        <w:rPr>
          <w:sz w:val="22"/>
          <w:szCs w:val="22"/>
        </w:rPr>
      </w:pPr>
    </w:p>
    <w:p w:rsidR="00370352" w:rsidRPr="00F04A68" w:rsidRDefault="00CD000D" w:rsidP="00370352">
      <w:pPr>
        <w:pStyle w:val="EndnoteText"/>
        <w:jc w:val="left"/>
      </w:pPr>
      <w:r w:rsidRPr="00F04A68">
        <w:t xml:space="preserve">Committee on the Elimination of Discrimination Against Women (CEDAW) (2018), </w:t>
      </w:r>
      <w:r w:rsidRPr="00F04A68">
        <w:rPr>
          <w:bCs/>
        </w:rPr>
        <w:t>CEDAW/C/AUS/CO/8:</w:t>
      </w:r>
      <w:r w:rsidRPr="00F04A68">
        <w:rPr>
          <w:b/>
          <w:bCs/>
        </w:rPr>
        <w:t xml:space="preserve"> </w:t>
      </w:r>
      <w:r w:rsidRPr="00F04A68">
        <w:t xml:space="preserve">Concluding observations on the 8th periodic report of Australia viewed on 27 July 2020 at  </w:t>
      </w:r>
      <w:hyperlink r:id="rId30" w:history="1">
        <w:r w:rsidRPr="00F04A68">
          <w:rPr>
            <w:rStyle w:val="Hyperlink"/>
          </w:rPr>
          <w:t>https://digitallibrary.un.org/record/1641944?ln=en</w:t>
        </w:r>
      </w:hyperlink>
    </w:p>
    <w:p w:rsidR="00CD000D" w:rsidRPr="00154B48" w:rsidRDefault="00CD000D"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Council of Europe (2008) Combating violence against women: minimum standards for support services. Available at:  </w:t>
      </w:r>
      <w:hyperlink r:id="rId31" w:history="1">
        <w:r w:rsidR="00EB4A9B" w:rsidRPr="00E76CDC">
          <w:rPr>
            <w:rStyle w:val="Hyperlink"/>
            <w:rFonts w:asciiTheme="majorHAnsi" w:hAnsiTheme="majorHAnsi" w:cstheme="majorHAnsi"/>
            <w:lang w:val="en-US"/>
          </w:rPr>
          <w:t>http://www.coe.int/t/dg2/equality/domesticviolencecampaign/Source/EG-VAW-CONF(2007)Study%20rev.en.pdf</w:t>
        </w:r>
      </w:hyperlink>
      <w:r w:rsidR="00EB4A9B">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21727B" w:rsidRDefault="00370352" w:rsidP="00370352">
      <w:pPr>
        <w:pStyle w:val="EndnoteText"/>
        <w:jc w:val="left"/>
        <w:rPr>
          <w:rStyle w:val="Hyperlink"/>
          <w:rFonts w:asciiTheme="majorHAnsi" w:hAnsiTheme="majorHAnsi" w:cstheme="majorHAnsi"/>
          <w:lang w:val="en-US"/>
        </w:rPr>
      </w:pPr>
      <w:r w:rsidRPr="00154B48">
        <w:rPr>
          <w:rFonts w:asciiTheme="majorHAnsi" w:hAnsiTheme="majorHAnsi" w:cstheme="majorHAnsi"/>
          <w:lang w:val="en-US"/>
        </w:rPr>
        <w:t>Domestic Violence NSW (20</w:t>
      </w:r>
      <w:r w:rsidR="00D03516">
        <w:rPr>
          <w:rFonts w:asciiTheme="majorHAnsi" w:hAnsiTheme="majorHAnsi" w:cstheme="majorHAnsi"/>
          <w:lang w:val="en-US"/>
        </w:rPr>
        <w:t>19</w:t>
      </w:r>
      <w:r w:rsidRPr="00154B48">
        <w:rPr>
          <w:rFonts w:asciiTheme="majorHAnsi" w:hAnsiTheme="majorHAnsi" w:cstheme="majorHAnsi"/>
          <w:lang w:val="en-US"/>
        </w:rPr>
        <w:t xml:space="preserve">) Good Practice Guidelines for the Domestic and Family Violence Sector in NSW. Available at: </w:t>
      </w:r>
      <w:hyperlink r:id="rId32" w:history="1">
        <w:r w:rsidR="00EB4A9B" w:rsidRPr="00E76CDC">
          <w:rPr>
            <w:rStyle w:val="Hyperlink"/>
          </w:rPr>
          <w:t>https://www.dvnsw.org.au/wp-content/uploads/2020/11/DFV-Practice-Guidelines-1.pdf</w:t>
        </w:r>
      </w:hyperlink>
      <w:r w:rsidR="00EB4A9B">
        <w:t xml:space="preserve"> </w:t>
      </w:r>
    </w:p>
    <w:p w:rsidR="006A284F" w:rsidRDefault="006A284F" w:rsidP="00370352">
      <w:pPr>
        <w:pStyle w:val="EndnoteText"/>
        <w:jc w:val="left"/>
        <w:rPr>
          <w:rStyle w:val="Hyperlink"/>
          <w:rFonts w:asciiTheme="majorHAnsi" w:hAnsiTheme="majorHAnsi" w:cstheme="majorHAnsi"/>
          <w:lang w:val="en-US"/>
        </w:rPr>
      </w:pPr>
    </w:p>
    <w:p w:rsidR="0021727B" w:rsidRPr="00154B48" w:rsidRDefault="0021727B" w:rsidP="0021727B">
      <w:pPr>
        <w:pStyle w:val="EndnoteText"/>
        <w:jc w:val="left"/>
        <w:rPr>
          <w:rFonts w:asciiTheme="majorHAnsi" w:hAnsiTheme="majorHAnsi" w:cstheme="majorHAnsi"/>
          <w:lang w:val="en-US"/>
        </w:rPr>
      </w:pPr>
      <w:r>
        <w:rPr>
          <w:rFonts w:asciiTheme="majorHAnsi" w:hAnsiTheme="majorHAnsi" w:cstheme="majorHAnsi"/>
          <w:lang w:val="en-US"/>
        </w:rPr>
        <w:t>Domestic Violence NSW (2020</w:t>
      </w:r>
      <w:r w:rsidRPr="0021727B">
        <w:rPr>
          <w:rFonts w:asciiTheme="majorHAnsi" w:hAnsiTheme="majorHAnsi" w:cstheme="majorHAnsi"/>
          <w:lang w:val="en-US"/>
        </w:rPr>
        <w:t>)</w:t>
      </w:r>
      <w:r>
        <w:rPr>
          <w:rFonts w:asciiTheme="majorHAnsi" w:hAnsiTheme="majorHAnsi" w:cstheme="majorHAnsi"/>
          <w:lang w:val="en-US"/>
        </w:rPr>
        <w:t xml:space="preserve"> Animals a</w:t>
      </w:r>
      <w:r w:rsidRPr="0021727B">
        <w:rPr>
          <w:rFonts w:asciiTheme="majorHAnsi" w:hAnsiTheme="majorHAnsi" w:cstheme="majorHAnsi"/>
          <w:lang w:val="en-US"/>
        </w:rPr>
        <w:t>nd People</w:t>
      </w:r>
      <w:r>
        <w:rPr>
          <w:rFonts w:asciiTheme="majorHAnsi" w:hAnsiTheme="majorHAnsi" w:cstheme="majorHAnsi"/>
          <w:lang w:val="en-US"/>
        </w:rPr>
        <w:t xml:space="preserve"> </w:t>
      </w:r>
      <w:r w:rsidRPr="0021727B">
        <w:rPr>
          <w:rFonts w:asciiTheme="majorHAnsi" w:hAnsiTheme="majorHAnsi" w:cstheme="majorHAnsi"/>
          <w:lang w:val="en-US"/>
        </w:rPr>
        <w:t>Experiencing Domestic</w:t>
      </w:r>
      <w:r>
        <w:rPr>
          <w:rFonts w:asciiTheme="majorHAnsi" w:hAnsiTheme="majorHAnsi" w:cstheme="majorHAnsi"/>
          <w:lang w:val="en-US"/>
        </w:rPr>
        <w:t xml:space="preserve"> a</w:t>
      </w:r>
      <w:r w:rsidRPr="0021727B">
        <w:rPr>
          <w:rFonts w:asciiTheme="majorHAnsi" w:hAnsiTheme="majorHAnsi" w:cstheme="majorHAnsi"/>
          <w:lang w:val="en-US"/>
        </w:rPr>
        <w:t>nd Family Violence</w:t>
      </w:r>
      <w:r>
        <w:rPr>
          <w:rFonts w:asciiTheme="majorHAnsi" w:hAnsiTheme="majorHAnsi" w:cstheme="majorHAnsi"/>
          <w:lang w:val="en-US"/>
        </w:rPr>
        <w:t xml:space="preserve">: How their safety and wellbeing </w:t>
      </w:r>
      <w:r w:rsidRPr="0021727B">
        <w:rPr>
          <w:rFonts w:asciiTheme="majorHAnsi" w:hAnsiTheme="majorHAnsi" w:cstheme="majorHAnsi"/>
          <w:lang w:val="en-US"/>
        </w:rPr>
        <w:t>are interconnected</w:t>
      </w:r>
      <w:r>
        <w:rPr>
          <w:rFonts w:asciiTheme="majorHAnsi" w:hAnsiTheme="majorHAnsi" w:cstheme="majorHAnsi"/>
          <w:lang w:val="en-US"/>
        </w:rPr>
        <w:t xml:space="preserve">. Available at: </w:t>
      </w:r>
    </w:p>
    <w:p w:rsidR="00370352" w:rsidRDefault="009B4CF3" w:rsidP="00370352">
      <w:pPr>
        <w:pStyle w:val="EndnoteText"/>
        <w:jc w:val="left"/>
        <w:rPr>
          <w:rFonts w:asciiTheme="majorHAnsi" w:hAnsiTheme="majorHAnsi" w:cstheme="majorHAnsi"/>
          <w:lang w:val="en-US"/>
        </w:rPr>
      </w:pPr>
      <w:hyperlink r:id="rId33" w:history="1">
        <w:r w:rsidR="0021727B" w:rsidRPr="00DD1CB6">
          <w:rPr>
            <w:rStyle w:val="Hyperlink"/>
            <w:rFonts w:asciiTheme="majorHAnsi" w:hAnsiTheme="majorHAnsi" w:cstheme="majorHAnsi"/>
            <w:lang w:val="en-US"/>
          </w:rPr>
          <w:t>https://www.dvnsw.org.au/wp-content/uploads/2020/11/Nov-DVNSW-Report-on-Animals-and-People-Experiencing-Domestic-and-Family-Violence.pdf</w:t>
        </w:r>
      </w:hyperlink>
    </w:p>
    <w:p w:rsidR="0021727B" w:rsidRPr="00154B48" w:rsidRDefault="0021727B"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Domestic Violence Victoria (2020) Submission to the Inquiry into</w:t>
      </w:r>
      <w:r w:rsidRPr="002379BA">
        <w:rPr>
          <w:rFonts w:asciiTheme="majorHAnsi" w:hAnsiTheme="majorHAnsi" w:cstheme="majorHAnsi"/>
        </w:rPr>
        <w:t xml:space="preserve"> </w:t>
      </w:r>
      <w:r w:rsidRPr="00154B48">
        <w:rPr>
          <w:rFonts w:asciiTheme="majorHAnsi" w:hAnsiTheme="majorHAnsi" w:cstheme="majorHAnsi"/>
          <w:lang w:val="en-US"/>
        </w:rPr>
        <w:t xml:space="preserve">Homelessness in Victoria. Available at: </w:t>
      </w:r>
      <w:hyperlink r:id="rId34" w:history="1">
        <w:r w:rsidR="00EB4A9B" w:rsidRPr="00E76CDC">
          <w:rPr>
            <w:rStyle w:val="Hyperlink"/>
            <w:rFonts w:asciiTheme="majorHAnsi" w:hAnsiTheme="majorHAnsi" w:cstheme="majorHAnsi"/>
            <w:lang w:val="en-US"/>
          </w:rPr>
          <w:t>http://dvvic.org.au/wp-content/uploads/2020/02/SUB_200131_DV-Vic_Homelessness-Inquriy_FINAL.pdf</w:t>
        </w:r>
      </w:hyperlink>
      <w:r w:rsidR="00EB4A9B">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National Association of Services Against Sexual Violence (2015) Standards of Practice Manual for Services Against Sexual Violence, 2nd Edition, Available at: </w:t>
      </w:r>
      <w:hyperlink r:id="rId35" w:history="1">
        <w:r w:rsidRPr="00154B48">
          <w:rPr>
            <w:rStyle w:val="Hyperlink"/>
            <w:rFonts w:asciiTheme="majorHAnsi" w:hAnsiTheme="majorHAnsi" w:cstheme="majorHAnsi"/>
            <w:lang w:val="en-US"/>
          </w:rPr>
          <w:t>http://www.nasasv.org.au/PDFs/NASASV_Standards_2nd_Edition_2015.pdf</w:t>
        </w:r>
      </w:hyperlink>
      <w:r w:rsidRPr="00154B48">
        <w:rPr>
          <w:rFonts w:asciiTheme="majorHAnsi" w:hAnsiTheme="majorHAnsi" w:cstheme="majorHAnsi"/>
          <w:lang w:val="en-US"/>
        </w:rPr>
        <w:t xml:space="preserve"> </w:t>
      </w:r>
    </w:p>
    <w:p w:rsidR="00CD000D" w:rsidRPr="00154B48" w:rsidRDefault="00CD000D" w:rsidP="00370352">
      <w:pPr>
        <w:pStyle w:val="EndnoteText"/>
        <w:jc w:val="left"/>
        <w:rPr>
          <w:rFonts w:asciiTheme="majorHAnsi" w:hAnsiTheme="majorHAnsi" w:cstheme="majorHAnsi"/>
          <w:lang w:val="en-US"/>
        </w:rPr>
      </w:pPr>
    </w:p>
    <w:p w:rsidR="00370352" w:rsidRPr="00F04A68" w:rsidRDefault="00CD000D" w:rsidP="00370352">
      <w:pPr>
        <w:pStyle w:val="EndnoteText"/>
        <w:jc w:val="left"/>
      </w:pPr>
      <w:r w:rsidRPr="00F04A68">
        <w:t xml:space="preserve">Office of the United Nations High Commissioner (OHCHR) (2020) Sexual and Reproductive Health and Rights, at </w:t>
      </w:r>
      <w:hyperlink r:id="rId36" w:history="1">
        <w:r w:rsidR="00EB4A9B" w:rsidRPr="00E76CDC">
          <w:rPr>
            <w:rStyle w:val="Hyperlink"/>
          </w:rPr>
          <w:t>https://www.ohchr.org/en/issues/women/wrgs/pages/healthrights.aspx</w:t>
        </w:r>
      </w:hyperlink>
      <w:r w:rsidR="00EB4A9B">
        <w:t xml:space="preserve"> </w:t>
      </w:r>
    </w:p>
    <w:p w:rsidR="00CD000D" w:rsidRPr="00154B48" w:rsidRDefault="00CD000D"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Panaretto K., Wenitong M., Button S. and Ring I. (2014). Aboriginal community controlled health services: leading the way in primary care. Medical Journal of Australia, 200 (11): 649-652. || doi: 10.5694/mja13.00005. Available at: </w:t>
      </w:r>
      <w:hyperlink r:id="rId37" w:history="1">
        <w:r w:rsidR="00EB4A9B" w:rsidRPr="00E76CDC">
          <w:rPr>
            <w:rStyle w:val="Hyperlink"/>
            <w:rFonts w:asciiTheme="majorHAnsi" w:hAnsiTheme="majorHAnsi" w:cstheme="majorHAnsi"/>
            <w:lang w:val="en-US"/>
          </w:rPr>
          <w:t>https://ahha.asn.au/system/files/docs/publications/20140916_deeble_institute_evidence_brief_relative_effectiveness_of_acchs.pdf</w:t>
        </w:r>
      </w:hyperlink>
      <w:r w:rsidR="00EB4A9B">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Queensland sexual assault services (2010) The Right to Choose Enhancing best practice in responding to sexual assault in Queensland. Available at: </w:t>
      </w:r>
      <w:hyperlink r:id="rId38" w:history="1">
        <w:r w:rsidRPr="00154B48">
          <w:rPr>
            <w:rStyle w:val="Hyperlink"/>
            <w:rFonts w:asciiTheme="majorHAnsi" w:hAnsiTheme="majorHAnsi" w:cstheme="majorHAnsi"/>
            <w:lang w:val="en-US"/>
          </w:rPr>
          <w:t>http://www.communitydoor.org.au/sites/default/files/Right%20to%20choose%20final%20pdf%20with%20covers.pdf</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UN Women (2019) Facts and figures: Ending violence against women. Available at: </w:t>
      </w:r>
      <w:hyperlink r:id="rId39" w:history="1">
        <w:r w:rsidRPr="00154B48">
          <w:rPr>
            <w:rStyle w:val="Hyperlink"/>
            <w:rFonts w:asciiTheme="majorHAnsi" w:hAnsiTheme="majorHAnsi" w:cstheme="majorHAnsi"/>
            <w:lang w:val="en-US"/>
          </w:rPr>
          <w:t>https://www.unwomen.org/en/what-we-do/ending-violence-against-women/facts-and-figures</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UN Women, UNFPA, WHO, UNDP and UNODC (2016) Essential services package for women and girls subject to violence. Available at: </w:t>
      </w:r>
      <w:hyperlink r:id="rId40" w:history="1">
        <w:r w:rsidRPr="00154B48">
          <w:rPr>
            <w:rStyle w:val="Hyperlink"/>
            <w:rFonts w:asciiTheme="majorHAnsi" w:hAnsiTheme="majorHAnsi" w:cstheme="majorHAnsi"/>
            <w:lang w:val="en-US"/>
          </w:rPr>
          <w:t>https://www.unwomen.org/en/digital-library/publications/2015/12/essential-services-package-for-women-and-girls-subject-to-violence</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UNFPA (2019) The Inter-Agency Minimum Standards: for gender-based violence in emergency programming. Available at: </w:t>
      </w:r>
      <w:hyperlink r:id="rId41" w:history="1">
        <w:r w:rsidRPr="00154B48">
          <w:rPr>
            <w:rStyle w:val="Hyperlink"/>
            <w:rFonts w:asciiTheme="majorHAnsi" w:hAnsiTheme="majorHAnsi" w:cstheme="majorHAnsi"/>
            <w:lang w:val="en-US"/>
          </w:rPr>
          <w:t>https://www.unfpa.org/sites/default/files/pub-pdf/19-200_Minimun_Standards_Report_ENGLISH-Nov.FINAL_.pdf</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UNHCR (2020) Sexual and Gender Based Violence. Available at:  </w:t>
      </w:r>
      <w:hyperlink r:id="rId42" w:history="1">
        <w:r w:rsidRPr="00154B48">
          <w:rPr>
            <w:rStyle w:val="Hyperlink"/>
            <w:rFonts w:asciiTheme="majorHAnsi" w:hAnsiTheme="majorHAnsi" w:cstheme="majorHAnsi"/>
            <w:lang w:val="en-US"/>
          </w:rPr>
          <w:t>https://www.unhcr.org/en-au/sexual-and-gender-based-violence.html</w:t>
        </w:r>
      </w:hyperlink>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Victorian Government Department of Human Services (2012) Family Violence Risk Assessment and Risk Management Framework and Practice Guides 1-3, Edition 2. Available at: </w:t>
      </w:r>
      <w:hyperlink r:id="rId43" w:history="1">
        <w:r w:rsidRPr="00154B48">
          <w:rPr>
            <w:rStyle w:val="Hyperlink"/>
            <w:rFonts w:asciiTheme="majorHAnsi" w:hAnsiTheme="majorHAnsi" w:cstheme="majorHAnsi"/>
            <w:lang w:val="en-US"/>
          </w:rPr>
          <w:t>http://www.dhs.vic.gov.au/__data/assets/pdf_file/0010/718858/1_family_violence_risk-assessment_risk_management_framework_manual_010612.PDF</w:t>
        </w:r>
      </w:hyperlink>
      <w:r w:rsidRPr="00154B48">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With Respect (2020) Practice Guide. Available at: </w:t>
      </w:r>
      <w:hyperlink r:id="rId44" w:history="1">
        <w:r w:rsidR="00EB4A9B" w:rsidRPr="00E76CDC">
          <w:rPr>
            <w:rStyle w:val="Hyperlink"/>
            <w:rFonts w:asciiTheme="majorHAnsi" w:hAnsiTheme="majorHAnsi" w:cstheme="majorHAnsi"/>
            <w:lang w:val="en-US"/>
          </w:rPr>
          <w:t>https://www.withrespect.org.au/professionals/practice-guide/</w:t>
        </w:r>
      </w:hyperlink>
      <w:r w:rsidR="00EB4A9B">
        <w:rPr>
          <w:rFonts w:asciiTheme="majorHAnsi" w:hAnsiTheme="majorHAnsi" w:cstheme="majorHAnsi"/>
          <w:lang w:val="en-US"/>
        </w:rPr>
        <w:t xml:space="preserve"> </w:t>
      </w:r>
    </w:p>
    <w:p w:rsidR="00370352" w:rsidRPr="00154B48" w:rsidRDefault="00370352" w:rsidP="00370352">
      <w:pPr>
        <w:pStyle w:val="EndnoteText"/>
        <w:jc w:val="left"/>
        <w:rPr>
          <w:rFonts w:asciiTheme="majorHAnsi" w:hAnsiTheme="majorHAnsi" w:cstheme="majorHAnsi"/>
          <w:lang w:val="en-US"/>
        </w:rPr>
      </w:pPr>
    </w:p>
    <w:p w:rsidR="00370352" w:rsidRPr="00154B48" w:rsidRDefault="00370352" w:rsidP="00370352">
      <w:pPr>
        <w:pStyle w:val="EndnoteText"/>
        <w:jc w:val="left"/>
        <w:rPr>
          <w:rFonts w:asciiTheme="majorHAnsi" w:hAnsiTheme="majorHAnsi" w:cstheme="majorHAnsi"/>
          <w:lang w:val="en-US"/>
        </w:rPr>
      </w:pPr>
      <w:r w:rsidRPr="00154B48">
        <w:rPr>
          <w:rFonts w:asciiTheme="majorHAnsi" w:hAnsiTheme="majorHAnsi" w:cstheme="majorHAnsi"/>
          <w:lang w:val="en-US"/>
        </w:rPr>
        <w:t xml:space="preserve">Women’s Resource Centre (2007) Why Women Only? The value and benefits of by women, for women, services, London, UK. Available at:  </w:t>
      </w:r>
      <w:hyperlink r:id="rId45" w:history="1">
        <w:r w:rsidR="00EB4A9B" w:rsidRPr="00E76CDC">
          <w:rPr>
            <w:rStyle w:val="Hyperlink"/>
            <w:rFonts w:asciiTheme="majorHAnsi" w:hAnsiTheme="majorHAnsi" w:cstheme="majorHAnsi"/>
            <w:lang w:val="en-US"/>
          </w:rPr>
          <w:t>http://thewomensresourcecentre.org.uk/wp-content/uploads/whywomenonly.pdf</w:t>
        </w:r>
      </w:hyperlink>
      <w:r w:rsidR="00EB4A9B">
        <w:rPr>
          <w:rFonts w:asciiTheme="majorHAnsi" w:hAnsiTheme="majorHAnsi" w:cstheme="majorHAnsi"/>
          <w:lang w:val="en-US"/>
        </w:rPr>
        <w:t xml:space="preserve"> </w:t>
      </w:r>
    </w:p>
    <w:p w:rsidR="00370352" w:rsidRPr="00A24FD8" w:rsidRDefault="00A24FD8" w:rsidP="00A24FD8">
      <w:pPr>
        <w:rPr>
          <w:rFonts w:asciiTheme="majorHAnsi" w:hAnsiTheme="majorHAnsi" w:cstheme="majorHAnsi"/>
          <w:sz w:val="20"/>
          <w:szCs w:val="20"/>
          <w:lang w:val="en-US"/>
        </w:rPr>
      </w:pPr>
      <w:r w:rsidRPr="007C6E76">
        <w:rPr>
          <w:rFonts w:asciiTheme="majorHAnsi" w:hAnsiTheme="majorHAnsi" w:cstheme="majorHAnsi"/>
          <w:sz w:val="20"/>
          <w:szCs w:val="20"/>
          <w:lang w:val="en-US"/>
        </w:rPr>
        <w:t>Woodlock, D., Bentley, K., Schulze, D., Mahoney, N., Chung, D, and Pracilio, A, (2020) Second National Survey of Technology Abuse and Domestic Violence in Australia. WESNET. Canberra</w:t>
      </w:r>
    </w:p>
    <w:p w:rsidR="009A49BF" w:rsidRPr="002379BA" w:rsidRDefault="00370352" w:rsidP="00370352">
      <w:pPr>
        <w:rPr>
          <w:rFonts w:asciiTheme="majorHAnsi" w:hAnsiTheme="majorHAnsi" w:cstheme="majorHAnsi"/>
          <w:sz w:val="20"/>
          <w:szCs w:val="20"/>
          <w:lang w:val="en-US"/>
        </w:rPr>
      </w:pPr>
      <w:r w:rsidRPr="002379BA">
        <w:rPr>
          <w:rFonts w:asciiTheme="majorHAnsi" w:hAnsiTheme="majorHAnsi" w:cstheme="majorHAnsi"/>
          <w:sz w:val="20"/>
          <w:szCs w:val="20"/>
          <w:lang w:val="en-US"/>
        </w:rPr>
        <w:t>Zweig, J.M. and Burt, M.R. (2007) ‘Predicting women's perceptions of domestic violence and sexual assault agency helpfulness: What matters to program clients?’ Violence against Women, 13, 1149-1178</w:t>
      </w:r>
    </w:p>
    <w:sectPr w:rsidR="009A49BF" w:rsidRPr="002379BA" w:rsidSect="005B54A8">
      <w:footerReference w:type="default" r:id="rId46"/>
      <w:head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4CF3" w:rsidRDefault="009B4CF3" w:rsidP="00CD587C">
      <w:pPr>
        <w:spacing w:before="0" w:after="0"/>
      </w:pPr>
      <w:r>
        <w:separator/>
      </w:r>
    </w:p>
  </w:endnote>
  <w:endnote w:type="continuationSeparator" w:id="0">
    <w:p w:rsidR="009B4CF3" w:rsidRDefault="009B4CF3" w:rsidP="00CD58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679912"/>
      <w:docPartObj>
        <w:docPartGallery w:val="Page Numbers (Bottom of Page)"/>
        <w:docPartUnique/>
      </w:docPartObj>
    </w:sdtPr>
    <w:sdtEndPr>
      <w:rPr>
        <w:noProof/>
      </w:rPr>
    </w:sdtEndPr>
    <w:sdtContent>
      <w:p w:rsidR="007D5656" w:rsidRDefault="007D5656">
        <w:pPr>
          <w:pStyle w:val="Footer"/>
          <w:jc w:val="right"/>
        </w:pPr>
        <w:r>
          <w:fldChar w:fldCharType="begin"/>
        </w:r>
        <w:r>
          <w:instrText xml:space="preserve"> PAGE   \* MERGEFORMAT </w:instrText>
        </w:r>
        <w:r>
          <w:fldChar w:fldCharType="separate"/>
        </w:r>
        <w:r w:rsidR="000A15B9">
          <w:rPr>
            <w:noProof/>
          </w:rPr>
          <w:t>16</w:t>
        </w:r>
        <w:r>
          <w:rPr>
            <w:noProof/>
          </w:rPr>
          <w:fldChar w:fldCharType="end"/>
        </w:r>
      </w:p>
    </w:sdtContent>
  </w:sdt>
  <w:p w:rsidR="007D5656" w:rsidRDefault="007D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4CF3" w:rsidRDefault="009B4CF3" w:rsidP="00CD587C">
      <w:pPr>
        <w:spacing w:before="0" w:after="0"/>
      </w:pPr>
      <w:r>
        <w:separator/>
      </w:r>
    </w:p>
  </w:footnote>
  <w:footnote w:type="continuationSeparator" w:id="0">
    <w:p w:rsidR="009B4CF3" w:rsidRDefault="009B4CF3" w:rsidP="00CD587C">
      <w:pPr>
        <w:spacing w:before="0" w:after="0"/>
      </w:pPr>
      <w:r>
        <w:continuationSeparator/>
      </w:r>
    </w:p>
  </w:footnote>
  <w:footnote w:id="1">
    <w:p w:rsidR="007D5656" w:rsidRPr="00FE2C84" w:rsidRDefault="007D5656" w:rsidP="002F471F">
      <w:pPr>
        <w:pStyle w:val="FootnoteText"/>
        <w:jc w:val="left"/>
        <w:rPr>
          <w:rFonts w:asciiTheme="majorHAnsi" w:hAnsiTheme="majorHAnsi" w:cstheme="majorHAnsi"/>
          <w:sz w:val="18"/>
          <w:szCs w:val="18"/>
          <w:lang w:val="en-US"/>
        </w:rPr>
      </w:pPr>
      <w:r w:rsidRPr="00FE2C84">
        <w:rPr>
          <w:rStyle w:val="FootnoteReference"/>
          <w:rFonts w:asciiTheme="majorHAnsi" w:hAnsiTheme="majorHAnsi" w:cstheme="majorHAnsi"/>
          <w:sz w:val="18"/>
          <w:szCs w:val="18"/>
        </w:rPr>
        <w:footnoteRef/>
      </w:r>
      <w:r w:rsidRPr="00FE2C84">
        <w:rPr>
          <w:rFonts w:asciiTheme="majorHAnsi" w:hAnsiTheme="majorHAnsi" w:cstheme="majorHAnsi"/>
          <w:sz w:val="18"/>
          <w:szCs w:val="18"/>
        </w:rPr>
        <w:t xml:space="preserve"> </w:t>
      </w:r>
      <w:r w:rsidRPr="00FE2C84">
        <w:rPr>
          <w:rFonts w:asciiTheme="majorHAnsi" w:hAnsiTheme="majorHAnsi" w:cstheme="majorHAnsi"/>
          <w:sz w:val="18"/>
          <w:szCs w:val="18"/>
          <w:lang w:val="en-US"/>
        </w:rPr>
        <w:t xml:space="preserve">See the full definition of sexual and gender-based violence by the United Nations Refugee Agency: </w:t>
      </w:r>
      <w:hyperlink r:id="rId1" w:history="1">
        <w:r w:rsidRPr="00FE2C84">
          <w:rPr>
            <w:rStyle w:val="Hyperlink"/>
            <w:rFonts w:asciiTheme="majorHAnsi" w:hAnsiTheme="majorHAnsi" w:cstheme="majorHAnsi"/>
            <w:sz w:val="18"/>
            <w:szCs w:val="18"/>
          </w:rPr>
          <w:t>https://www.unhcr.org/en-au/sexual-and-gender-based-violence.html</w:t>
        </w:r>
      </w:hyperlink>
      <w:r w:rsidRPr="00FE2C84">
        <w:rPr>
          <w:rFonts w:asciiTheme="majorHAnsi" w:hAnsiTheme="majorHAnsi" w:cstheme="majorHAnsi"/>
          <w:sz w:val="18"/>
          <w:szCs w:val="18"/>
        </w:rPr>
        <w:t xml:space="preserve"> </w:t>
      </w:r>
    </w:p>
  </w:footnote>
  <w:footnote w:id="2">
    <w:p w:rsidR="007D5656" w:rsidRPr="00FE2C84" w:rsidRDefault="007D5656" w:rsidP="002F471F">
      <w:pPr>
        <w:pStyle w:val="FootnoteText"/>
        <w:rPr>
          <w:sz w:val="18"/>
          <w:szCs w:val="18"/>
          <w:lang w:val="en-US"/>
        </w:rPr>
      </w:pPr>
      <w:r w:rsidRPr="00FE2C84">
        <w:rPr>
          <w:rStyle w:val="FootnoteReference"/>
          <w:sz w:val="18"/>
          <w:szCs w:val="18"/>
        </w:rPr>
        <w:footnoteRef/>
      </w:r>
      <w:r w:rsidRPr="00FE2C84">
        <w:rPr>
          <w:sz w:val="18"/>
          <w:szCs w:val="18"/>
        </w:rPr>
        <w:t xml:space="preserve"> violence against women refers to ‘any act of gender-based violence that results in, or is likely to result in, physical, sexual or psychological harm or suffering to women, including threats of such acts, coercion or arbitrary deprivation of liberty, whether occurring in public or in private life’ (- A/RES/48/104)</w:t>
      </w:r>
      <w:r>
        <w:rPr>
          <w:sz w:val="18"/>
          <w:szCs w:val="18"/>
        </w:rPr>
        <w:t>.</w:t>
      </w:r>
    </w:p>
  </w:footnote>
  <w:footnote w:id="3">
    <w:p w:rsidR="007D5656" w:rsidRPr="00BC51A3" w:rsidRDefault="007D5656" w:rsidP="007016A8">
      <w:pPr>
        <w:pStyle w:val="FootnoteText"/>
        <w:jc w:val="left"/>
        <w:rPr>
          <w:lang w:val="en-US"/>
        </w:rPr>
      </w:pPr>
      <w:r w:rsidRPr="00BC51A3">
        <w:rPr>
          <w:rStyle w:val="FootnoteReference"/>
        </w:rPr>
        <w:footnoteRef/>
      </w:r>
      <w:r w:rsidRPr="00BC51A3">
        <w:t xml:space="preserve"> </w:t>
      </w:r>
      <w:r w:rsidRPr="00BC51A3">
        <w:rPr>
          <w:lang w:val="en-US"/>
        </w:rPr>
        <w:t xml:space="preserve">DV VIC  </w:t>
      </w:r>
      <w:r>
        <w:rPr>
          <w:lang w:val="en-US"/>
        </w:rPr>
        <w:t>C</w:t>
      </w:r>
      <w:r w:rsidRPr="00BC51A3">
        <w:rPr>
          <w:lang w:val="en-US"/>
        </w:rPr>
        <w:t xml:space="preserve">ode of </w:t>
      </w:r>
      <w:r>
        <w:rPr>
          <w:lang w:val="en-US"/>
        </w:rPr>
        <w:t>P</w:t>
      </w:r>
      <w:r w:rsidRPr="00BC51A3">
        <w:rPr>
          <w:lang w:val="en-US"/>
        </w:rPr>
        <w:t>ractice</w:t>
      </w:r>
      <w:r>
        <w:rPr>
          <w:lang w:val="en-US"/>
        </w:rPr>
        <w:t>: Principles and Standards for Specialist Family Violence Services for Victim/Survivors.</w:t>
      </w:r>
      <w:r w:rsidRPr="00BC51A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54A8" w:rsidRDefault="005B54A8">
    <w:pPr>
      <w:pStyle w:val="Header"/>
    </w:pPr>
    <w:r>
      <w:rPr>
        <w:noProof/>
        <w:lang w:eastAsia="en-AU"/>
      </w:rPr>
      <w:drawing>
        <wp:anchor distT="0" distB="0" distL="114300" distR="114300" simplePos="0" relativeHeight="251659264" behindDoc="0" locked="0" layoutInCell="1" allowOverlap="1" wp14:anchorId="2462118F" wp14:editId="61485A56">
          <wp:simplePos x="0" y="0"/>
          <wp:positionH relativeFrom="column">
            <wp:posOffset>-978196</wp:posOffset>
          </wp:positionH>
          <wp:positionV relativeFrom="paragraph">
            <wp:posOffset>-457776</wp:posOffset>
          </wp:positionV>
          <wp:extent cx="7765415" cy="1475105"/>
          <wp:effectExtent l="0" t="0" r="6985" b="0"/>
          <wp:wrapThrough wrapText="bothSides">
            <wp:wrapPolygon edited="0">
              <wp:start x="0" y="0"/>
              <wp:lineTo x="0" y="21200"/>
              <wp:lineTo x="21566" y="21200"/>
              <wp:lineTo x="21566" y="0"/>
              <wp:lineTo x="0" y="0"/>
            </wp:wrapPolygon>
          </wp:wrapThrough>
          <wp:docPr id="7" name="Picture 7" descr="A picture containing drawing, player&#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5DA"/>
    <w:multiLevelType w:val="hybridMultilevel"/>
    <w:tmpl w:val="D15076D0"/>
    <w:lvl w:ilvl="0" w:tplc="6C600C0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16954"/>
    <w:multiLevelType w:val="hybridMultilevel"/>
    <w:tmpl w:val="9F1A2E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C4437E"/>
    <w:multiLevelType w:val="hybridMultilevel"/>
    <w:tmpl w:val="F65E2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362BB"/>
    <w:multiLevelType w:val="hybridMultilevel"/>
    <w:tmpl w:val="D8C24D8A"/>
    <w:lvl w:ilvl="0" w:tplc="E8606C7A">
      <w:start w:val="2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72E54"/>
    <w:multiLevelType w:val="hybridMultilevel"/>
    <w:tmpl w:val="414C68D2"/>
    <w:lvl w:ilvl="0" w:tplc="0C09000F">
      <w:start w:val="1"/>
      <w:numFmt w:val="decimal"/>
      <w:lvlText w:val="%1."/>
      <w:lvlJc w:val="left"/>
      <w:pPr>
        <w:ind w:left="720" w:hanging="360"/>
      </w:pPr>
    </w:lvl>
    <w:lvl w:ilvl="1" w:tplc="8298A260">
      <w:start w:val="1"/>
      <w:numFmt w:val="lowerLetter"/>
      <w:lvlText w:val="%2."/>
      <w:lvlJc w:val="left"/>
      <w:pPr>
        <w:ind w:left="1440" w:hanging="360"/>
      </w:pPr>
      <w:rPr>
        <w:b/>
      </w:rPr>
    </w:lvl>
    <w:lvl w:ilvl="2" w:tplc="0C090001">
      <w:start w:val="1"/>
      <w:numFmt w:val="bullet"/>
      <w:lvlText w:val=""/>
      <w:lvlJc w:val="left"/>
      <w:pPr>
        <w:ind w:left="2160" w:hanging="180"/>
      </w:pPr>
      <w:rPr>
        <w:rFonts w:ascii="Symbol" w:hAnsi="Symbol" w:hint="default"/>
      </w:rPr>
    </w:lvl>
    <w:lvl w:ilvl="3" w:tplc="0EC0221E">
      <w:numFmt w:val="bullet"/>
      <w:lvlText w:val="-"/>
      <w:lvlJc w:val="left"/>
      <w:pPr>
        <w:ind w:left="2880" w:hanging="360"/>
      </w:pPr>
      <w:rPr>
        <w:rFonts w:ascii="Calibri Light" w:eastAsiaTheme="minorHAnsi" w:hAnsi="Calibri Light" w:cs="Calibri Light" w:hint="default"/>
      </w:rPr>
    </w:lvl>
    <w:lvl w:ilvl="4" w:tplc="3A088EA6">
      <w:start w:val="1"/>
      <w:numFmt w:val="lowerLetter"/>
      <w:lvlText w:val="%5)"/>
      <w:lvlJc w:val="left"/>
      <w:pPr>
        <w:ind w:left="3600" w:hanging="360"/>
      </w:pPr>
      <w:rPr>
        <w:rFonts w:hint="default"/>
      </w:rPr>
    </w:lvl>
    <w:lvl w:ilvl="5" w:tplc="0C090017">
      <w:start w:val="1"/>
      <w:numFmt w:val="lowerLetter"/>
      <w:lvlText w:val="%6)"/>
      <w:lvlJc w:val="left"/>
      <w:pPr>
        <w:ind w:left="4320" w:hanging="180"/>
      </w:pPr>
    </w:lvl>
    <w:lvl w:ilvl="6" w:tplc="0C090001">
      <w:start w:val="1"/>
      <w:numFmt w:val="bullet"/>
      <w:lvlText w:val=""/>
      <w:lvlJc w:val="left"/>
      <w:pPr>
        <w:ind w:left="5040" w:hanging="360"/>
      </w:pPr>
      <w:rPr>
        <w:rFonts w:ascii="Symbol" w:hAnsi="Symbol"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9F2CB9"/>
    <w:multiLevelType w:val="hybridMultilevel"/>
    <w:tmpl w:val="C5A24F4E"/>
    <w:lvl w:ilvl="0" w:tplc="016864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60C7E"/>
    <w:multiLevelType w:val="hybridMultilevel"/>
    <w:tmpl w:val="5CFA7DF2"/>
    <w:lvl w:ilvl="0" w:tplc="0C09000F">
      <w:start w:val="1"/>
      <w:numFmt w:val="decimal"/>
      <w:lvlText w:val="%1."/>
      <w:lvlJc w:val="left"/>
      <w:pPr>
        <w:ind w:left="720" w:hanging="360"/>
      </w:pPr>
    </w:lvl>
    <w:lvl w:ilvl="1" w:tplc="8298A260">
      <w:start w:val="1"/>
      <w:numFmt w:val="lowerLetter"/>
      <w:lvlText w:val="%2."/>
      <w:lvlJc w:val="left"/>
      <w:pPr>
        <w:ind w:left="1440" w:hanging="360"/>
      </w:pPr>
      <w:rPr>
        <w:b/>
      </w:rPr>
    </w:lvl>
    <w:lvl w:ilvl="2" w:tplc="0C090001">
      <w:start w:val="1"/>
      <w:numFmt w:val="bullet"/>
      <w:lvlText w:val=""/>
      <w:lvlJc w:val="left"/>
      <w:pPr>
        <w:ind w:left="2160" w:hanging="180"/>
      </w:pPr>
      <w:rPr>
        <w:rFonts w:ascii="Symbol" w:hAnsi="Symbol" w:hint="default"/>
      </w:rPr>
    </w:lvl>
    <w:lvl w:ilvl="3" w:tplc="4FC2442A">
      <w:start w:val="1"/>
      <w:numFmt w:val="lowerLetter"/>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9D4BDC"/>
    <w:multiLevelType w:val="hybridMultilevel"/>
    <w:tmpl w:val="E1CAA4C0"/>
    <w:lvl w:ilvl="0" w:tplc="016864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0C66CA"/>
    <w:multiLevelType w:val="hybridMultilevel"/>
    <w:tmpl w:val="439E94A8"/>
    <w:lvl w:ilvl="0" w:tplc="016864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44D2F"/>
    <w:multiLevelType w:val="hybridMultilevel"/>
    <w:tmpl w:val="25C41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820C54"/>
    <w:multiLevelType w:val="hybridMultilevel"/>
    <w:tmpl w:val="64D25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834B55"/>
    <w:multiLevelType w:val="hybridMultilevel"/>
    <w:tmpl w:val="7D54A504"/>
    <w:lvl w:ilvl="0" w:tplc="BCA450B4">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6D7AF1"/>
    <w:multiLevelType w:val="hybridMultilevel"/>
    <w:tmpl w:val="EECCC940"/>
    <w:lvl w:ilvl="0" w:tplc="E8606C7A">
      <w:start w:val="2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061C0"/>
    <w:multiLevelType w:val="hybridMultilevel"/>
    <w:tmpl w:val="3C7E0CD6"/>
    <w:lvl w:ilvl="0" w:tplc="96F00C5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58EE6CC7"/>
    <w:multiLevelType w:val="hybridMultilevel"/>
    <w:tmpl w:val="41FCA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8A227F"/>
    <w:multiLevelType w:val="multilevel"/>
    <w:tmpl w:val="4662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27FEF"/>
    <w:multiLevelType w:val="hybridMultilevel"/>
    <w:tmpl w:val="A326964C"/>
    <w:lvl w:ilvl="0" w:tplc="016864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F2F21"/>
    <w:multiLevelType w:val="hybridMultilevel"/>
    <w:tmpl w:val="578E747C"/>
    <w:lvl w:ilvl="0" w:tplc="DBCA4D6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64478"/>
    <w:multiLevelType w:val="hybridMultilevel"/>
    <w:tmpl w:val="E1B0D352"/>
    <w:lvl w:ilvl="0" w:tplc="0C090017">
      <w:start w:val="1"/>
      <w:numFmt w:val="lowerLetter"/>
      <w:lvlText w:val="%1)"/>
      <w:lvlJc w:val="left"/>
      <w:pPr>
        <w:ind w:left="4500" w:hanging="360"/>
      </w:pPr>
    </w:lvl>
    <w:lvl w:ilvl="1" w:tplc="0C090019" w:tentative="1">
      <w:start w:val="1"/>
      <w:numFmt w:val="lowerLetter"/>
      <w:lvlText w:val="%2."/>
      <w:lvlJc w:val="left"/>
      <w:pPr>
        <w:ind w:left="5220" w:hanging="360"/>
      </w:pPr>
    </w:lvl>
    <w:lvl w:ilvl="2" w:tplc="0C09001B" w:tentative="1">
      <w:start w:val="1"/>
      <w:numFmt w:val="lowerRoman"/>
      <w:lvlText w:val="%3."/>
      <w:lvlJc w:val="right"/>
      <w:pPr>
        <w:ind w:left="5940" w:hanging="180"/>
      </w:pPr>
    </w:lvl>
    <w:lvl w:ilvl="3" w:tplc="0C09000F" w:tentative="1">
      <w:start w:val="1"/>
      <w:numFmt w:val="decimal"/>
      <w:lvlText w:val="%4."/>
      <w:lvlJc w:val="left"/>
      <w:pPr>
        <w:ind w:left="6660" w:hanging="360"/>
      </w:pPr>
    </w:lvl>
    <w:lvl w:ilvl="4" w:tplc="0C090019" w:tentative="1">
      <w:start w:val="1"/>
      <w:numFmt w:val="lowerLetter"/>
      <w:lvlText w:val="%5."/>
      <w:lvlJc w:val="left"/>
      <w:pPr>
        <w:ind w:left="7380" w:hanging="360"/>
      </w:pPr>
    </w:lvl>
    <w:lvl w:ilvl="5" w:tplc="0C09001B" w:tentative="1">
      <w:start w:val="1"/>
      <w:numFmt w:val="lowerRoman"/>
      <w:lvlText w:val="%6."/>
      <w:lvlJc w:val="right"/>
      <w:pPr>
        <w:ind w:left="8100" w:hanging="180"/>
      </w:pPr>
    </w:lvl>
    <w:lvl w:ilvl="6" w:tplc="0C09000F" w:tentative="1">
      <w:start w:val="1"/>
      <w:numFmt w:val="decimal"/>
      <w:lvlText w:val="%7."/>
      <w:lvlJc w:val="left"/>
      <w:pPr>
        <w:ind w:left="8820" w:hanging="360"/>
      </w:pPr>
    </w:lvl>
    <w:lvl w:ilvl="7" w:tplc="0C090019" w:tentative="1">
      <w:start w:val="1"/>
      <w:numFmt w:val="lowerLetter"/>
      <w:lvlText w:val="%8."/>
      <w:lvlJc w:val="left"/>
      <w:pPr>
        <w:ind w:left="9540" w:hanging="360"/>
      </w:pPr>
    </w:lvl>
    <w:lvl w:ilvl="8" w:tplc="0C09001B" w:tentative="1">
      <w:start w:val="1"/>
      <w:numFmt w:val="lowerRoman"/>
      <w:lvlText w:val="%9."/>
      <w:lvlJc w:val="right"/>
      <w:pPr>
        <w:ind w:left="10260" w:hanging="180"/>
      </w:pPr>
    </w:lvl>
  </w:abstractNum>
  <w:abstractNum w:abstractNumId="19" w15:restartNumberingAfterBreak="0">
    <w:nsid w:val="64956EFC"/>
    <w:multiLevelType w:val="hybridMultilevel"/>
    <w:tmpl w:val="080CF578"/>
    <w:lvl w:ilvl="0" w:tplc="C844742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44E90"/>
    <w:multiLevelType w:val="hybridMultilevel"/>
    <w:tmpl w:val="9CC6E5C0"/>
    <w:lvl w:ilvl="0" w:tplc="FFCE1B3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0E2478"/>
    <w:multiLevelType w:val="hybridMultilevel"/>
    <w:tmpl w:val="AD82F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EA1C2A"/>
    <w:multiLevelType w:val="hybridMultilevel"/>
    <w:tmpl w:val="5240DD26"/>
    <w:lvl w:ilvl="0" w:tplc="ACA48BA8">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8E007B3"/>
    <w:multiLevelType w:val="hybridMultilevel"/>
    <w:tmpl w:val="5906C4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6A6C0B"/>
    <w:multiLevelType w:val="hybridMultilevel"/>
    <w:tmpl w:val="58BC920A"/>
    <w:lvl w:ilvl="0" w:tplc="0809000F">
      <w:start w:val="1"/>
      <w:numFmt w:val="decimal"/>
      <w:lvlText w:val="%1."/>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539CD"/>
    <w:multiLevelType w:val="hybridMultilevel"/>
    <w:tmpl w:val="49908C36"/>
    <w:lvl w:ilvl="0" w:tplc="E8606C7A">
      <w:start w:val="2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
  </w:num>
  <w:num w:numId="8">
    <w:abstractNumId w:val="6"/>
  </w:num>
  <w:num w:numId="9">
    <w:abstractNumId w:val="1"/>
  </w:num>
  <w:num w:numId="10">
    <w:abstractNumId w:val="13"/>
  </w:num>
  <w:num w:numId="11">
    <w:abstractNumId w:val="22"/>
  </w:num>
  <w:num w:numId="12">
    <w:abstractNumId w:val="10"/>
  </w:num>
  <w:num w:numId="13">
    <w:abstractNumId w:val="16"/>
  </w:num>
  <w:num w:numId="14">
    <w:abstractNumId w:val="18"/>
  </w:num>
  <w:num w:numId="15">
    <w:abstractNumId w:val="7"/>
  </w:num>
  <w:num w:numId="16">
    <w:abstractNumId w:val="7"/>
  </w:num>
  <w:num w:numId="17">
    <w:abstractNumId w:val="8"/>
  </w:num>
  <w:num w:numId="18">
    <w:abstractNumId w:val="5"/>
  </w:num>
  <w:num w:numId="19">
    <w:abstractNumId w:val="12"/>
  </w:num>
  <w:num w:numId="20">
    <w:abstractNumId w:val="3"/>
  </w:num>
  <w:num w:numId="21">
    <w:abstractNumId w:val="25"/>
  </w:num>
  <w:num w:numId="22">
    <w:abstractNumId w:val="0"/>
  </w:num>
  <w:num w:numId="23">
    <w:abstractNumId w:val="2"/>
  </w:num>
  <w:num w:numId="24">
    <w:abstractNumId w:val="14"/>
  </w:num>
  <w:num w:numId="25">
    <w:abstractNumId w:val="19"/>
  </w:num>
  <w:num w:numId="26">
    <w:abstractNumId w:val="24"/>
  </w:num>
  <w:num w:numId="27">
    <w:abstractNumId w:val="23"/>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2A"/>
    <w:rsid w:val="000009DF"/>
    <w:rsid w:val="000142DC"/>
    <w:rsid w:val="000235E8"/>
    <w:rsid w:val="000407CE"/>
    <w:rsid w:val="00046B4B"/>
    <w:rsid w:val="00052280"/>
    <w:rsid w:val="00052FCD"/>
    <w:rsid w:val="00060386"/>
    <w:rsid w:val="00064C99"/>
    <w:rsid w:val="000765DB"/>
    <w:rsid w:val="000834C5"/>
    <w:rsid w:val="00087B55"/>
    <w:rsid w:val="00090443"/>
    <w:rsid w:val="00095E27"/>
    <w:rsid w:val="000A15B9"/>
    <w:rsid w:val="000A1865"/>
    <w:rsid w:val="000B0621"/>
    <w:rsid w:val="000B143B"/>
    <w:rsid w:val="000B714A"/>
    <w:rsid w:val="000C60EF"/>
    <w:rsid w:val="000D6D98"/>
    <w:rsid w:val="000F023F"/>
    <w:rsid w:val="000F21EC"/>
    <w:rsid w:val="00104C47"/>
    <w:rsid w:val="0010550F"/>
    <w:rsid w:val="00114704"/>
    <w:rsid w:val="00120DD4"/>
    <w:rsid w:val="001238B5"/>
    <w:rsid w:val="00124F8E"/>
    <w:rsid w:val="0013179B"/>
    <w:rsid w:val="00135970"/>
    <w:rsid w:val="00140FCA"/>
    <w:rsid w:val="001410C2"/>
    <w:rsid w:val="00154B48"/>
    <w:rsid w:val="001560BC"/>
    <w:rsid w:val="001636DC"/>
    <w:rsid w:val="00165A9D"/>
    <w:rsid w:val="00166AC8"/>
    <w:rsid w:val="00172923"/>
    <w:rsid w:val="00175030"/>
    <w:rsid w:val="0017623D"/>
    <w:rsid w:val="00176E69"/>
    <w:rsid w:val="0017799E"/>
    <w:rsid w:val="001807E5"/>
    <w:rsid w:val="001828F4"/>
    <w:rsid w:val="00186EFF"/>
    <w:rsid w:val="001A290E"/>
    <w:rsid w:val="001B39FA"/>
    <w:rsid w:val="001B4B81"/>
    <w:rsid w:val="001B72D4"/>
    <w:rsid w:val="001C0976"/>
    <w:rsid w:val="001C0BE2"/>
    <w:rsid w:val="001C5ACF"/>
    <w:rsid w:val="001D18CA"/>
    <w:rsid w:val="001E4154"/>
    <w:rsid w:val="001E432A"/>
    <w:rsid w:val="001E6203"/>
    <w:rsid w:val="001F4CE8"/>
    <w:rsid w:val="001F4DF9"/>
    <w:rsid w:val="001F6D34"/>
    <w:rsid w:val="002007F8"/>
    <w:rsid w:val="00210197"/>
    <w:rsid w:val="00213BEC"/>
    <w:rsid w:val="0021727B"/>
    <w:rsid w:val="0021740F"/>
    <w:rsid w:val="00221624"/>
    <w:rsid w:val="00236458"/>
    <w:rsid w:val="002379BA"/>
    <w:rsid w:val="002379CB"/>
    <w:rsid w:val="00243970"/>
    <w:rsid w:val="00247C80"/>
    <w:rsid w:val="002539EA"/>
    <w:rsid w:val="00262BBC"/>
    <w:rsid w:val="002754ED"/>
    <w:rsid w:val="00277B79"/>
    <w:rsid w:val="0029596E"/>
    <w:rsid w:val="00297F19"/>
    <w:rsid w:val="002A25CE"/>
    <w:rsid w:val="002A5BEF"/>
    <w:rsid w:val="002C6B45"/>
    <w:rsid w:val="002D7FCD"/>
    <w:rsid w:val="002E2A0D"/>
    <w:rsid w:val="002F471F"/>
    <w:rsid w:val="002F6DBB"/>
    <w:rsid w:val="00304702"/>
    <w:rsid w:val="00313B8B"/>
    <w:rsid w:val="00314907"/>
    <w:rsid w:val="00315133"/>
    <w:rsid w:val="00323633"/>
    <w:rsid w:val="00323D77"/>
    <w:rsid w:val="00331A75"/>
    <w:rsid w:val="00341DC8"/>
    <w:rsid w:val="00345C68"/>
    <w:rsid w:val="00345CB3"/>
    <w:rsid w:val="0035223E"/>
    <w:rsid w:val="0035334B"/>
    <w:rsid w:val="00354F21"/>
    <w:rsid w:val="00357E27"/>
    <w:rsid w:val="00366912"/>
    <w:rsid w:val="00370352"/>
    <w:rsid w:val="00376AB1"/>
    <w:rsid w:val="00377FAA"/>
    <w:rsid w:val="00381D8A"/>
    <w:rsid w:val="003825B3"/>
    <w:rsid w:val="003854CA"/>
    <w:rsid w:val="00386245"/>
    <w:rsid w:val="00390541"/>
    <w:rsid w:val="00394A67"/>
    <w:rsid w:val="00395131"/>
    <w:rsid w:val="003A7263"/>
    <w:rsid w:val="003B299B"/>
    <w:rsid w:val="003B2F54"/>
    <w:rsid w:val="003C086F"/>
    <w:rsid w:val="003C27F8"/>
    <w:rsid w:val="003C339D"/>
    <w:rsid w:val="003D45C9"/>
    <w:rsid w:val="003E5A0F"/>
    <w:rsid w:val="003E7B70"/>
    <w:rsid w:val="003F4880"/>
    <w:rsid w:val="00400982"/>
    <w:rsid w:val="00405B1F"/>
    <w:rsid w:val="00413193"/>
    <w:rsid w:val="004158E7"/>
    <w:rsid w:val="00425765"/>
    <w:rsid w:val="00425897"/>
    <w:rsid w:val="00425B62"/>
    <w:rsid w:val="0042789B"/>
    <w:rsid w:val="004420B6"/>
    <w:rsid w:val="00443718"/>
    <w:rsid w:val="00445D4C"/>
    <w:rsid w:val="00446EA4"/>
    <w:rsid w:val="004509A6"/>
    <w:rsid w:val="00455B98"/>
    <w:rsid w:val="00457007"/>
    <w:rsid w:val="00462297"/>
    <w:rsid w:val="00483464"/>
    <w:rsid w:val="004868A7"/>
    <w:rsid w:val="004905B5"/>
    <w:rsid w:val="00491F18"/>
    <w:rsid w:val="004921B6"/>
    <w:rsid w:val="00495465"/>
    <w:rsid w:val="004965AC"/>
    <w:rsid w:val="004A3283"/>
    <w:rsid w:val="004A62ED"/>
    <w:rsid w:val="004B37ED"/>
    <w:rsid w:val="004B3F1F"/>
    <w:rsid w:val="004B3FC4"/>
    <w:rsid w:val="004B70AD"/>
    <w:rsid w:val="004B70B6"/>
    <w:rsid w:val="004C2803"/>
    <w:rsid w:val="004C7F57"/>
    <w:rsid w:val="004D091F"/>
    <w:rsid w:val="004D4ADF"/>
    <w:rsid w:val="004E68DE"/>
    <w:rsid w:val="004F0849"/>
    <w:rsid w:val="00521CD5"/>
    <w:rsid w:val="005422B9"/>
    <w:rsid w:val="0054662B"/>
    <w:rsid w:val="00555D1D"/>
    <w:rsid w:val="005574E7"/>
    <w:rsid w:val="00567DCE"/>
    <w:rsid w:val="00571F42"/>
    <w:rsid w:val="00577AD3"/>
    <w:rsid w:val="00580706"/>
    <w:rsid w:val="00585C76"/>
    <w:rsid w:val="00590965"/>
    <w:rsid w:val="00590A3E"/>
    <w:rsid w:val="00590DF9"/>
    <w:rsid w:val="005A7EEB"/>
    <w:rsid w:val="005B266D"/>
    <w:rsid w:val="005B337D"/>
    <w:rsid w:val="005B54A8"/>
    <w:rsid w:val="005B72AE"/>
    <w:rsid w:val="005C778C"/>
    <w:rsid w:val="005D3AC2"/>
    <w:rsid w:val="005D5B7D"/>
    <w:rsid w:val="005E09C7"/>
    <w:rsid w:val="005E338B"/>
    <w:rsid w:val="005E3DA7"/>
    <w:rsid w:val="005E76FC"/>
    <w:rsid w:val="005F2671"/>
    <w:rsid w:val="00600866"/>
    <w:rsid w:val="00603C5F"/>
    <w:rsid w:val="0062268C"/>
    <w:rsid w:val="00630611"/>
    <w:rsid w:val="00637FFA"/>
    <w:rsid w:val="006402D0"/>
    <w:rsid w:val="006500D8"/>
    <w:rsid w:val="00656E82"/>
    <w:rsid w:val="00660F70"/>
    <w:rsid w:val="006738E7"/>
    <w:rsid w:val="00676E0C"/>
    <w:rsid w:val="00686E21"/>
    <w:rsid w:val="00691C1A"/>
    <w:rsid w:val="006A284F"/>
    <w:rsid w:val="006C0355"/>
    <w:rsid w:val="006D59A2"/>
    <w:rsid w:val="006D5C94"/>
    <w:rsid w:val="006D68F7"/>
    <w:rsid w:val="006F11E9"/>
    <w:rsid w:val="006F3A94"/>
    <w:rsid w:val="006F4CA9"/>
    <w:rsid w:val="007016A8"/>
    <w:rsid w:val="00705700"/>
    <w:rsid w:val="00705834"/>
    <w:rsid w:val="007102E9"/>
    <w:rsid w:val="00711265"/>
    <w:rsid w:val="0071439F"/>
    <w:rsid w:val="00715370"/>
    <w:rsid w:val="00715E32"/>
    <w:rsid w:val="0074032D"/>
    <w:rsid w:val="00743929"/>
    <w:rsid w:val="007441C0"/>
    <w:rsid w:val="00745BB1"/>
    <w:rsid w:val="007604D6"/>
    <w:rsid w:val="00760657"/>
    <w:rsid w:val="00765A5B"/>
    <w:rsid w:val="00766340"/>
    <w:rsid w:val="00767A66"/>
    <w:rsid w:val="00770C56"/>
    <w:rsid w:val="00771D45"/>
    <w:rsid w:val="0077722D"/>
    <w:rsid w:val="0079261C"/>
    <w:rsid w:val="007970D7"/>
    <w:rsid w:val="007A314E"/>
    <w:rsid w:val="007B1C40"/>
    <w:rsid w:val="007B2370"/>
    <w:rsid w:val="007B24A6"/>
    <w:rsid w:val="007B4A92"/>
    <w:rsid w:val="007C3E08"/>
    <w:rsid w:val="007C3E46"/>
    <w:rsid w:val="007C6B6C"/>
    <w:rsid w:val="007D0403"/>
    <w:rsid w:val="007D5656"/>
    <w:rsid w:val="007D7C1C"/>
    <w:rsid w:val="007E183E"/>
    <w:rsid w:val="007E3691"/>
    <w:rsid w:val="007E626E"/>
    <w:rsid w:val="007F4F88"/>
    <w:rsid w:val="00813361"/>
    <w:rsid w:val="00814BBF"/>
    <w:rsid w:val="008175D7"/>
    <w:rsid w:val="008251FD"/>
    <w:rsid w:val="00835907"/>
    <w:rsid w:val="00840422"/>
    <w:rsid w:val="008671F1"/>
    <w:rsid w:val="0087068F"/>
    <w:rsid w:val="00871B85"/>
    <w:rsid w:val="0088119E"/>
    <w:rsid w:val="00881832"/>
    <w:rsid w:val="0088403A"/>
    <w:rsid w:val="00887F36"/>
    <w:rsid w:val="008C1A52"/>
    <w:rsid w:val="008C67BE"/>
    <w:rsid w:val="008E2DEB"/>
    <w:rsid w:val="008E325D"/>
    <w:rsid w:val="008E5794"/>
    <w:rsid w:val="008E6D5D"/>
    <w:rsid w:val="00902C4E"/>
    <w:rsid w:val="00903132"/>
    <w:rsid w:val="00913B00"/>
    <w:rsid w:val="009158B2"/>
    <w:rsid w:val="00916FCA"/>
    <w:rsid w:val="009205E5"/>
    <w:rsid w:val="00921834"/>
    <w:rsid w:val="00923626"/>
    <w:rsid w:val="00935DE5"/>
    <w:rsid w:val="00937314"/>
    <w:rsid w:val="009501B8"/>
    <w:rsid w:val="00953C9D"/>
    <w:rsid w:val="009634BE"/>
    <w:rsid w:val="00966071"/>
    <w:rsid w:val="00970AEB"/>
    <w:rsid w:val="009718BB"/>
    <w:rsid w:val="0098144F"/>
    <w:rsid w:val="00987ABF"/>
    <w:rsid w:val="00994D67"/>
    <w:rsid w:val="009A49BF"/>
    <w:rsid w:val="009A54EB"/>
    <w:rsid w:val="009B1886"/>
    <w:rsid w:val="009B1CD0"/>
    <w:rsid w:val="009B4596"/>
    <w:rsid w:val="009B492E"/>
    <w:rsid w:val="009B4CF3"/>
    <w:rsid w:val="009C69E7"/>
    <w:rsid w:val="009D1AF3"/>
    <w:rsid w:val="009D3BB6"/>
    <w:rsid w:val="009E5B14"/>
    <w:rsid w:val="009F167C"/>
    <w:rsid w:val="009F7EA4"/>
    <w:rsid w:val="00A0023B"/>
    <w:rsid w:val="00A125B0"/>
    <w:rsid w:val="00A24FD8"/>
    <w:rsid w:val="00A40135"/>
    <w:rsid w:val="00A4131E"/>
    <w:rsid w:val="00A46850"/>
    <w:rsid w:val="00A668BF"/>
    <w:rsid w:val="00A7337A"/>
    <w:rsid w:val="00A739AB"/>
    <w:rsid w:val="00A76D59"/>
    <w:rsid w:val="00A82A29"/>
    <w:rsid w:val="00A93ECB"/>
    <w:rsid w:val="00AA35E4"/>
    <w:rsid w:val="00AB7221"/>
    <w:rsid w:val="00AC6810"/>
    <w:rsid w:val="00B006B5"/>
    <w:rsid w:val="00B05913"/>
    <w:rsid w:val="00B07F28"/>
    <w:rsid w:val="00B11F3A"/>
    <w:rsid w:val="00B220D7"/>
    <w:rsid w:val="00B32B73"/>
    <w:rsid w:val="00B46388"/>
    <w:rsid w:val="00B46BA0"/>
    <w:rsid w:val="00B5233C"/>
    <w:rsid w:val="00B53103"/>
    <w:rsid w:val="00B64603"/>
    <w:rsid w:val="00B7399D"/>
    <w:rsid w:val="00B75928"/>
    <w:rsid w:val="00B81DE6"/>
    <w:rsid w:val="00B82A15"/>
    <w:rsid w:val="00B82B8D"/>
    <w:rsid w:val="00B8359E"/>
    <w:rsid w:val="00B838E8"/>
    <w:rsid w:val="00B85C71"/>
    <w:rsid w:val="00B8656B"/>
    <w:rsid w:val="00B90299"/>
    <w:rsid w:val="00B9527E"/>
    <w:rsid w:val="00BA0005"/>
    <w:rsid w:val="00BA0FB2"/>
    <w:rsid w:val="00BA195C"/>
    <w:rsid w:val="00BA2369"/>
    <w:rsid w:val="00BB080B"/>
    <w:rsid w:val="00BB2020"/>
    <w:rsid w:val="00BB4803"/>
    <w:rsid w:val="00BB5370"/>
    <w:rsid w:val="00BC51A3"/>
    <w:rsid w:val="00BC634D"/>
    <w:rsid w:val="00BC7E65"/>
    <w:rsid w:val="00C01F09"/>
    <w:rsid w:val="00C10759"/>
    <w:rsid w:val="00C21BEE"/>
    <w:rsid w:val="00C22BEE"/>
    <w:rsid w:val="00C32776"/>
    <w:rsid w:val="00C34481"/>
    <w:rsid w:val="00C351FC"/>
    <w:rsid w:val="00C37BBC"/>
    <w:rsid w:val="00C41C85"/>
    <w:rsid w:val="00C659F0"/>
    <w:rsid w:val="00C70FDB"/>
    <w:rsid w:val="00C74968"/>
    <w:rsid w:val="00C84DBF"/>
    <w:rsid w:val="00CA216C"/>
    <w:rsid w:val="00CA32EA"/>
    <w:rsid w:val="00CA3340"/>
    <w:rsid w:val="00CA6822"/>
    <w:rsid w:val="00CB2552"/>
    <w:rsid w:val="00CB6E50"/>
    <w:rsid w:val="00CB70AD"/>
    <w:rsid w:val="00CD000D"/>
    <w:rsid w:val="00CD587C"/>
    <w:rsid w:val="00CF3A5F"/>
    <w:rsid w:val="00CF4CEB"/>
    <w:rsid w:val="00CF4D01"/>
    <w:rsid w:val="00CF6D05"/>
    <w:rsid w:val="00CF7DF5"/>
    <w:rsid w:val="00CF7FF6"/>
    <w:rsid w:val="00D03516"/>
    <w:rsid w:val="00D04247"/>
    <w:rsid w:val="00D04D55"/>
    <w:rsid w:val="00D1201B"/>
    <w:rsid w:val="00D210C4"/>
    <w:rsid w:val="00D339CE"/>
    <w:rsid w:val="00D4662C"/>
    <w:rsid w:val="00D468BE"/>
    <w:rsid w:val="00D471C3"/>
    <w:rsid w:val="00D52891"/>
    <w:rsid w:val="00D67EB3"/>
    <w:rsid w:val="00D706DB"/>
    <w:rsid w:val="00D712E6"/>
    <w:rsid w:val="00D75B58"/>
    <w:rsid w:val="00D939DA"/>
    <w:rsid w:val="00D948F8"/>
    <w:rsid w:val="00D96BD2"/>
    <w:rsid w:val="00D96D1B"/>
    <w:rsid w:val="00D97AF3"/>
    <w:rsid w:val="00DA2E62"/>
    <w:rsid w:val="00DB3FC4"/>
    <w:rsid w:val="00DC1078"/>
    <w:rsid w:val="00DC3E18"/>
    <w:rsid w:val="00DC7350"/>
    <w:rsid w:val="00DC7C46"/>
    <w:rsid w:val="00DD07CF"/>
    <w:rsid w:val="00DD1B0B"/>
    <w:rsid w:val="00DD22DD"/>
    <w:rsid w:val="00DD2EEF"/>
    <w:rsid w:val="00DE0CB0"/>
    <w:rsid w:val="00DF24F1"/>
    <w:rsid w:val="00E060F5"/>
    <w:rsid w:val="00E065F3"/>
    <w:rsid w:val="00E30E15"/>
    <w:rsid w:val="00E33985"/>
    <w:rsid w:val="00E36C86"/>
    <w:rsid w:val="00E37943"/>
    <w:rsid w:val="00E400A5"/>
    <w:rsid w:val="00E64B7B"/>
    <w:rsid w:val="00E741C4"/>
    <w:rsid w:val="00E759BA"/>
    <w:rsid w:val="00E76C0C"/>
    <w:rsid w:val="00E805B6"/>
    <w:rsid w:val="00E80904"/>
    <w:rsid w:val="00E82E46"/>
    <w:rsid w:val="00E83A7D"/>
    <w:rsid w:val="00E83B20"/>
    <w:rsid w:val="00E843EC"/>
    <w:rsid w:val="00E877EB"/>
    <w:rsid w:val="00E927D4"/>
    <w:rsid w:val="00EA1C0F"/>
    <w:rsid w:val="00EA744E"/>
    <w:rsid w:val="00EB17B2"/>
    <w:rsid w:val="00EB4A42"/>
    <w:rsid w:val="00EB4A9B"/>
    <w:rsid w:val="00EB73D5"/>
    <w:rsid w:val="00EC6A81"/>
    <w:rsid w:val="00EE1C93"/>
    <w:rsid w:val="00EE44C0"/>
    <w:rsid w:val="00EE7E68"/>
    <w:rsid w:val="00EF08E8"/>
    <w:rsid w:val="00EF38A5"/>
    <w:rsid w:val="00EF7882"/>
    <w:rsid w:val="00EF7F7C"/>
    <w:rsid w:val="00F03A2D"/>
    <w:rsid w:val="00F04A68"/>
    <w:rsid w:val="00F04CCA"/>
    <w:rsid w:val="00F07DD2"/>
    <w:rsid w:val="00F1003C"/>
    <w:rsid w:val="00F13C21"/>
    <w:rsid w:val="00F17454"/>
    <w:rsid w:val="00F235B5"/>
    <w:rsid w:val="00F2361D"/>
    <w:rsid w:val="00F25F6A"/>
    <w:rsid w:val="00F3260A"/>
    <w:rsid w:val="00F408BE"/>
    <w:rsid w:val="00F42D06"/>
    <w:rsid w:val="00F4578C"/>
    <w:rsid w:val="00F4686C"/>
    <w:rsid w:val="00F52C34"/>
    <w:rsid w:val="00F5645F"/>
    <w:rsid w:val="00F614E9"/>
    <w:rsid w:val="00F75DDA"/>
    <w:rsid w:val="00F849D2"/>
    <w:rsid w:val="00F94C17"/>
    <w:rsid w:val="00F961DA"/>
    <w:rsid w:val="00FA09D0"/>
    <w:rsid w:val="00FA15CF"/>
    <w:rsid w:val="00FA707A"/>
    <w:rsid w:val="00FA7509"/>
    <w:rsid w:val="00FB1760"/>
    <w:rsid w:val="00FB1EB9"/>
    <w:rsid w:val="00FB2B20"/>
    <w:rsid w:val="00FC2C01"/>
    <w:rsid w:val="00FD2DBE"/>
    <w:rsid w:val="00FE010F"/>
    <w:rsid w:val="00FE0185"/>
    <w:rsid w:val="00FE1CBC"/>
    <w:rsid w:val="00FE2C84"/>
    <w:rsid w:val="00FE7E38"/>
    <w:rsid w:val="00FF5B5F"/>
    <w:rsid w:val="00FF6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6D6C"/>
  <w15:docId w15:val="{F39A921C-B93E-9F46-A56A-68499AE7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4B"/>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425B62"/>
    <w:pPr>
      <w:keepNext/>
      <w:keepLines/>
      <w:spacing w:before="240"/>
      <w:outlineLvl w:val="0"/>
    </w:pPr>
    <w:rPr>
      <w:rFonts w:eastAsiaTheme="majorEastAsia" w:cstheme="majorBidi"/>
      <w:b/>
      <w:color w:val="7030A0"/>
      <w:sz w:val="26"/>
      <w:szCs w:val="26"/>
    </w:rPr>
  </w:style>
  <w:style w:type="paragraph" w:styleId="Heading2">
    <w:name w:val="heading 2"/>
    <w:basedOn w:val="Normal"/>
    <w:next w:val="Normal"/>
    <w:link w:val="Heading2Char"/>
    <w:autoRedefine/>
    <w:uiPriority w:val="9"/>
    <w:unhideWhenUsed/>
    <w:qFormat/>
    <w:rsid w:val="00297F19"/>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AA35E4"/>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62"/>
    <w:rPr>
      <w:rFonts w:ascii="Calibri Light" w:eastAsiaTheme="majorEastAsia" w:hAnsi="Calibri Light" w:cstheme="majorBidi"/>
      <w:b/>
      <w:color w:val="7030A0"/>
      <w:sz w:val="26"/>
      <w:szCs w:val="26"/>
      <w:lang w:val="en-GB" w:eastAsia="en-GB"/>
    </w:rPr>
  </w:style>
  <w:style w:type="character" w:customStyle="1" w:styleId="Heading2Char">
    <w:name w:val="Heading 2 Char"/>
    <w:basedOn w:val="DefaultParagraphFont"/>
    <w:link w:val="Heading2"/>
    <w:uiPriority w:val="9"/>
    <w:rsid w:val="00297F19"/>
    <w:rPr>
      <w:rFonts w:ascii="Calibri Light" w:eastAsiaTheme="majorEastAsia" w:hAnsi="Calibri Light" w:cstheme="majorBidi"/>
      <w:b/>
      <w:color w:val="CC00FF"/>
      <w:sz w:val="26"/>
      <w:szCs w:val="26"/>
      <w:lang w:val="en-GB" w:eastAsia="en-GB"/>
    </w:rPr>
  </w:style>
  <w:style w:type="character" w:customStyle="1" w:styleId="Heading3Char">
    <w:name w:val="Heading 3 Char"/>
    <w:basedOn w:val="DefaultParagraphFont"/>
    <w:link w:val="Heading3"/>
    <w:uiPriority w:val="9"/>
    <w:rsid w:val="00AA35E4"/>
    <w:rPr>
      <w:rFonts w:ascii="Calibri Light" w:eastAsiaTheme="majorEastAsia" w:hAnsi="Calibri Light" w:cstheme="majorHAnsi"/>
      <w:b/>
      <w:color w:val="CC00FF"/>
      <w:szCs w:val="20"/>
      <w:lang w:val="en-US" w:eastAsia="en-GB"/>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1E432A"/>
    <w:pPr>
      <w:ind w:left="720"/>
      <w:contextualSpacing/>
    </w:pPr>
  </w:style>
  <w:style w:type="character" w:styleId="CommentReference">
    <w:name w:val="annotation reference"/>
    <w:basedOn w:val="DefaultParagraphFont"/>
    <w:uiPriority w:val="99"/>
    <w:semiHidden/>
    <w:unhideWhenUsed/>
    <w:rsid w:val="00FE1CBC"/>
    <w:rPr>
      <w:sz w:val="16"/>
      <w:szCs w:val="16"/>
    </w:rPr>
  </w:style>
  <w:style w:type="paragraph" w:styleId="CommentText">
    <w:name w:val="annotation text"/>
    <w:basedOn w:val="Normal"/>
    <w:link w:val="CommentTextChar"/>
    <w:uiPriority w:val="99"/>
    <w:semiHidden/>
    <w:unhideWhenUsed/>
    <w:rsid w:val="00FE1CBC"/>
    <w:rPr>
      <w:sz w:val="20"/>
      <w:szCs w:val="20"/>
    </w:rPr>
  </w:style>
  <w:style w:type="character" w:customStyle="1" w:styleId="CommentTextChar">
    <w:name w:val="Comment Text Char"/>
    <w:basedOn w:val="DefaultParagraphFont"/>
    <w:link w:val="CommentText"/>
    <w:uiPriority w:val="99"/>
    <w:semiHidden/>
    <w:rsid w:val="00FE1CBC"/>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E1CBC"/>
    <w:rPr>
      <w:b/>
      <w:bCs/>
    </w:rPr>
  </w:style>
  <w:style w:type="character" w:customStyle="1" w:styleId="CommentSubjectChar">
    <w:name w:val="Comment Subject Char"/>
    <w:basedOn w:val="CommentTextChar"/>
    <w:link w:val="CommentSubject"/>
    <w:uiPriority w:val="99"/>
    <w:semiHidden/>
    <w:rsid w:val="00FE1CBC"/>
    <w:rPr>
      <w:rFonts w:ascii="Calibri Light" w:hAnsi="Calibri Light" w:cs="Times New Roman"/>
      <w:b/>
      <w:bCs/>
      <w:sz w:val="20"/>
      <w:szCs w:val="20"/>
      <w:lang w:val="en-GB" w:eastAsia="en-GB"/>
    </w:rPr>
  </w:style>
  <w:style w:type="paragraph" w:styleId="BalloonText">
    <w:name w:val="Balloon Text"/>
    <w:basedOn w:val="Normal"/>
    <w:link w:val="BalloonTextChar"/>
    <w:uiPriority w:val="99"/>
    <w:semiHidden/>
    <w:unhideWhenUsed/>
    <w:rsid w:val="00FE1C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CBC"/>
    <w:rPr>
      <w:rFonts w:ascii="Segoe UI" w:hAnsi="Segoe UI" w:cs="Segoe UI"/>
      <w:sz w:val="18"/>
      <w:szCs w:val="18"/>
      <w:lang w:val="en-GB" w:eastAsia="en-GB"/>
    </w:rPr>
  </w:style>
  <w:style w:type="character" w:styleId="Hyperlink">
    <w:name w:val="Hyperlink"/>
    <w:basedOn w:val="DefaultParagraphFont"/>
    <w:uiPriority w:val="99"/>
    <w:unhideWhenUsed/>
    <w:rsid w:val="00CF3A5F"/>
    <w:rPr>
      <w:color w:val="0000FF"/>
      <w:u w:val="single"/>
    </w:rPr>
  </w:style>
  <w:style w:type="paragraph" w:styleId="NoSpacing">
    <w:name w:val="No Spacing"/>
    <w:uiPriority w:val="1"/>
    <w:qFormat/>
    <w:rsid w:val="00CD587C"/>
    <w:pPr>
      <w:spacing w:after="0" w:line="240" w:lineRule="auto"/>
      <w:jc w:val="both"/>
    </w:pPr>
    <w:rPr>
      <w:rFonts w:ascii="Calibri Light" w:hAnsi="Calibri Light" w:cs="Times New Roman"/>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CD587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D587C"/>
    <w:pPr>
      <w:spacing w:line="240" w:lineRule="exact"/>
    </w:pPr>
    <w:rPr>
      <w:rFonts w:asciiTheme="minorHAnsi" w:hAnsiTheme="minorHAnsi" w:cstheme="minorBidi"/>
      <w:vertAlign w:val="superscript"/>
      <w:lang w:val="en-AU" w:eastAsia="en-US"/>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
    <w:basedOn w:val="Normal"/>
    <w:link w:val="FootnoteTextChar"/>
    <w:uiPriority w:val="99"/>
    <w:unhideWhenUsed/>
    <w:qFormat/>
    <w:rsid w:val="009F7EA4"/>
    <w:pPr>
      <w:spacing w:before="0" w:after="0"/>
    </w:pPr>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9F7EA4"/>
    <w:rPr>
      <w:rFonts w:ascii="Calibri Light" w:hAnsi="Calibri Light" w:cs="Times New Roman"/>
      <w:sz w:val="20"/>
      <w:szCs w:val="20"/>
      <w:lang w:val="en-GB" w:eastAsia="en-GB"/>
    </w:rPr>
  </w:style>
  <w:style w:type="table" w:styleId="TableGrid">
    <w:name w:val="Table Grid"/>
    <w:basedOn w:val="TableNormal"/>
    <w:uiPriority w:val="39"/>
    <w:rsid w:val="00DD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C74968"/>
    <w:rPr>
      <w:rFonts w:ascii="Calibri Light" w:hAnsi="Calibri Light" w:cs="Times New Roman"/>
      <w:lang w:val="en-GB" w:eastAsia="en-GB"/>
    </w:rPr>
  </w:style>
  <w:style w:type="character" w:styleId="FollowedHyperlink">
    <w:name w:val="FollowedHyperlink"/>
    <w:basedOn w:val="DefaultParagraphFont"/>
    <w:uiPriority w:val="99"/>
    <w:semiHidden/>
    <w:unhideWhenUsed/>
    <w:rsid w:val="00C74968"/>
    <w:rPr>
      <w:color w:val="954F72" w:themeColor="followedHyperlink"/>
      <w:u w:val="single"/>
    </w:rPr>
  </w:style>
  <w:style w:type="paragraph" w:styleId="Title">
    <w:name w:val="Title"/>
    <w:basedOn w:val="Normal"/>
    <w:next w:val="Normal"/>
    <w:link w:val="TitleChar"/>
    <w:uiPriority w:val="10"/>
    <w:qFormat/>
    <w:rsid w:val="00E64B7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7B"/>
    <w:rPr>
      <w:rFonts w:asciiTheme="majorHAnsi" w:eastAsiaTheme="majorEastAsia" w:hAnsiTheme="majorHAnsi" w:cstheme="majorBidi"/>
      <w:spacing w:val="-10"/>
      <w:kern w:val="28"/>
      <w:sz w:val="56"/>
      <w:szCs w:val="56"/>
      <w:lang w:val="en-GB" w:eastAsia="en-GB"/>
    </w:rPr>
  </w:style>
  <w:style w:type="paragraph" w:styleId="EndnoteText">
    <w:name w:val="endnote text"/>
    <w:basedOn w:val="Normal"/>
    <w:link w:val="EndnoteTextChar"/>
    <w:uiPriority w:val="99"/>
    <w:unhideWhenUsed/>
    <w:rsid w:val="00FE010F"/>
    <w:pPr>
      <w:spacing w:before="0" w:after="0"/>
    </w:pPr>
    <w:rPr>
      <w:sz w:val="20"/>
      <w:szCs w:val="20"/>
    </w:rPr>
  </w:style>
  <w:style w:type="character" w:customStyle="1" w:styleId="EndnoteTextChar">
    <w:name w:val="Endnote Text Char"/>
    <w:basedOn w:val="DefaultParagraphFont"/>
    <w:link w:val="EndnoteText"/>
    <w:uiPriority w:val="99"/>
    <w:rsid w:val="00FE010F"/>
    <w:rPr>
      <w:rFonts w:ascii="Calibri Light" w:hAnsi="Calibri Light" w:cs="Times New Roman"/>
      <w:sz w:val="20"/>
      <w:szCs w:val="20"/>
      <w:lang w:val="en-GB" w:eastAsia="en-GB"/>
    </w:rPr>
  </w:style>
  <w:style w:type="character" w:styleId="EndnoteReference">
    <w:name w:val="endnote reference"/>
    <w:basedOn w:val="DefaultParagraphFont"/>
    <w:uiPriority w:val="99"/>
    <w:unhideWhenUsed/>
    <w:rsid w:val="00400982"/>
    <w:rPr>
      <w:vertAlign w:val="superscript"/>
      <w:lang w:val="en-AU"/>
    </w:rPr>
  </w:style>
  <w:style w:type="paragraph" w:styleId="Revision">
    <w:name w:val="Revision"/>
    <w:hidden/>
    <w:uiPriority w:val="99"/>
    <w:semiHidden/>
    <w:rsid w:val="00EB4A42"/>
    <w:pPr>
      <w:spacing w:after="0" w:line="240" w:lineRule="auto"/>
    </w:pPr>
    <w:rPr>
      <w:rFonts w:ascii="Calibri Light" w:hAnsi="Calibri Light" w:cs="Times New Roman"/>
      <w:lang w:val="en-GB" w:eastAsia="en-GB"/>
    </w:rPr>
  </w:style>
  <w:style w:type="paragraph" w:styleId="Header">
    <w:name w:val="header"/>
    <w:basedOn w:val="Normal"/>
    <w:link w:val="HeaderChar"/>
    <w:uiPriority w:val="99"/>
    <w:unhideWhenUsed/>
    <w:rsid w:val="00154B48"/>
    <w:pPr>
      <w:tabs>
        <w:tab w:val="center" w:pos="4513"/>
        <w:tab w:val="right" w:pos="9026"/>
      </w:tabs>
      <w:spacing w:before="0" w:after="0"/>
    </w:pPr>
  </w:style>
  <w:style w:type="character" w:customStyle="1" w:styleId="HeaderChar">
    <w:name w:val="Header Char"/>
    <w:basedOn w:val="DefaultParagraphFont"/>
    <w:link w:val="Header"/>
    <w:uiPriority w:val="99"/>
    <w:rsid w:val="00154B48"/>
    <w:rPr>
      <w:rFonts w:ascii="Calibri Light" w:hAnsi="Calibri Light" w:cs="Times New Roman"/>
      <w:lang w:val="en-GB" w:eastAsia="en-GB"/>
    </w:rPr>
  </w:style>
  <w:style w:type="paragraph" w:styleId="Footer">
    <w:name w:val="footer"/>
    <w:basedOn w:val="Normal"/>
    <w:link w:val="FooterChar"/>
    <w:uiPriority w:val="99"/>
    <w:unhideWhenUsed/>
    <w:rsid w:val="00154B48"/>
    <w:pPr>
      <w:tabs>
        <w:tab w:val="center" w:pos="4513"/>
        <w:tab w:val="right" w:pos="9026"/>
      </w:tabs>
      <w:spacing w:before="0" w:after="0"/>
    </w:pPr>
  </w:style>
  <w:style w:type="character" w:customStyle="1" w:styleId="FooterChar">
    <w:name w:val="Footer Char"/>
    <w:basedOn w:val="DefaultParagraphFont"/>
    <w:link w:val="Footer"/>
    <w:uiPriority w:val="99"/>
    <w:rsid w:val="00154B48"/>
    <w:rPr>
      <w:rFonts w:ascii="Calibri Light" w:hAnsi="Calibri Light" w:cs="Times New Roman"/>
      <w:lang w:val="en-GB" w:eastAsia="en-GB"/>
    </w:rPr>
  </w:style>
  <w:style w:type="paragraph" w:styleId="NormalWeb">
    <w:name w:val="Normal (Web)"/>
    <w:basedOn w:val="Normal"/>
    <w:uiPriority w:val="99"/>
    <w:semiHidden/>
    <w:unhideWhenUsed/>
    <w:rsid w:val="00DC3E18"/>
    <w:pPr>
      <w:spacing w:before="100" w:beforeAutospacing="1" w:after="100" w:afterAutospacing="1"/>
      <w:jc w:val="left"/>
    </w:pPr>
    <w:rPr>
      <w:rFonts w:ascii="Times New Roman" w:eastAsia="Times New Roman" w:hAnsi="Times New Roman"/>
      <w:sz w:val="24"/>
      <w:szCs w:val="24"/>
      <w:lang w:val="en-AU"/>
    </w:rPr>
  </w:style>
  <w:style w:type="character" w:customStyle="1" w:styleId="UnresolvedMention1">
    <w:name w:val="Unresolved Mention1"/>
    <w:basedOn w:val="DefaultParagraphFont"/>
    <w:uiPriority w:val="99"/>
    <w:semiHidden/>
    <w:unhideWhenUsed/>
    <w:rsid w:val="00DC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4551">
      <w:bodyDiv w:val="1"/>
      <w:marLeft w:val="0"/>
      <w:marRight w:val="0"/>
      <w:marTop w:val="0"/>
      <w:marBottom w:val="0"/>
      <w:divBdr>
        <w:top w:val="none" w:sz="0" w:space="0" w:color="auto"/>
        <w:left w:val="none" w:sz="0" w:space="0" w:color="auto"/>
        <w:bottom w:val="none" w:sz="0" w:space="0" w:color="auto"/>
        <w:right w:val="none" w:sz="0" w:space="0" w:color="auto"/>
      </w:divBdr>
    </w:div>
    <w:div w:id="50270431">
      <w:bodyDiv w:val="1"/>
      <w:marLeft w:val="0"/>
      <w:marRight w:val="0"/>
      <w:marTop w:val="0"/>
      <w:marBottom w:val="0"/>
      <w:divBdr>
        <w:top w:val="none" w:sz="0" w:space="0" w:color="auto"/>
        <w:left w:val="none" w:sz="0" w:space="0" w:color="auto"/>
        <w:bottom w:val="none" w:sz="0" w:space="0" w:color="auto"/>
        <w:right w:val="none" w:sz="0" w:space="0" w:color="auto"/>
      </w:divBdr>
    </w:div>
    <w:div w:id="58140467">
      <w:bodyDiv w:val="1"/>
      <w:marLeft w:val="0"/>
      <w:marRight w:val="0"/>
      <w:marTop w:val="0"/>
      <w:marBottom w:val="0"/>
      <w:divBdr>
        <w:top w:val="none" w:sz="0" w:space="0" w:color="auto"/>
        <w:left w:val="none" w:sz="0" w:space="0" w:color="auto"/>
        <w:bottom w:val="none" w:sz="0" w:space="0" w:color="auto"/>
        <w:right w:val="none" w:sz="0" w:space="0" w:color="auto"/>
      </w:divBdr>
    </w:div>
    <w:div w:id="84153046">
      <w:bodyDiv w:val="1"/>
      <w:marLeft w:val="0"/>
      <w:marRight w:val="0"/>
      <w:marTop w:val="0"/>
      <w:marBottom w:val="0"/>
      <w:divBdr>
        <w:top w:val="none" w:sz="0" w:space="0" w:color="auto"/>
        <w:left w:val="none" w:sz="0" w:space="0" w:color="auto"/>
        <w:bottom w:val="none" w:sz="0" w:space="0" w:color="auto"/>
        <w:right w:val="none" w:sz="0" w:space="0" w:color="auto"/>
      </w:divBdr>
    </w:div>
    <w:div w:id="113446128">
      <w:bodyDiv w:val="1"/>
      <w:marLeft w:val="0"/>
      <w:marRight w:val="0"/>
      <w:marTop w:val="0"/>
      <w:marBottom w:val="0"/>
      <w:divBdr>
        <w:top w:val="none" w:sz="0" w:space="0" w:color="auto"/>
        <w:left w:val="none" w:sz="0" w:space="0" w:color="auto"/>
        <w:bottom w:val="none" w:sz="0" w:space="0" w:color="auto"/>
        <w:right w:val="none" w:sz="0" w:space="0" w:color="auto"/>
      </w:divBdr>
    </w:div>
    <w:div w:id="213280287">
      <w:bodyDiv w:val="1"/>
      <w:marLeft w:val="0"/>
      <w:marRight w:val="0"/>
      <w:marTop w:val="0"/>
      <w:marBottom w:val="0"/>
      <w:divBdr>
        <w:top w:val="none" w:sz="0" w:space="0" w:color="auto"/>
        <w:left w:val="none" w:sz="0" w:space="0" w:color="auto"/>
        <w:bottom w:val="none" w:sz="0" w:space="0" w:color="auto"/>
        <w:right w:val="none" w:sz="0" w:space="0" w:color="auto"/>
      </w:divBdr>
    </w:div>
    <w:div w:id="255789347">
      <w:bodyDiv w:val="1"/>
      <w:marLeft w:val="0"/>
      <w:marRight w:val="0"/>
      <w:marTop w:val="0"/>
      <w:marBottom w:val="0"/>
      <w:divBdr>
        <w:top w:val="none" w:sz="0" w:space="0" w:color="auto"/>
        <w:left w:val="none" w:sz="0" w:space="0" w:color="auto"/>
        <w:bottom w:val="none" w:sz="0" w:space="0" w:color="auto"/>
        <w:right w:val="none" w:sz="0" w:space="0" w:color="auto"/>
      </w:divBdr>
    </w:div>
    <w:div w:id="263534487">
      <w:bodyDiv w:val="1"/>
      <w:marLeft w:val="0"/>
      <w:marRight w:val="0"/>
      <w:marTop w:val="0"/>
      <w:marBottom w:val="0"/>
      <w:divBdr>
        <w:top w:val="none" w:sz="0" w:space="0" w:color="auto"/>
        <w:left w:val="none" w:sz="0" w:space="0" w:color="auto"/>
        <w:bottom w:val="none" w:sz="0" w:space="0" w:color="auto"/>
        <w:right w:val="none" w:sz="0" w:space="0" w:color="auto"/>
      </w:divBdr>
    </w:div>
    <w:div w:id="372459232">
      <w:bodyDiv w:val="1"/>
      <w:marLeft w:val="0"/>
      <w:marRight w:val="0"/>
      <w:marTop w:val="0"/>
      <w:marBottom w:val="0"/>
      <w:divBdr>
        <w:top w:val="none" w:sz="0" w:space="0" w:color="auto"/>
        <w:left w:val="none" w:sz="0" w:space="0" w:color="auto"/>
        <w:bottom w:val="none" w:sz="0" w:space="0" w:color="auto"/>
        <w:right w:val="none" w:sz="0" w:space="0" w:color="auto"/>
      </w:divBdr>
    </w:div>
    <w:div w:id="453256573">
      <w:bodyDiv w:val="1"/>
      <w:marLeft w:val="0"/>
      <w:marRight w:val="0"/>
      <w:marTop w:val="0"/>
      <w:marBottom w:val="0"/>
      <w:divBdr>
        <w:top w:val="none" w:sz="0" w:space="0" w:color="auto"/>
        <w:left w:val="none" w:sz="0" w:space="0" w:color="auto"/>
        <w:bottom w:val="none" w:sz="0" w:space="0" w:color="auto"/>
        <w:right w:val="none" w:sz="0" w:space="0" w:color="auto"/>
      </w:divBdr>
      <w:divsChild>
        <w:div w:id="881750515">
          <w:marLeft w:val="0"/>
          <w:marRight w:val="0"/>
          <w:marTop w:val="0"/>
          <w:marBottom w:val="0"/>
          <w:divBdr>
            <w:top w:val="none" w:sz="0" w:space="0" w:color="auto"/>
            <w:left w:val="none" w:sz="0" w:space="0" w:color="auto"/>
            <w:bottom w:val="none" w:sz="0" w:space="0" w:color="auto"/>
            <w:right w:val="none" w:sz="0" w:space="0" w:color="auto"/>
          </w:divBdr>
          <w:divsChild>
            <w:div w:id="1489206846">
              <w:marLeft w:val="0"/>
              <w:marRight w:val="0"/>
              <w:marTop w:val="0"/>
              <w:marBottom w:val="0"/>
              <w:divBdr>
                <w:top w:val="none" w:sz="0" w:space="0" w:color="auto"/>
                <w:left w:val="none" w:sz="0" w:space="0" w:color="auto"/>
                <w:bottom w:val="none" w:sz="0" w:space="0" w:color="auto"/>
                <w:right w:val="none" w:sz="0" w:space="0" w:color="auto"/>
              </w:divBdr>
              <w:divsChild>
                <w:div w:id="1815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67052">
      <w:bodyDiv w:val="1"/>
      <w:marLeft w:val="0"/>
      <w:marRight w:val="0"/>
      <w:marTop w:val="0"/>
      <w:marBottom w:val="0"/>
      <w:divBdr>
        <w:top w:val="none" w:sz="0" w:space="0" w:color="auto"/>
        <w:left w:val="none" w:sz="0" w:space="0" w:color="auto"/>
        <w:bottom w:val="none" w:sz="0" w:space="0" w:color="auto"/>
        <w:right w:val="none" w:sz="0" w:space="0" w:color="auto"/>
      </w:divBdr>
    </w:div>
    <w:div w:id="506136374">
      <w:bodyDiv w:val="1"/>
      <w:marLeft w:val="0"/>
      <w:marRight w:val="0"/>
      <w:marTop w:val="0"/>
      <w:marBottom w:val="0"/>
      <w:divBdr>
        <w:top w:val="none" w:sz="0" w:space="0" w:color="auto"/>
        <w:left w:val="none" w:sz="0" w:space="0" w:color="auto"/>
        <w:bottom w:val="none" w:sz="0" w:space="0" w:color="auto"/>
        <w:right w:val="none" w:sz="0" w:space="0" w:color="auto"/>
      </w:divBdr>
    </w:div>
    <w:div w:id="624967307">
      <w:bodyDiv w:val="1"/>
      <w:marLeft w:val="0"/>
      <w:marRight w:val="0"/>
      <w:marTop w:val="0"/>
      <w:marBottom w:val="0"/>
      <w:divBdr>
        <w:top w:val="none" w:sz="0" w:space="0" w:color="auto"/>
        <w:left w:val="none" w:sz="0" w:space="0" w:color="auto"/>
        <w:bottom w:val="none" w:sz="0" w:space="0" w:color="auto"/>
        <w:right w:val="none" w:sz="0" w:space="0" w:color="auto"/>
      </w:divBdr>
    </w:div>
    <w:div w:id="699624642">
      <w:bodyDiv w:val="1"/>
      <w:marLeft w:val="0"/>
      <w:marRight w:val="0"/>
      <w:marTop w:val="0"/>
      <w:marBottom w:val="0"/>
      <w:divBdr>
        <w:top w:val="none" w:sz="0" w:space="0" w:color="auto"/>
        <w:left w:val="none" w:sz="0" w:space="0" w:color="auto"/>
        <w:bottom w:val="none" w:sz="0" w:space="0" w:color="auto"/>
        <w:right w:val="none" w:sz="0" w:space="0" w:color="auto"/>
      </w:divBdr>
    </w:div>
    <w:div w:id="747192572">
      <w:bodyDiv w:val="1"/>
      <w:marLeft w:val="0"/>
      <w:marRight w:val="0"/>
      <w:marTop w:val="0"/>
      <w:marBottom w:val="0"/>
      <w:divBdr>
        <w:top w:val="none" w:sz="0" w:space="0" w:color="auto"/>
        <w:left w:val="none" w:sz="0" w:space="0" w:color="auto"/>
        <w:bottom w:val="none" w:sz="0" w:space="0" w:color="auto"/>
        <w:right w:val="none" w:sz="0" w:space="0" w:color="auto"/>
      </w:divBdr>
    </w:div>
    <w:div w:id="851188323">
      <w:bodyDiv w:val="1"/>
      <w:marLeft w:val="0"/>
      <w:marRight w:val="0"/>
      <w:marTop w:val="0"/>
      <w:marBottom w:val="0"/>
      <w:divBdr>
        <w:top w:val="none" w:sz="0" w:space="0" w:color="auto"/>
        <w:left w:val="none" w:sz="0" w:space="0" w:color="auto"/>
        <w:bottom w:val="none" w:sz="0" w:space="0" w:color="auto"/>
        <w:right w:val="none" w:sz="0" w:space="0" w:color="auto"/>
      </w:divBdr>
    </w:div>
    <w:div w:id="916672178">
      <w:bodyDiv w:val="1"/>
      <w:marLeft w:val="0"/>
      <w:marRight w:val="0"/>
      <w:marTop w:val="0"/>
      <w:marBottom w:val="0"/>
      <w:divBdr>
        <w:top w:val="none" w:sz="0" w:space="0" w:color="auto"/>
        <w:left w:val="none" w:sz="0" w:space="0" w:color="auto"/>
        <w:bottom w:val="none" w:sz="0" w:space="0" w:color="auto"/>
        <w:right w:val="none" w:sz="0" w:space="0" w:color="auto"/>
      </w:divBdr>
    </w:div>
    <w:div w:id="986664218">
      <w:bodyDiv w:val="1"/>
      <w:marLeft w:val="0"/>
      <w:marRight w:val="0"/>
      <w:marTop w:val="0"/>
      <w:marBottom w:val="0"/>
      <w:divBdr>
        <w:top w:val="none" w:sz="0" w:space="0" w:color="auto"/>
        <w:left w:val="none" w:sz="0" w:space="0" w:color="auto"/>
        <w:bottom w:val="none" w:sz="0" w:space="0" w:color="auto"/>
        <w:right w:val="none" w:sz="0" w:space="0" w:color="auto"/>
      </w:divBdr>
    </w:div>
    <w:div w:id="1009528659">
      <w:bodyDiv w:val="1"/>
      <w:marLeft w:val="0"/>
      <w:marRight w:val="0"/>
      <w:marTop w:val="0"/>
      <w:marBottom w:val="0"/>
      <w:divBdr>
        <w:top w:val="none" w:sz="0" w:space="0" w:color="auto"/>
        <w:left w:val="none" w:sz="0" w:space="0" w:color="auto"/>
        <w:bottom w:val="none" w:sz="0" w:space="0" w:color="auto"/>
        <w:right w:val="none" w:sz="0" w:space="0" w:color="auto"/>
      </w:divBdr>
    </w:div>
    <w:div w:id="1132212784">
      <w:bodyDiv w:val="1"/>
      <w:marLeft w:val="0"/>
      <w:marRight w:val="0"/>
      <w:marTop w:val="0"/>
      <w:marBottom w:val="0"/>
      <w:divBdr>
        <w:top w:val="none" w:sz="0" w:space="0" w:color="auto"/>
        <w:left w:val="none" w:sz="0" w:space="0" w:color="auto"/>
        <w:bottom w:val="none" w:sz="0" w:space="0" w:color="auto"/>
        <w:right w:val="none" w:sz="0" w:space="0" w:color="auto"/>
      </w:divBdr>
    </w:div>
    <w:div w:id="1215777595">
      <w:bodyDiv w:val="1"/>
      <w:marLeft w:val="0"/>
      <w:marRight w:val="0"/>
      <w:marTop w:val="0"/>
      <w:marBottom w:val="0"/>
      <w:divBdr>
        <w:top w:val="none" w:sz="0" w:space="0" w:color="auto"/>
        <w:left w:val="none" w:sz="0" w:space="0" w:color="auto"/>
        <w:bottom w:val="none" w:sz="0" w:space="0" w:color="auto"/>
        <w:right w:val="none" w:sz="0" w:space="0" w:color="auto"/>
      </w:divBdr>
    </w:div>
    <w:div w:id="1283612355">
      <w:bodyDiv w:val="1"/>
      <w:marLeft w:val="0"/>
      <w:marRight w:val="0"/>
      <w:marTop w:val="0"/>
      <w:marBottom w:val="0"/>
      <w:divBdr>
        <w:top w:val="none" w:sz="0" w:space="0" w:color="auto"/>
        <w:left w:val="none" w:sz="0" w:space="0" w:color="auto"/>
        <w:bottom w:val="none" w:sz="0" w:space="0" w:color="auto"/>
        <w:right w:val="none" w:sz="0" w:space="0" w:color="auto"/>
      </w:divBdr>
    </w:div>
    <w:div w:id="1429814957">
      <w:bodyDiv w:val="1"/>
      <w:marLeft w:val="0"/>
      <w:marRight w:val="0"/>
      <w:marTop w:val="0"/>
      <w:marBottom w:val="0"/>
      <w:divBdr>
        <w:top w:val="none" w:sz="0" w:space="0" w:color="auto"/>
        <w:left w:val="none" w:sz="0" w:space="0" w:color="auto"/>
        <w:bottom w:val="none" w:sz="0" w:space="0" w:color="auto"/>
        <w:right w:val="none" w:sz="0" w:space="0" w:color="auto"/>
      </w:divBdr>
    </w:div>
    <w:div w:id="1444612503">
      <w:bodyDiv w:val="1"/>
      <w:marLeft w:val="0"/>
      <w:marRight w:val="0"/>
      <w:marTop w:val="0"/>
      <w:marBottom w:val="0"/>
      <w:divBdr>
        <w:top w:val="none" w:sz="0" w:space="0" w:color="auto"/>
        <w:left w:val="none" w:sz="0" w:space="0" w:color="auto"/>
        <w:bottom w:val="none" w:sz="0" w:space="0" w:color="auto"/>
        <w:right w:val="none" w:sz="0" w:space="0" w:color="auto"/>
      </w:divBdr>
      <w:divsChild>
        <w:div w:id="919753085">
          <w:marLeft w:val="0"/>
          <w:marRight w:val="0"/>
          <w:marTop w:val="0"/>
          <w:marBottom w:val="0"/>
          <w:divBdr>
            <w:top w:val="none" w:sz="0" w:space="0" w:color="auto"/>
            <w:left w:val="none" w:sz="0" w:space="0" w:color="auto"/>
            <w:bottom w:val="none" w:sz="0" w:space="0" w:color="auto"/>
            <w:right w:val="none" w:sz="0" w:space="0" w:color="auto"/>
          </w:divBdr>
          <w:divsChild>
            <w:div w:id="176383318">
              <w:marLeft w:val="0"/>
              <w:marRight w:val="0"/>
              <w:marTop w:val="0"/>
              <w:marBottom w:val="0"/>
              <w:divBdr>
                <w:top w:val="none" w:sz="0" w:space="0" w:color="auto"/>
                <w:left w:val="none" w:sz="0" w:space="0" w:color="auto"/>
                <w:bottom w:val="none" w:sz="0" w:space="0" w:color="auto"/>
                <w:right w:val="none" w:sz="0" w:space="0" w:color="auto"/>
              </w:divBdr>
              <w:divsChild>
                <w:div w:id="1943142820">
                  <w:marLeft w:val="0"/>
                  <w:marRight w:val="0"/>
                  <w:marTop w:val="0"/>
                  <w:marBottom w:val="0"/>
                  <w:divBdr>
                    <w:top w:val="none" w:sz="0" w:space="0" w:color="auto"/>
                    <w:left w:val="none" w:sz="0" w:space="0" w:color="auto"/>
                    <w:bottom w:val="none" w:sz="0" w:space="0" w:color="auto"/>
                    <w:right w:val="none" w:sz="0" w:space="0" w:color="auto"/>
                  </w:divBdr>
                  <w:divsChild>
                    <w:div w:id="10320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5496">
      <w:bodyDiv w:val="1"/>
      <w:marLeft w:val="0"/>
      <w:marRight w:val="0"/>
      <w:marTop w:val="0"/>
      <w:marBottom w:val="0"/>
      <w:divBdr>
        <w:top w:val="none" w:sz="0" w:space="0" w:color="auto"/>
        <w:left w:val="none" w:sz="0" w:space="0" w:color="auto"/>
        <w:bottom w:val="none" w:sz="0" w:space="0" w:color="auto"/>
        <w:right w:val="none" w:sz="0" w:space="0" w:color="auto"/>
      </w:divBdr>
    </w:div>
    <w:div w:id="1496456280">
      <w:bodyDiv w:val="1"/>
      <w:marLeft w:val="0"/>
      <w:marRight w:val="0"/>
      <w:marTop w:val="0"/>
      <w:marBottom w:val="0"/>
      <w:divBdr>
        <w:top w:val="none" w:sz="0" w:space="0" w:color="auto"/>
        <w:left w:val="none" w:sz="0" w:space="0" w:color="auto"/>
        <w:bottom w:val="none" w:sz="0" w:space="0" w:color="auto"/>
        <w:right w:val="none" w:sz="0" w:space="0" w:color="auto"/>
      </w:divBdr>
    </w:div>
    <w:div w:id="1685521470">
      <w:bodyDiv w:val="1"/>
      <w:marLeft w:val="0"/>
      <w:marRight w:val="0"/>
      <w:marTop w:val="0"/>
      <w:marBottom w:val="0"/>
      <w:divBdr>
        <w:top w:val="none" w:sz="0" w:space="0" w:color="auto"/>
        <w:left w:val="none" w:sz="0" w:space="0" w:color="auto"/>
        <w:bottom w:val="none" w:sz="0" w:space="0" w:color="auto"/>
        <w:right w:val="none" w:sz="0" w:space="0" w:color="auto"/>
      </w:divBdr>
    </w:div>
    <w:div w:id="1711026530">
      <w:bodyDiv w:val="1"/>
      <w:marLeft w:val="0"/>
      <w:marRight w:val="0"/>
      <w:marTop w:val="0"/>
      <w:marBottom w:val="0"/>
      <w:divBdr>
        <w:top w:val="none" w:sz="0" w:space="0" w:color="auto"/>
        <w:left w:val="none" w:sz="0" w:space="0" w:color="auto"/>
        <w:bottom w:val="none" w:sz="0" w:space="0" w:color="auto"/>
        <w:right w:val="none" w:sz="0" w:space="0" w:color="auto"/>
      </w:divBdr>
    </w:div>
    <w:div w:id="1714957667">
      <w:bodyDiv w:val="1"/>
      <w:marLeft w:val="0"/>
      <w:marRight w:val="0"/>
      <w:marTop w:val="0"/>
      <w:marBottom w:val="0"/>
      <w:divBdr>
        <w:top w:val="none" w:sz="0" w:space="0" w:color="auto"/>
        <w:left w:val="none" w:sz="0" w:space="0" w:color="auto"/>
        <w:bottom w:val="none" w:sz="0" w:space="0" w:color="auto"/>
        <w:right w:val="none" w:sz="0" w:space="0" w:color="auto"/>
      </w:divBdr>
    </w:div>
    <w:div w:id="1727072501">
      <w:bodyDiv w:val="1"/>
      <w:marLeft w:val="0"/>
      <w:marRight w:val="0"/>
      <w:marTop w:val="0"/>
      <w:marBottom w:val="0"/>
      <w:divBdr>
        <w:top w:val="none" w:sz="0" w:space="0" w:color="auto"/>
        <w:left w:val="none" w:sz="0" w:space="0" w:color="auto"/>
        <w:bottom w:val="none" w:sz="0" w:space="0" w:color="auto"/>
        <w:right w:val="none" w:sz="0" w:space="0" w:color="auto"/>
      </w:divBdr>
    </w:div>
    <w:div w:id="1759013262">
      <w:bodyDiv w:val="1"/>
      <w:marLeft w:val="0"/>
      <w:marRight w:val="0"/>
      <w:marTop w:val="0"/>
      <w:marBottom w:val="0"/>
      <w:divBdr>
        <w:top w:val="none" w:sz="0" w:space="0" w:color="auto"/>
        <w:left w:val="none" w:sz="0" w:space="0" w:color="auto"/>
        <w:bottom w:val="none" w:sz="0" w:space="0" w:color="auto"/>
        <w:right w:val="none" w:sz="0" w:space="0" w:color="auto"/>
      </w:divBdr>
    </w:div>
    <w:div w:id="1771009013">
      <w:bodyDiv w:val="1"/>
      <w:marLeft w:val="0"/>
      <w:marRight w:val="0"/>
      <w:marTop w:val="0"/>
      <w:marBottom w:val="0"/>
      <w:divBdr>
        <w:top w:val="none" w:sz="0" w:space="0" w:color="auto"/>
        <w:left w:val="none" w:sz="0" w:space="0" w:color="auto"/>
        <w:bottom w:val="none" w:sz="0" w:space="0" w:color="auto"/>
        <w:right w:val="none" w:sz="0" w:space="0" w:color="auto"/>
      </w:divBdr>
    </w:div>
    <w:div w:id="1776947458">
      <w:bodyDiv w:val="1"/>
      <w:marLeft w:val="0"/>
      <w:marRight w:val="0"/>
      <w:marTop w:val="0"/>
      <w:marBottom w:val="0"/>
      <w:divBdr>
        <w:top w:val="none" w:sz="0" w:space="0" w:color="auto"/>
        <w:left w:val="none" w:sz="0" w:space="0" w:color="auto"/>
        <w:bottom w:val="none" w:sz="0" w:space="0" w:color="auto"/>
        <w:right w:val="none" w:sz="0" w:space="0" w:color="auto"/>
      </w:divBdr>
    </w:div>
    <w:div w:id="1790857797">
      <w:bodyDiv w:val="1"/>
      <w:marLeft w:val="0"/>
      <w:marRight w:val="0"/>
      <w:marTop w:val="0"/>
      <w:marBottom w:val="0"/>
      <w:divBdr>
        <w:top w:val="none" w:sz="0" w:space="0" w:color="auto"/>
        <w:left w:val="none" w:sz="0" w:space="0" w:color="auto"/>
        <w:bottom w:val="none" w:sz="0" w:space="0" w:color="auto"/>
        <w:right w:val="none" w:sz="0" w:space="0" w:color="auto"/>
      </w:divBdr>
    </w:div>
    <w:div w:id="1793865220">
      <w:bodyDiv w:val="1"/>
      <w:marLeft w:val="0"/>
      <w:marRight w:val="0"/>
      <w:marTop w:val="0"/>
      <w:marBottom w:val="0"/>
      <w:divBdr>
        <w:top w:val="none" w:sz="0" w:space="0" w:color="auto"/>
        <w:left w:val="none" w:sz="0" w:space="0" w:color="auto"/>
        <w:bottom w:val="none" w:sz="0" w:space="0" w:color="auto"/>
        <w:right w:val="none" w:sz="0" w:space="0" w:color="auto"/>
      </w:divBdr>
      <w:divsChild>
        <w:div w:id="123741139">
          <w:marLeft w:val="0"/>
          <w:marRight w:val="0"/>
          <w:marTop w:val="0"/>
          <w:marBottom w:val="0"/>
          <w:divBdr>
            <w:top w:val="none" w:sz="0" w:space="0" w:color="auto"/>
            <w:left w:val="none" w:sz="0" w:space="0" w:color="auto"/>
            <w:bottom w:val="none" w:sz="0" w:space="0" w:color="auto"/>
            <w:right w:val="none" w:sz="0" w:space="0" w:color="auto"/>
          </w:divBdr>
          <w:divsChild>
            <w:div w:id="801463743">
              <w:marLeft w:val="0"/>
              <w:marRight w:val="0"/>
              <w:marTop w:val="0"/>
              <w:marBottom w:val="0"/>
              <w:divBdr>
                <w:top w:val="none" w:sz="0" w:space="0" w:color="auto"/>
                <w:left w:val="none" w:sz="0" w:space="0" w:color="auto"/>
                <w:bottom w:val="none" w:sz="0" w:space="0" w:color="auto"/>
                <w:right w:val="none" w:sz="0" w:space="0" w:color="auto"/>
              </w:divBdr>
              <w:divsChild>
                <w:div w:id="1285304955">
                  <w:marLeft w:val="0"/>
                  <w:marRight w:val="0"/>
                  <w:marTop w:val="0"/>
                  <w:marBottom w:val="0"/>
                  <w:divBdr>
                    <w:top w:val="none" w:sz="0" w:space="0" w:color="auto"/>
                    <w:left w:val="none" w:sz="0" w:space="0" w:color="auto"/>
                    <w:bottom w:val="none" w:sz="0" w:space="0" w:color="auto"/>
                    <w:right w:val="none" w:sz="0" w:space="0" w:color="auto"/>
                  </w:divBdr>
                  <w:divsChild>
                    <w:div w:id="1090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97679">
      <w:bodyDiv w:val="1"/>
      <w:marLeft w:val="0"/>
      <w:marRight w:val="0"/>
      <w:marTop w:val="0"/>
      <w:marBottom w:val="0"/>
      <w:divBdr>
        <w:top w:val="none" w:sz="0" w:space="0" w:color="auto"/>
        <w:left w:val="none" w:sz="0" w:space="0" w:color="auto"/>
        <w:bottom w:val="none" w:sz="0" w:space="0" w:color="auto"/>
        <w:right w:val="none" w:sz="0" w:space="0" w:color="auto"/>
      </w:divBdr>
      <w:divsChild>
        <w:div w:id="842015289">
          <w:marLeft w:val="0"/>
          <w:marRight w:val="0"/>
          <w:marTop w:val="0"/>
          <w:marBottom w:val="0"/>
          <w:divBdr>
            <w:top w:val="none" w:sz="0" w:space="0" w:color="auto"/>
            <w:left w:val="none" w:sz="0" w:space="0" w:color="auto"/>
            <w:bottom w:val="none" w:sz="0" w:space="0" w:color="auto"/>
            <w:right w:val="none" w:sz="0" w:space="0" w:color="auto"/>
          </w:divBdr>
          <w:divsChild>
            <w:div w:id="280964380">
              <w:marLeft w:val="0"/>
              <w:marRight w:val="0"/>
              <w:marTop w:val="0"/>
              <w:marBottom w:val="0"/>
              <w:divBdr>
                <w:top w:val="none" w:sz="0" w:space="0" w:color="auto"/>
                <w:left w:val="none" w:sz="0" w:space="0" w:color="auto"/>
                <w:bottom w:val="none" w:sz="0" w:space="0" w:color="auto"/>
                <w:right w:val="none" w:sz="0" w:space="0" w:color="auto"/>
              </w:divBdr>
              <w:divsChild>
                <w:div w:id="1449205793">
                  <w:marLeft w:val="0"/>
                  <w:marRight w:val="0"/>
                  <w:marTop w:val="0"/>
                  <w:marBottom w:val="0"/>
                  <w:divBdr>
                    <w:top w:val="none" w:sz="0" w:space="0" w:color="auto"/>
                    <w:left w:val="none" w:sz="0" w:space="0" w:color="auto"/>
                    <w:bottom w:val="none" w:sz="0" w:space="0" w:color="auto"/>
                    <w:right w:val="none" w:sz="0" w:space="0" w:color="auto"/>
                  </w:divBdr>
                  <w:divsChild>
                    <w:div w:id="4840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581">
      <w:bodyDiv w:val="1"/>
      <w:marLeft w:val="0"/>
      <w:marRight w:val="0"/>
      <w:marTop w:val="0"/>
      <w:marBottom w:val="0"/>
      <w:divBdr>
        <w:top w:val="none" w:sz="0" w:space="0" w:color="auto"/>
        <w:left w:val="none" w:sz="0" w:space="0" w:color="auto"/>
        <w:bottom w:val="none" w:sz="0" w:space="0" w:color="auto"/>
        <w:right w:val="none" w:sz="0" w:space="0" w:color="auto"/>
      </w:divBdr>
    </w:div>
    <w:div w:id="1967158143">
      <w:bodyDiv w:val="1"/>
      <w:marLeft w:val="0"/>
      <w:marRight w:val="0"/>
      <w:marTop w:val="0"/>
      <w:marBottom w:val="0"/>
      <w:divBdr>
        <w:top w:val="none" w:sz="0" w:space="0" w:color="auto"/>
        <w:left w:val="none" w:sz="0" w:space="0" w:color="auto"/>
        <w:bottom w:val="none" w:sz="0" w:space="0" w:color="auto"/>
        <w:right w:val="none" w:sz="0" w:space="0" w:color="auto"/>
      </w:divBdr>
      <w:divsChild>
        <w:div w:id="100928095">
          <w:marLeft w:val="0"/>
          <w:marRight w:val="0"/>
          <w:marTop w:val="0"/>
          <w:marBottom w:val="0"/>
          <w:divBdr>
            <w:top w:val="none" w:sz="0" w:space="0" w:color="auto"/>
            <w:left w:val="none" w:sz="0" w:space="0" w:color="auto"/>
            <w:bottom w:val="none" w:sz="0" w:space="0" w:color="auto"/>
            <w:right w:val="none" w:sz="0" w:space="0" w:color="auto"/>
          </w:divBdr>
          <w:divsChild>
            <w:div w:id="1430004198">
              <w:marLeft w:val="0"/>
              <w:marRight w:val="0"/>
              <w:marTop w:val="0"/>
              <w:marBottom w:val="0"/>
              <w:divBdr>
                <w:top w:val="none" w:sz="0" w:space="0" w:color="auto"/>
                <w:left w:val="none" w:sz="0" w:space="0" w:color="auto"/>
                <w:bottom w:val="none" w:sz="0" w:space="0" w:color="auto"/>
                <w:right w:val="none" w:sz="0" w:space="0" w:color="auto"/>
              </w:divBdr>
              <w:divsChild>
                <w:div w:id="1842891707">
                  <w:marLeft w:val="0"/>
                  <w:marRight w:val="0"/>
                  <w:marTop w:val="0"/>
                  <w:marBottom w:val="0"/>
                  <w:divBdr>
                    <w:top w:val="none" w:sz="0" w:space="0" w:color="auto"/>
                    <w:left w:val="none" w:sz="0" w:space="0" w:color="auto"/>
                    <w:bottom w:val="none" w:sz="0" w:space="0" w:color="auto"/>
                    <w:right w:val="none" w:sz="0" w:space="0" w:color="auto"/>
                  </w:divBdr>
                  <w:divsChild>
                    <w:div w:id="7269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39620">
      <w:bodyDiv w:val="1"/>
      <w:marLeft w:val="0"/>
      <w:marRight w:val="0"/>
      <w:marTop w:val="0"/>
      <w:marBottom w:val="0"/>
      <w:divBdr>
        <w:top w:val="none" w:sz="0" w:space="0" w:color="auto"/>
        <w:left w:val="none" w:sz="0" w:space="0" w:color="auto"/>
        <w:bottom w:val="none" w:sz="0" w:space="0" w:color="auto"/>
        <w:right w:val="none" w:sz="0" w:space="0" w:color="auto"/>
      </w:divBdr>
    </w:div>
    <w:div w:id="20575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vnsw.org.au/wp-content/uploads/2020/11/DFV-Practice-Guidelines-1.pdf" TargetMode="External"/><Relationship Id="rId18" Type="http://schemas.openxmlformats.org/officeDocument/2006/relationships/hyperlink" Target="https://www.unfpa.org/sites/default/files/pub-pdf/GBVIE.Minimum.Standards.Publication.FINAL_.ENG_.pdf" TargetMode="External"/><Relationship Id="rId26" Type="http://schemas.openxmlformats.org/officeDocument/2006/relationships/hyperlink" Target="http://awava.org.au/2016/04/07/research/role-specialist-womens-services-australias-response-violence-women-children" TargetMode="External"/><Relationship Id="rId39" Type="http://schemas.openxmlformats.org/officeDocument/2006/relationships/hyperlink" Target="https://www.unwomen.org/en/what-we-do/ending-violence-against-women/facts-and-figures" TargetMode="External"/><Relationship Id="rId21" Type="http://schemas.openxmlformats.org/officeDocument/2006/relationships/hyperlink" Target="https://www.withrespect.org.au/practice-guide/" TargetMode="External"/><Relationship Id="rId34" Type="http://schemas.openxmlformats.org/officeDocument/2006/relationships/hyperlink" Target="http://dvvic.org.au/wp-content/uploads/2020/02/SUB_200131_DV-Vic_Homelessness-Inquriy_FINAL.pdf" TargetMode="External"/><Relationship Id="rId42" Type="http://schemas.openxmlformats.org/officeDocument/2006/relationships/hyperlink" Target="https://www.unhcr.org/en-au/sexual-and-gender-based-violence.html"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cwh.com.au/downloads/publications/MCWH_CommonThreads_BestPracticeGuide_WEB.pdf" TargetMode="External"/><Relationship Id="rId29" Type="http://schemas.openxmlformats.org/officeDocument/2006/relationships/hyperlink" Target="https://www.aic.gov.au/publications/sr/sr23" TargetMode="External"/><Relationship Id="rId11" Type="http://schemas.openxmlformats.org/officeDocument/2006/relationships/hyperlink" Target="https://www.anrows.org.au/publication/working-across-sectors-to-meet-the-needs-of-clients-experiencing-domestic-and-family-violence/" TargetMode="External"/><Relationship Id="rId24" Type="http://schemas.openxmlformats.org/officeDocument/2006/relationships/hyperlink" Target="https://humanrights.gov.au/our-work/childrens-rights/national-principles-child-safe-organisations" TargetMode="External"/><Relationship Id="rId32" Type="http://schemas.openxmlformats.org/officeDocument/2006/relationships/hyperlink" Target="https://www.dvnsw.org.au/wp-content/uploads/2020/11/DFV-Practice-Guidelines-1.pdf" TargetMode="External"/><Relationship Id="rId37" Type="http://schemas.openxmlformats.org/officeDocument/2006/relationships/hyperlink" Target="https://ahha.asn.au/system/files/docs/publications/20140916_deeble_institute_evidence_brief_relative_effectiveness_of_acchs.pdf" TargetMode="External"/><Relationship Id="rId40" Type="http://schemas.openxmlformats.org/officeDocument/2006/relationships/hyperlink" Target="https://www.unwomen.org/en/digital-library/publications/2015/12/essential-services-package-for-women-and-girls-subject-to-violence" TargetMode="External"/><Relationship Id="rId45" Type="http://schemas.openxmlformats.org/officeDocument/2006/relationships/hyperlink" Target="http://thewomensresourcecentre.org.uk/wp-content/uploads/whywomenonly.pdf" TargetMode="External"/><Relationship Id="rId5" Type="http://schemas.openxmlformats.org/officeDocument/2006/relationships/webSettings" Target="webSettings.xml"/><Relationship Id="rId15" Type="http://schemas.openxmlformats.org/officeDocument/2006/relationships/hyperlink" Target="https://www.vic.gov.au/maram-practice-guides-and-resources" TargetMode="External"/><Relationship Id="rId23" Type="http://schemas.openxmlformats.org/officeDocument/2006/relationships/hyperlink" Target="file:///G:/Shared%20drives/1%20AWAVA/Pam's%20folder/UNSRVAW%202012%20Web%20Version.pdf" TargetMode="External"/><Relationship Id="rId28" Type="http://schemas.openxmlformats.org/officeDocument/2006/relationships/hyperlink" Target="https://awava.org.au/2020/06/30/research-and-reports/survey-report-on-the-victims-survivors-experiences-of-seeking-help" TargetMode="External"/><Relationship Id="rId36" Type="http://schemas.openxmlformats.org/officeDocument/2006/relationships/hyperlink" Target="https://www.ohchr.org/en/issues/women/wrgs/pages/healthrights.aspx" TargetMode="External"/><Relationship Id="rId49" Type="http://schemas.openxmlformats.org/officeDocument/2006/relationships/theme" Target="theme/theme1.xml"/><Relationship Id="rId10" Type="http://schemas.openxmlformats.org/officeDocument/2006/relationships/hyperlink" Target="https://www.anrows.org.au/research-program/culturally-and-linguistically-diverse-projects-with-action-research/" TargetMode="External"/><Relationship Id="rId19" Type="http://schemas.openxmlformats.org/officeDocument/2006/relationships/hyperlink" Target="https://www.unfpa.org/minimum-standards" TargetMode="External"/><Relationship Id="rId31" Type="http://schemas.openxmlformats.org/officeDocument/2006/relationships/hyperlink" Target="http://www.coe.int/t/dg2/equality/domesticviolencecampaign/Source/EG-VAW-CONF(2007)Study%20rev.en.pdf" TargetMode="External"/><Relationship Id="rId44" Type="http://schemas.openxmlformats.org/officeDocument/2006/relationships/hyperlink" Target="https://www.withrespect.org.au/professionals/practice-guide/" TargetMode="External"/><Relationship Id="rId4" Type="http://schemas.openxmlformats.org/officeDocument/2006/relationships/settings" Target="settings.xml"/><Relationship Id="rId9" Type="http://schemas.openxmlformats.org/officeDocument/2006/relationships/hyperlink" Target="https://www.anrows.org.au/project/pathways-and-research-in-collaborative-inter-agency-working/" TargetMode="External"/><Relationship Id="rId14" Type="http://schemas.openxmlformats.org/officeDocument/2006/relationships/hyperlink" Target="http://dvvic.org.au/wp-content/uploads/2020/07/DV-Vic-Code-of-Practice-v1.0-FINAL.pdf" TargetMode="External"/><Relationship Id="rId22" Type="http://schemas.openxmlformats.org/officeDocument/2006/relationships/hyperlink" Target="https://www.anrows.org.au/publication/womens-input-into-a-trauma-informed-systems-model-of-care-in-health-settings-the-with-study-final-report/" TargetMode="External"/><Relationship Id="rId27" Type="http://schemas.openxmlformats.org/officeDocument/2006/relationships/hyperlink" Target="https://awava.org.au/wp-content/uploads/2018/11/FINAL-AWAVA-Working-Methods-5-June-2018.pdf" TargetMode="External"/><Relationship Id="rId30" Type="http://schemas.openxmlformats.org/officeDocument/2006/relationships/hyperlink" Target="https://digitallibrary.un.org/record/1641944?ln=en" TargetMode="External"/><Relationship Id="rId35" Type="http://schemas.openxmlformats.org/officeDocument/2006/relationships/hyperlink" Target="http://www.nasasv.org.au/PDFs/NASASV_Standards_2nd_Edition_2015.pdf" TargetMode="External"/><Relationship Id="rId43" Type="http://schemas.openxmlformats.org/officeDocument/2006/relationships/hyperlink" Target="http://www.dhs.vic.gov.au/__data/assets/pdf_file/0010/718858/1_family_violence_risk-assessment_risk_management_framework_manual_010612.PDF" TargetMode="External"/><Relationship Id="rId48" Type="http://schemas.openxmlformats.org/officeDocument/2006/relationships/fontTable" Target="fontTable.xml"/><Relationship Id="rId8" Type="http://schemas.openxmlformats.org/officeDocument/2006/relationships/hyperlink" Target="https://www.anrows.org.au/project/womens-input-to-a-trauma-informed-systems-model-of-care-in-health-settings/" TargetMode="External"/><Relationship Id="rId3" Type="http://schemas.openxmlformats.org/officeDocument/2006/relationships/styles" Target="styles.xml"/><Relationship Id="rId12" Type="http://schemas.openxmlformats.org/officeDocument/2006/relationships/hyperlink" Target="https://www.mcwh.com.au/wp-content/uploads/Intersectionality-Matters-Guide-2017.pdf" TargetMode="External"/><Relationship Id="rId17" Type="http://schemas.openxmlformats.org/officeDocument/2006/relationships/hyperlink" Target="https://www.unfpa.org/sites/default/files/pub-pdf/Essential-Services-Package-en.pdf" TargetMode="External"/><Relationship Id="rId25" Type="http://schemas.openxmlformats.org/officeDocument/2006/relationships/hyperlink" Target="https://www.aihw.gov.au/getmedia/d1a8d479-a39a-48c1-bbe2-4b27c7a321e0/aihw-fdv-02.pdf.aspx?inline=true" TargetMode="External"/><Relationship Id="rId33" Type="http://schemas.openxmlformats.org/officeDocument/2006/relationships/hyperlink" Target="https://www.dvnsw.org.au/wp-content/uploads/2020/11/Nov-DVNSW-Report-on-Animals-and-People-Experiencing-Domestic-and-Family-Violence.pdf" TargetMode="External"/><Relationship Id="rId38" Type="http://schemas.openxmlformats.org/officeDocument/2006/relationships/hyperlink" Target="http://www.communitydoor.org.au/sites/default/files/Right%20to%20choose%20final%20pdf%20with%20covers.pdf" TargetMode="External"/><Relationship Id="rId46" Type="http://schemas.openxmlformats.org/officeDocument/2006/relationships/footer" Target="footer1.xml"/><Relationship Id="rId20" Type="http://schemas.openxmlformats.org/officeDocument/2006/relationships/hyperlink" Target="http://rcfv.archive.royalcommission.vic.gov.au/MediaLibraries/RCFamilyViolence/Reports/Final/RCFV-Vol-II.pdf" TargetMode="External"/><Relationship Id="rId41" Type="http://schemas.openxmlformats.org/officeDocument/2006/relationships/hyperlink" Target="https://www.unfpa.org/sites/default/files/pub-pdf/19-200_Minimun_Standards_Report_ENGLISH-Nov.FINAL_.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en-au/sexual-and-gender-based-viole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D05A-64C9-496B-8E84-DA7C310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 Officer</dc:creator>
  <cp:lastModifiedBy>tina.n.dixson@gmail.com</cp:lastModifiedBy>
  <cp:revision>13</cp:revision>
  <dcterms:created xsi:type="dcterms:W3CDTF">2020-12-07T04:00:00Z</dcterms:created>
  <dcterms:modified xsi:type="dcterms:W3CDTF">2020-12-08T18:29:00Z</dcterms:modified>
</cp:coreProperties>
</file>