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61D8AD9" w14:textId="77777777" w:rsidR="00CD6498" w:rsidRPr="009A2C73" w:rsidRDefault="00527B57" w:rsidP="003308BA">
      <w:pPr>
        <w:rPr>
          <w:rFonts w:cs="Arial"/>
          <w:b/>
          <w:bCs/>
          <w:sz w:val="32"/>
          <w:szCs w:val="32"/>
        </w:rPr>
      </w:pPr>
      <w:r>
        <w:rPr>
          <w:noProof/>
          <w:sz w:val="16"/>
          <w:szCs w:val="16"/>
          <w:lang w:eastAsia="en-AU"/>
        </w:rPr>
        <mc:AlternateContent>
          <mc:Choice Requires="wps">
            <w:drawing>
              <wp:anchor distT="0" distB="0" distL="114300" distR="114300" simplePos="0" relativeHeight="251657214" behindDoc="0" locked="0" layoutInCell="1" allowOverlap="1" wp14:anchorId="7BCD7947" wp14:editId="1CD40219">
                <wp:simplePos x="0" y="0"/>
                <wp:positionH relativeFrom="column">
                  <wp:posOffset>-900430</wp:posOffset>
                </wp:positionH>
                <wp:positionV relativeFrom="paragraph">
                  <wp:posOffset>-1440180</wp:posOffset>
                </wp:positionV>
                <wp:extent cx="7560310" cy="8623300"/>
                <wp:effectExtent l="0" t="0" r="8890" b="12700"/>
                <wp:wrapNone/>
                <wp:docPr id="34" name="Rectangle 34"/>
                <wp:cNvGraphicFramePr/>
                <a:graphic xmlns:a="http://schemas.openxmlformats.org/drawingml/2006/main">
                  <a:graphicData uri="http://schemas.microsoft.com/office/word/2010/wordprocessingShape">
                    <wps:wsp>
                      <wps:cNvSpPr/>
                      <wps:spPr>
                        <a:xfrm>
                          <a:off x="0" y="0"/>
                          <a:ext cx="7560310" cy="8623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69325" id="Rectangle 34" o:spid="_x0000_s1026" style="position:absolute;margin-left:-70.9pt;margin-top:-113.4pt;width:595.3pt;height:679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" fillcolor="#5b9bd5 [3204]" strokecolor="#1f4d78 [1604]" strokeweight="1pt"/>
            </w:pict>
          </mc:Fallback>
        </mc:AlternateContent>
      </w:r>
      <w:r w:rsidR="003440BA">
        <w:rPr>
          <w:noProof/>
          <w:lang w:eastAsia="en-AU"/>
        </w:rPr>
        <mc:AlternateContent>
          <mc:Choice Requires="wps">
            <w:drawing>
              <wp:anchor distT="0" distB="0" distL="114300" distR="114300" simplePos="0" relativeHeight="251666432" behindDoc="0" locked="0" layoutInCell="1" allowOverlap="1" wp14:anchorId="3AC34BE1" wp14:editId="056C13CD">
                <wp:simplePos x="0" y="0"/>
                <wp:positionH relativeFrom="column">
                  <wp:posOffset>-113030</wp:posOffset>
                </wp:positionH>
                <wp:positionV relativeFrom="paragraph">
                  <wp:posOffset>0</wp:posOffset>
                </wp:positionV>
                <wp:extent cx="6019800" cy="4292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19800" cy="4292600"/>
                        </a:xfrm>
                        <a:prstGeom prst="rect">
                          <a:avLst/>
                        </a:prstGeom>
                        <a:noFill/>
                        <a:ln w="6350">
                          <a:noFill/>
                        </a:ln>
                      </wps:spPr>
                      <wps:txbx>
                        <w:txbxContent>
                          <w:tbl>
                            <w:tblPr>
                              <w:tblStyle w:val="TableGrid"/>
                              <w:tblW w:w="0" w:type="auto"/>
                              <w:tblLook w:val="04A0" w:firstRow="1" w:lastRow="0" w:firstColumn="1" w:lastColumn="0" w:noHBand="0" w:noVBand="1"/>
                            </w:tblPr>
                            <w:tblGrid>
                              <w:gridCol w:w="9182"/>
                            </w:tblGrid>
                            <w:tr w:rsidR="00671B6F" w:rsidRPr="003440BA" w14:paraId="24286004" w14:textId="77777777" w:rsidTr="008135CA">
                              <w:tc>
                                <w:tcPr>
                                  <w:tcW w:w="9182" w:type="dxa"/>
                                </w:tcPr>
                                <w:p w14:paraId="3F726F66" w14:textId="7482D223" w:rsidR="00671B6F" w:rsidRPr="007E5941" w:rsidRDefault="00671B6F" w:rsidP="008135CA">
                                  <w:pPr>
                                    <w:pStyle w:val="CoverTitle"/>
                                    <w:rPr>
                                      <w:rFonts w:ascii="Palatino Linotype" w:hAnsi="Palatino Linotype"/>
                                    </w:rPr>
                                  </w:pPr>
                                  <w:r w:rsidRPr="007E5941">
                                    <w:rPr>
                                      <w:rFonts w:ascii="Palatino Linotype" w:hAnsi="Palatino Linotype"/>
                                    </w:rPr>
                                    <w:t xml:space="preserve">Safe access zones </w:t>
                                  </w:r>
                                  <w:r w:rsidRPr="007E5941">
                                    <w:rPr>
                                      <w:rFonts w:ascii="Palatino Linotype" w:hAnsi="Palatino Linotype"/>
                                    </w:rPr>
                                    <w:br/>
                                    <w:t>in Australia</w:t>
                                  </w:r>
                                </w:p>
                              </w:tc>
                            </w:tr>
                            <w:tr w:rsidR="00671B6F" w:rsidRPr="003440BA" w14:paraId="35B6E79B" w14:textId="77777777" w:rsidTr="008135CA">
                              <w:tc>
                                <w:tcPr>
                                  <w:tcW w:w="9182" w:type="dxa"/>
                                </w:tcPr>
                                <w:p w14:paraId="79867156" w14:textId="4AA97D9D" w:rsidR="00671B6F" w:rsidRPr="007E5941" w:rsidRDefault="00671B6F" w:rsidP="00E96B2E">
                                  <w:pPr>
                                    <w:pStyle w:val="CoverAuthors"/>
                                    <w:rPr>
                                      <w:rFonts w:ascii="Arial" w:hAnsi="Arial" w:cs="Arial"/>
                                    </w:rPr>
                                  </w:pPr>
                                  <w:r w:rsidRPr="007E5941">
                                    <w:rPr>
                                      <w:rFonts w:ascii="Arial" w:hAnsi="Arial" w:cs="Arial"/>
                                    </w:rPr>
                                    <w:t>Legislative considerations</w:t>
                                  </w:r>
                                </w:p>
                              </w:tc>
                            </w:tr>
                          </w:tbl>
                          <w:p w14:paraId="58063D1D" w14:textId="77777777" w:rsidR="00671B6F" w:rsidRPr="00421095" w:rsidRDefault="00671B6F" w:rsidP="003440BA">
                            <w:pPr>
                              <w:rPr>
                                <w:rFonts w:ascii="Palatino" w:hAnsi="Palatino" w:cs="Arial"/>
                                <w:b/>
                                <w:bC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34BE1" id="_x0000_t202" coordsize="21600,21600" o:spt="202" path="m,l,21600r21600,l21600,xe">
                <v:stroke joinstyle="miter"/>
                <v:path gradientshapeok="t" o:connecttype="rect"/>
              </v:shapetype>
              <v:shape id="Text Box 1" o:spid="_x0000_s1026" type="#_x0000_t202" style="position:absolute;margin-left:-8.9pt;margin-top:0;width:474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" filled="f" stroked="f" strokeweight=".5pt">
                <v:textbox>
                  <w:txbxContent>
                    <w:tbl>
                      <w:tblPr>
                        <w:tblStyle w:val="TableGrid"/>
                        <w:tblW w:w="0" w:type="auto"/>
                        <w:tblLook w:val="04A0" w:firstRow="1" w:lastRow="0" w:firstColumn="1" w:lastColumn="0" w:noHBand="0" w:noVBand="1"/>
                      </w:tblPr>
                      <w:tblGrid>
                        <w:gridCol w:w="9182"/>
                      </w:tblGrid>
                      <w:tr w:rsidR="00671B6F" w:rsidRPr="003440BA" w14:paraId="24286004" w14:textId="77777777" w:rsidTr="008135CA">
                        <w:tc>
                          <w:tcPr>
                            <w:tcW w:w="9182" w:type="dxa"/>
                          </w:tcPr>
                          <w:p w14:paraId="3F726F66" w14:textId="7482D223" w:rsidR="00671B6F" w:rsidRPr="007E5941" w:rsidRDefault="00671B6F" w:rsidP="008135CA">
                            <w:pPr>
                              <w:pStyle w:val="CoverTitle"/>
                              <w:rPr>
                                <w:rFonts w:ascii="Palatino Linotype" w:hAnsi="Palatino Linotype"/>
                              </w:rPr>
                            </w:pPr>
                            <w:r w:rsidRPr="007E5941">
                              <w:rPr>
                                <w:rFonts w:ascii="Palatino Linotype" w:hAnsi="Palatino Linotype"/>
                              </w:rPr>
                              <w:t xml:space="preserve">Safe access zones </w:t>
                            </w:r>
                            <w:r w:rsidRPr="007E5941">
                              <w:rPr>
                                <w:rFonts w:ascii="Palatino Linotype" w:hAnsi="Palatino Linotype"/>
                              </w:rPr>
                              <w:br/>
                              <w:t>in Australia</w:t>
                            </w:r>
                          </w:p>
                        </w:tc>
                      </w:tr>
                      <w:tr w:rsidR="00671B6F" w:rsidRPr="003440BA" w14:paraId="35B6E79B" w14:textId="77777777" w:rsidTr="008135CA">
                        <w:tc>
                          <w:tcPr>
                            <w:tcW w:w="9182" w:type="dxa"/>
                          </w:tcPr>
                          <w:p w14:paraId="79867156" w14:textId="4AA97D9D" w:rsidR="00671B6F" w:rsidRPr="007E5941" w:rsidRDefault="00671B6F" w:rsidP="00E96B2E">
                            <w:pPr>
                              <w:pStyle w:val="CoverAuthors"/>
                              <w:rPr>
                                <w:rFonts w:ascii="Arial" w:hAnsi="Arial" w:cs="Arial"/>
                              </w:rPr>
                            </w:pPr>
                            <w:r w:rsidRPr="007E5941">
                              <w:rPr>
                                <w:rFonts w:ascii="Arial" w:hAnsi="Arial" w:cs="Arial"/>
                              </w:rPr>
                              <w:t>Legislative considerations</w:t>
                            </w:r>
                          </w:p>
                        </w:tc>
                      </w:tr>
                    </w:tbl>
                    <w:p w14:paraId="58063D1D" w14:textId="77777777" w:rsidR="00671B6F" w:rsidRPr="00421095" w:rsidRDefault="00671B6F" w:rsidP="003440BA">
                      <w:pPr>
                        <w:rPr>
                          <w:rFonts w:ascii="Palatino" w:hAnsi="Palatino" w:cs="Arial"/>
                          <w:b/>
                          <w:bCs/>
                          <w:sz w:val="72"/>
                          <w:szCs w:val="72"/>
                        </w:rPr>
                      </w:pPr>
                    </w:p>
                  </w:txbxContent>
                </v:textbox>
                <w10:wrap type="square"/>
              </v:shape>
            </w:pict>
          </mc:Fallback>
        </mc:AlternateContent>
      </w:r>
      <w:r w:rsidR="008135CA">
        <w:rPr>
          <w:rFonts w:cs="Arial"/>
          <w:b/>
          <w:bCs/>
          <w:sz w:val="32"/>
          <w:szCs w:val="32"/>
        </w:rPr>
        <w:t xml:space="preserve"> </w:t>
      </w:r>
    </w:p>
    <w:p w14:paraId="66649067" w14:textId="288F66EC" w:rsidR="00CD6498" w:rsidRPr="009A2C73" w:rsidRDefault="00CD6498" w:rsidP="003308BA">
      <w:pPr>
        <w:rPr>
          <w:rFonts w:cs="Arial"/>
          <w:b/>
          <w:bCs/>
          <w:sz w:val="32"/>
          <w:szCs w:val="32"/>
        </w:rPr>
      </w:pPr>
    </w:p>
    <w:p w14:paraId="3B04BD13" w14:textId="180750DB" w:rsidR="00CD6498" w:rsidRPr="009A2C73" w:rsidRDefault="00CD6498" w:rsidP="003308BA">
      <w:pPr>
        <w:rPr>
          <w:rFonts w:cs="Arial"/>
          <w:b/>
          <w:bCs/>
          <w:sz w:val="32"/>
          <w:szCs w:val="32"/>
        </w:rPr>
      </w:pPr>
    </w:p>
    <w:p w14:paraId="1B4E536F" w14:textId="4E903DF1" w:rsidR="00CD6498" w:rsidRPr="009A2C73" w:rsidRDefault="00536462" w:rsidP="003308BA">
      <w:pPr>
        <w:tabs>
          <w:tab w:val="left" w:pos="5630"/>
        </w:tabs>
        <w:rPr>
          <w:rFonts w:cs="Arial"/>
          <w:b/>
          <w:bCs/>
          <w:sz w:val="32"/>
          <w:szCs w:val="32"/>
        </w:rPr>
      </w:pPr>
      <w:r w:rsidRPr="009A2C73">
        <w:rPr>
          <w:rFonts w:cs="Arial"/>
          <w:b/>
          <w:bCs/>
          <w:sz w:val="32"/>
          <w:szCs w:val="32"/>
        </w:rPr>
        <w:tab/>
      </w:r>
    </w:p>
    <w:p w14:paraId="26E38AD0" w14:textId="68A15B86" w:rsidR="00CD6498" w:rsidRDefault="00CD6498" w:rsidP="003308BA">
      <w:pPr>
        <w:rPr>
          <w:rFonts w:cs="Arial"/>
          <w:b/>
          <w:bCs/>
          <w:sz w:val="32"/>
          <w:szCs w:val="32"/>
        </w:rPr>
      </w:pPr>
    </w:p>
    <w:p w14:paraId="2E0A056D" w14:textId="21BC747C" w:rsidR="002C43DC" w:rsidRPr="009A2C73" w:rsidRDefault="002C43DC" w:rsidP="003308BA">
      <w:pPr>
        <w:rPr>
          <w:rFonts w:cs="Arial"/>
          <w:b/>
          <w:bCs/>
          <w:sz w:val="32"/>
          <w:szCs w:val="32"/>
        </w:rPr>
      </w:pPr>
    </w:p>
    <w:p w14:paraId="02511DF7" w14:textId="12FCC3EA" w:rsidR="00CD6498" w:rsidRPr="009A2C73" w:rsidRDefault="00CD6498" w:rsidP="003308BA">
      <w:pPr>
        <w:rPr>
          <w:rFonts w:cs="Arial"/>
          <w:b/>
          <w:bCs/>
          <w:sz w:val="32"/>
          <w:szCs w:val="32"/>
        </w:rPr>
      </w:pPr>
    </w:p>
    <w:p w14:paraId="33D46986" w14:textId="0B605AD3" w:rsidR="00CD6498" w:rsidRPr="009A2C73" w:rsidRDefault="00CD6498" w:rsidP="003308BA">
      <w:pPr>
        <w:spacing w:after="160" w:line="259" w:lineRule="auto"/>
        <w:rPr>
          <w:rFonts w:cs="Arial"/>
          <w:b/>
          <w:bCs/>
          <w:szCs w:val="24"/>
        </w:rPr>
      </w:pPr>
      <w:r w:rsidRPr="009A2C73">
        <w:rPr>
          <w:rFonts w:cs="Arial"/>
          <w:b/>
          <w:bCs/>
          <w:szCs w:val="24"/>
        </w:rPr>
        <w:br w:type="page"/>
      </w:r>
    </w:p>
    <w:p w14:paraId="34186298" w14:textId="50AA53CE" w:rsidR="00BE08D7" w:rsidRPr="009A2C73" w:rsidRDefault="00BE08D7" w:rsidP="003308BA">
      <w:pPr>
        <w:pStyle w:val="Heading1"/>
        <w:rPr>
          <w:rFonts w:cs="Arial"/>
        </w:rPr>
      </w:pPr>
      <w:bookmarkStart w:id="0" w:name="_Toc37313697"/>
      <w:bookmarkStart w:id="1" w:name="_Toc37318292"/>
      <w:bookmarkStart w:id="2" w:name="_Toc37940528"/>
      <w:bookmarkStart w:id="3" w:name="_Toc42767794"/>
      <w:bookmarkStart w:id="4" w:name="_Toc42872955"/>
      <w:bookmarkStart w:id="5" w:name="_Toc45537392"/>
      <w:bookmarkStart w:id="6" w:name="_Toc45541000"/>
      <w:bookmarkStart w:id="7" w:name="_Toc46222493"/>
      <w:bookmarkStart w:id="8" w:name="_Toc46223061"/>
      <w:bookmarkStart w:id="9" w:name="_Toc46225013"/>
      <w:bookmarkStart w:id="10" w:name="_Toc46418775"/>
      <w:bookmarkStart w:id="11" w:name="_Toc49267148"/>
      <w:bookmarkStart w:id="12" w:name="_Toc49327899"/>
      <w:bookmarkStart w:id="13" w:name="_Toc49943528"/>
      <w:bookmarkStart w:id="14" w:name="_Toc49947615"/>
      <w:r w:rsidRPr="009A2C73">
        <w:rPr>
          <w:rFonts w:cs="Arial"/>
        </w:rPr>
        <w:lastRenderedPageBreak/>
        <w:t>Acknowledgement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68B2196" w14:textId="77777777" w:rsidR="00DD5E95" w:rsidRPr="009A2C73" w:rsidRDefault="00BE08D7" w:rsidP="003308BA">
      <w:pPr>
        <w:rPr>
          <w:rFonts w:cs="Arial"/>
          <w:iCs/>
          <w:szCs w:val="24"/>
          <w:lang w:eastAsia="en-AU"/>
        </w:rPr>
      </w:pPr>
      <w:r w:rsidRPr="009A2C73">
        <w:rPr>
          <w:rFonts w:cs="Arial"/>
          <w:iCs/>
          <w:szCs w:val="24"/>
          <w:lang w:eastAsia="en-AU"/>
        </w:rPr>
        <w:t>Marie Stopes Australia acknowledges the Traditional Owners and Custodians of the land on which we live and work. We pay our respects to Aboriginal and Torres Strait Islander Elders past</w:t>
      </w:r>
      <w:r w:rsidR="000E7D87" w:rsidRPr="009A2C73">
        <w:rPr>
          <w:rFonts w:cs="Arial"/>
          <w:iCs/>
          <w:szCs w:val="24"/>
          <w:lang w:eastAsia="en-AU"/>
        </w:rPr>
        <w:t xml:space="preserve">, </w:t>
      </w:r>
      <w:r w:rsidRPr="009A2C73">
        <w:rPr>
          <w:rFonts w:cs="Arial"/>
          <w:iCs/>
          <w:szCs w:val="24"/>
          <w:lang w:eastAsia="en-AU"/>
        </w:rPr>
        <w:t>present</w:t>
      </w:r>
      <w:r w:rsidR="000E7D87" w:rsidRPr="009A2C73">
        <w:rPr>
          <w:rFonts w:cs="Arial"/>
          <w:iCs/>
          <w:szCs w:val="24"/>
          <w:lang w:eastAsia="en-AU"/>
        </w:rPr>
        <w:t xml:space="preserve"> and emerging</w:t>
      </w:r>
      <w:r w:rsidRPr="009A2C73">
        <w:rPr>
          <w:rFonts w:cs="Arial"/>
          <w:iCs/>
          <w:szCs w:val="24"/>
          <w:lang w:eastAsia="en-AU"/>
        </w:rPr>
        <w:t>. We also acknowledge the enduring connection to their Traditional estates across Australia and to the ongoing passion, responsibility and commitment for their lands, waters, seas, flora and fauna as Traditional Owners and Custodians.</w:t>
      </w:r>
    </w:p>
    <w:p w14:paraId="42942C18" w14:textId="77777777" w:rsidR="00265BDB" w:rsidRPr="009A2C73" w:rsidRDefault="00265BDB" w:rsidP="003308BA">
      <w:pPr>
        <w:rPr>
          <w:rFonts w:cs="Arial"/>
          <w:iCs/>
          <w:szCs w:val="24"/>
          <w:lang w:eastAsia="en-AU"/>
        </w:rPr>
      </w:pPr>
    </w:p>
    <w:p w14:paraId="496C5BD3" w14:textId="77777777" w:rsidR="00BE08D7" w:rsidRPr="009A2C73" w:rsidRDefault="00DD5E95" w:rsidP="0077231D">
      <w:pPr>
        <w:pStyle w:val="Heading1"/>
        <w:rPr>
          <w:rFonts w:cs="Arial"/>
        </w:rPr>
      </w:pPr>
      <w:bookmarkStart w:id="15" w:name="_Toc37313698"/>
      <w:bookmarkStart w:id="16" w:name="_Toc37318293"/>
      <w:bookmarkStart w:id="17" w:name="_Toc37940529"/>
      <w:bookmarkStart w:id="18" w:name="_Toc42767795"/>
      <w:bookmarkStart w:id="19" w:name="_Toc42872956"/>
      <w:bookmarkStart w:id="20" w:name="_Toc45537393"/>
      <w:bookmarkStart w:id="21" w:name="_Toc45541001"/>
      <w:bookmarkStart w:id="22" w:name="_Toc46222494"/>
      <w:bookmarkStart w:id="23" w:name="_Toc46223062"/>
      <w:bookmarkStart w:id="24" w:name="_Toc46225014"/>
      <w:bookmarkStart w:id="25" w:name="_Toc46418776"/>
      <w:bookmarkStart w:id="26" w:name="_Toc49267149"/>
      <w:bookmarkStart w:id="27" w:name="_Toc49327900"/>
      <w:bookmarkStart w:id="28" w:name="_Toc49943529"/>
      <w:bookmarkStart w:id="29" w:name="_Toc49947616"/>
      <w:r w:rsidRPr="009A2C73">
        <w:rPr>
          <w:rFonts w:cs="Arial"/>
        </w:rPr>
        <w:t>Publication details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701C9B4" w14:textId="7370C2ED" w:rsidR="00BE08D7" w:rsidRPr="00071E5A" w:rsidRDefault="00DD5E95" w:rsidP="00071E5A">
      <w:pPr>
        <w:pStyle w:val="Default"/>
        <w:spacing w:after="120" w:line="276" w:lineRule="auto"/>
        <w:rPr>
          <w:color w:val="auto"/>
        </w:rPr>
      </w:pPr>
      <w:r w:rsidRPr="009A2C73">
        <w:rPr>
          <w:color w:val="auto"/>
        </w:rPr>
        <w:t>Published by</w:t>
      </w:r>
      <w:r w:rsidR="00071E5A">
        <w:rPr>
          <w:color w:val="auto"/>
        </w:rPr>
        <w:br/>
      </w:r>
      <w:r w:rsidR="00BE08D7" w:rsidRPr="009A2C73">
        <w:rPr>
          <w:color w:val="auto"/>
        </w:rPr>
        <w:t xml:space="preserve">Marie Stopes Australia (Marie Stopes International) </w:t>
      </w:r>
      <w:r w:rsidR="00071E5A">
        <w:rPr>
          <w:color w:val="auto"/>
        </w:rPr>
        <w:br/>
      </w:r>
      <w:r w:rsidR="00BE08D7" w:rsidRPr="009A2C73">
        <w:t>GPO Box 1635, Melbourne VIC, 3001</w:t>
      </w:r>
    </w:p>
    <w:p w14:paraId="3843FCC8" w14:textId="77777777" w:rsidR="00DD5E95" w:rsidRPr="009A2C73" w:rsidRDefault="00DD5E95" w:rsidP="003308BA">
      <w:pPr>
        <w:pStyle w:val="Default"/>
        <w:spacing w:after="120" w:line="276" w:lineRule="auto"/>
        <w:rPr>
          <w:color w:val="auto"/>
        </w:rPr>
      </w:pPr>
      <w:r w:rsidRPr="009A2C73">
        <w:rPr>
          <w:color w:val="auto"/>
        </w:rPr>
        <w:t>© Marie Stopes Australia 2020</w:t>
      </w:r>
    </w:p>
    <w:p w14:paraId="23455D99" w14:textId="77777777" w:rsidR="00265BDB" w:rsidRPr="009A2C73" w:rsidRDefault="00265BDB" w:rsidP="003308BA">
      <w:pPr>
        <w:rPr>
          <w:rFonts w:cs="Arial"/>
          <w:szCs w:val="24"/>
        </w:rPr>
      </w:pPr>
    </w:p>
    <w:p w14:paraId="3724815D" w14:textId="77777777" w:rsidR="004F160C" w:rsidRPr="00451DE4" w:rsidRDefault="00451DE4" w:rsidP="003308BA">
      <w:pPr>
        <w:pStyle w:val="Heading1"/>
      </w:pPr>
      <w:bookmarkStart w:id="30" w:name="_Toc49267150"/>
      <w:bookmarkStart w:id="31" w:name="_Toc49327901"/>
      <w:bookmarkStart w:id="32" w:name="_Toc49943530"/>
      <w:bookmarkStart w:id="33" w:name="_Toc49947617"/>
      <w:r w:rsidRPr="00451DE4">
        <w:t>Disclaimer</w:t>
      </w:r>
      <w:bookmarkEnd w:id="30"/>
      <w:bookmarkEnd w:id="31"/>
      <w:bookmarkEnd w:id="32"/>
      <w:bookmarkEnd w:id="33"/>
    </w:p>
    <w:p w14:paraId="0E838AE7" w14:textId="77777777" w:rsidR="00451DE4" w:rsidRPr="00451DE4" w:rsidRDefault="00451DE4" w:rsidP="003308BA">
      <w:pPr>
        <w:pStyle w:val="BodyText"/>
        <w:spacing w:line="240" w:lineRule="auto"/>
        <w:rPr>
          <w:rFonts w:ascii="Arial" w:hAnsi="Arial" w:cs="Arial"/>
          <w:sz w:val="24"/>
          <w:szCs w:val="24"/>
        </w:rPr>
      </w:pPr>
      <w:r w:rsidRPr="00451DE4">
        <w:rPr>
          <w:rFonts w:ascii="Arial" w:hAnsi="Arial" w:cs="Arial"/>
          <w:color w:val="303030"/>
          <w:sz w:val="24"/>
          <w:szCs w:val="24"/>
          <w:shd w:val="clear" w:color="auto" w:fill="FFFFFF"/>
        </w:rPr>
        <w:t xml:space="preserve">The paper is intended to give general information about the law.  It has been prepared by law students and the content </w:t>
      </w:r>
      <w:r w:rsidRPr="0078106C">
        <w:rPr>
          <w:rStyle w:val="Strong"/>
          <w:rFonts w:ascii="Arial" w:hAnsi="Arial" w:cs="Arial"/>
          <w:b w:val="0"/>
          <w:color w:val="303030"/>
          <w:sz w:val="24"/>
          <w:szCs w:val="24"/>
          <w:bdr w:val="none" w:sz="0" w:space="0" w:color="auto" w:frame="1"/>
          <w:shd w:val="clear" w:color="auto" w:fill="FFFFFF"/>
        </w:rPr>
        <w:t>does not, and cannot, constitute legal advice</w:t>
      </w:r>
      <w:r w:rsidRPr="00451DE4">
        <w:rPr>
          <w:rFonts w:ascii="Arial" w:hAnsi="Arial" w:cs="Arial"/>
          <w:color w:val="303030"/>
          <w:sz w:val="24"/>
          <w:szCs w:val="24"/>
          <w:shd w:val="clear" w:color="auto" w:fill="FFFFFF"/>
        </w:rPr>
        <w:t xml:space="preserve">. To the maximum extent permitted by law, </w:t>
      </w:r>
      <w:r>
        <w:rPr>
          <w:rFonts w:ascii="Arial" w:hAnsi="Arial" w:cs="Arial"/>
          <w:color w:val="303030"/>
          <w:sz w:val="24"/>
          <w:szCs w:val="24"/>
          <w:shd w:val="clear" w:color="auto" w:fill="FFFFFF"/>
        </w:rPr>
        <w:t>Marie Stopes Australia</w:t>
      </w:r>
      <w:r w:rsidRPr="00451DE4">
        <w:rPr>
          <w:rFonts w:ascii="Arial" w:hAnsi="Arial" w:cs="Arial"/>
          <w:color w:val="303030"/>
          <w:sz w:val="24"/>
          <w:szCs w:val="24"/>
          <w:shd w:val="clear" w:color="auto" w:fill="FFFFFF"/>
        </w:rPr>
        <w:t xml:space="preserve"> and </w:t>
      </w:r>
      <w:r>
        <w:rPr>
          <w:rFonts w:ascii="Arial" w:hAnsi="Arial" w:cs="Arial"/>
          <w:color w:val="303030"/>
          <w:sz w:val="24"/>
          <w:szCs w:val="24"/>
          <w:shd w:val="clear" w:color="auto" w:fill="FFFFFF"/>
        </w:rPr>
        <w:t>all other</w:t>
      </w:r>
      <w:r w:rsidRPr="00451DE4">
        <w:rPr>
          <w:rFonts w:ascii="Arial" w:hAnsi="Arial" w:cs="Arial"/>
          <w:color w:val="303030"/>
          <w:sz w:val="24"/>
          <w:szCs w:val="24"/>
          <w:shd w:val="clear" w:color="auto" w:fill="FFFFFF"/>
        </w:rPr>
        <w:t xml:space="preserve"> contributors to this paper are not responsible for, and do not accept any liability for, any loss, damage or injury, financial or otherwise, suffered by any person acting or relying on information contained in or omitted from this paper.</w:t>
      </w:r>
      <w:r w:rsidRPr="00451DE4">
        <w:rPr>
          <w:rFonts w:ascii="Arial" w:hAnsi="Arial" w:cs="Arial"/>
          <w:sz w:val="24"/>
          <w:szCs w:val="24"/>
        </w:rPr>
        <w:t xml:space="preserve">  </w:t>
      </w:r>
    </w:p>
    <w:p w14:paraId="677489A5" w14:textId="74C60967" w:rsidR="00BE08D7" w:rsidRPr="00451DE4" w:rsidRDefault="00451DE4" w:rsidP="003308BA">
      <w:pPr>
        <w:pStyle w:val="Default"/>
        <w:spacing w:after="120" w:line="276" w:lineRule="auto"/>
        <w:rPr>
          <w:color w:val="auto"/>
        </w:rPr>
      </w:pPr>
      <w:r>
        <w:rPr>
          <w:color w:val="303030"/>
          <w:shd w:val="clear" w:color="auto" w:fill="FFFFFF"/>
        </w:rPr>
        <w:t>Marie Stopes Australia</w:t>
      </w:r>
      <w:r w:rsidRPr="00451DE4">
        <w:rPr>
          <w:color w:val="303030"/>
          <w:shd w:val="clear" w:color="auto" w:fill="FFFFFF"/>
        </w:rPr>
        <w:t xml:space="preserve"> </w:t>
      </w:r>
      <w:r w:rsidRPr="00451DE4">
        <w:t>make no claims, guarantees or warranties about the accuracy, completeness, timeliness, quality or suitability for a particular use of this information. It is the responsibility of the user to verify the accuracy, completeness, timeliness, quality or suitability for a particular use of this information.</w:t>
      </w:r>
    </w:p>
    <w:p w14:paraId="7CD174F3" w14:textId="77777777" w:rsidR="00BE08D7" w:rsidRPr="00071E5A" w:rsidRDefault="006F2899" w:rsidP="00071E5A">
      <w:pPr>
        <w:pStyle w:val="Footer"/>
      </w:pPr>
      <w:r w:rsidRPr="00451DE4">
        <w:br w:type="page"/>
      </w:r>
    </w:p>
    <w:sdt>
      <w:sdtPr>
        <w:rPr>
          <w:rFonts w:ascii="Arial" w:eastAsiaTheme="minorHAnsi" w:hAnsi="Arial" w:cs="Arial"/>
          <w:b/>
          <w:color w:val="auto"/>
          <w:sz w:val="24"/>
          <w:szCs w:val="22"/>
          <w:lang w:val="en-AU"/>
        </w:rPr>
        <w:id w:val="598380118"/>
        <w:docPartObj>
          <w:docPartGallery w:val="Table of Contents"/>
          <w:docPartUnique/>
        </w:docPartObj>
      </w:sdtPr>
      <w:sdtEndPr>
        <w:rPr>
          <w:bCs/>
          <w:noProof/>
        </w:rPr>
      </w:sdtEndPr>
      <w:sdtContent>
        <w:p w14:paraId="0A8091B5" w14:textId="77777777" w:rsidR="00BE08D7" w:rsidRPr="009A2C73" w:rsidRDefault="00BE08D7" w:rsidP="003308BA">
          <w:pPr>
            <w:pStyle w:val="TOCHeading"/>
            <w:rPr>
              <w:rFonts w:ascii="Arial" w:hAnsi="Arial" w:cs="Arial"/>
              <w:b/>
              <w:color w:val="auto"/>
            </w:rPr>
          </w:pPr>
          <w:r w:rsidRPr="009A2C73">
            <w:rPr>
              <w:rFonts w:ascii="Arial" w:hAnsi="Arial" w:cs="Arial"/>
              <w:b/>
              <w:color w:val="auto"/>
            </w:rPr>
            <w:t>Contents</w:t>
          </w:r>
        </w:p>
        <w:p w14:paraId="0FC495B2" w14:textId="63B7D7C8" w:rsidR="00B410CD" w:rsidRDefault="00BE08D7">
          <w:pPr>
            <w:pStyle w:val="TOC1"/>
            <w:rPr>
              <w:rFonts w:asciiTheme="minorHAnsi" w:eastAsiaTheme="minorEastAsia" w:hAnsiTheme="minorHAnsi"/>
              <w:b w:val="0"/>
              <w:sz w:val="22"/>
              <w:lang w:eastAsia="en-AU"/>
            </w:rPr>
          </w:pPr>
          <w:r w:rsidRPr="009A2C73">
            <w:rPr>
              <w:rFonts w:cs="Arial"/>
            </w:rPr>
            <w:fldChar w:fldCharType="begin"/>
          </w:r>
          <w:r w:rsidRPr="009A2C73">
            <w:rPr>
              <w:rFonts w:cs="Arial"/>
            </w:rPr>
            <w:instrText xml:space="preserve"> TOC \o "1-3" \h \z \u </w:instrText>
          </w:r>
          <w:r w:rsidRPr="009A2C73">
            <w:rPr>
              <w:rFonts w:cs="Arial"/>
            </w:rPr>
            <w:fldChar w:fldCharType="separate"/>
          </w:r>
          <w:hyperlink w:anchor="_Toc49947618" w:history="1">
            <w:r w:rsidR="00B410CD" w:rsidRPr="00874FC3">
              <w:rPr>
                <w:rStyle w:val="Hyperlink"/>
                <w:rFonts w:cs="Arial"/>
              </w:rPr>
              <w:t>1. Forewords</w:t>
            </w:r>
            <w:r w:rsidR="00B410CD">
              <w:rPr>
                <w:webHidden/>
              </w:rPr>
              <w:tab/>
            </w:r>
            <w:r w:rsidR="00B410CD">
              <w:rPr>
                <w:webHidden/>
              </w:rPr>
              <w:fldChar w:fldCharType="begin"/>
            </w:r>
            <w:r w:rsidR="00B410CD">
              <w:rPr>
                <w:webHidden/>
              </w:rPr>
              <w:instrText xml:space="preserve"> PAGEREF _Toc49947618 \h </w:instrText>
            </w:r>
            <w:r w:rsidR="00B410CD">
              <w:rPr>
                <w:webHidden/>
              </w:rPr>
            </w:r>
            <w:r w:rsidR="00B410CD">
              <w:rPr>
                <w:webHidden/>
              </w:rPr>
              <w:fldChar w:fldCharType="separate"/>
            </w:r>
            <w:r w:rsidR="00020591">
              <w:rPr>
                <w:webHidden/>
              </w:rPr>
              <w:t>4</w:t>
            </w:r>
            <w:r w:rsidR="00B410CD">
              <w:rPr>
                <w:webHidden/>
              </w:rPr>
              <w:fldChar w:fldCharType="end"/>
            </w:r>
          </w:hyperlink>
        </w:p>
        <w:p w14:paraId="03AF7694" w14:textId="0FB3C8D1" w:rsidR="00B410CD" w:rsidRDefault="002C61EE">
          <w:pPr>
            <w:pStyle w:val="TOC1"/>
            <w:rPr>
              <w:rFonts w:asciiTheme="minorHAnsi" w:eastAsiaTheme="minorEastAsia" w:hAnsiTheme="minorHAnsi"/>
              <w:b w:val="0"/>
              <w:sz w:val="22"/>
              <w:lang w:eastAsia="en-AU"/>
            </w:rPr>
          </w:pPr>
          <w:hyperlink w:anchor="_Toc49947619" w:history="1">
            <w:r w:rsidR="00B410CD" w:rsidRPr="00874FC3">
              <w:rPr>
                <w:rStyle w:val="Hyperlink"/>
                <w:rFonts w:cs="Arial"/>
              </w:rPr>
              <w:t>2. Executive Summary</w:t>
            </w:r>
            <w:r w:rsidR="00B410CD">
              <w:rPr>
                <w:webHidden/>
              </w:rPr>
              <w:tab/>
            </w:r>
            <w:r w:rsidR="00B410CD">
              <w:rPr>
                <w:webHidden/>
              </w:rPr>
              <w:fldChar w:fldCharType="begin"/>
            </w:r>
            <w:r w:rsidR="00B410CD">
              <w:rPr>
                <w:webHidden/>
              </w:rPr>
              <w:instrText xml:space="preserve"> PAGEREF _Toc49947619 \h </w:instrText>
            </w:r>
            <w:r w:rsidR="00B410CD">
              <w:rPr>
                <w:webHidden/>
              </w:rPr>
            </w:r>
            <w:r w:rsidR="00B410CD">
              <w:rPr>
                <w:webHidden/>
              </w:rPr>
              <w:fldChar w:fldCharType="separate"/>
            </w:r>
            <w:r w:rsidR="00020591">
              <w:rPr>
                <w:webHidden/>
              </w:rPr>
              <w:t>9</w:t>
            </w:r>
            <w:r w:rsidR="00B410CD">
              <w:rPr>
                <w:webHidden/>
              </w:rPr>
              <w:fldChar w:fldCharType="end"/>
            </w:r>
          </w:hyperlink>
        </w:p>
        <w:p w14:paraId="7D64C5FB" w14:textId="4B03EA71" w:rsidR="00B410CD" w:rsidRDefault="002C61EE">
          <w:pPr>
            <w:pStyle w:val="TOC1"/>
            <w:rPr>
              <w:rFonts w:asciiTheme="minorHAnsi" w:eastAsiaTheme="minorEastAsia" w:hAnsiTheme="minorHAnsi"/>
              <w:b w:val="0"/>
              <w:sz w:val="22"/>
              <w:lang w:eastAsia="en-AU"/>
            </w:rPr>
          </w:pPr>
          <w:hyperlink w:anchor="_Toc49947620" w:history="1">
            <w:r w:rsidR="00B410CD" w:rsidRPr="00874FC3">
              <w:rPr>
                <w:rStyle w:val="Hyperlink"/>
              </w:rPr>
              <w:t>3. Background</w:t>
            </w:r>
            <w:r w:rsidR="00B410CD">
              <w:rPr>
                <w:webHidden/>
              </w:rPr>
              <w:tab/>
            </w:r>
            <w:r w:rsidR="00B410CD">
              <w:rPr>
                <w:webHidden/>
              </w:rPr>
              <w:fldChar w:fldCharType="begin"/>
            </w:r>
            <w:r w:rsidR="00B410CD">
              <w:rPr>
                <w:webHidden/>
              </w:rPr>
              <w:instrText xml:space="preserve"> PAGEREF _Toc49947620 \h </w:instrText>
            </w:r>
            <w:r w:rsidR="00B410CD">
              <w:rPr>
                <w:webHidden/>
              </w:rPr>
            </w:r>
            <w:r w:rsidR="00B410CD">
              <w:rPr>
                <w:webHidden/>
              </w:rPr>
              <w:fldChar w:fldCharType="separate"/>
            </w:r>
            <w:r w:rsidR="00020591">
              <w:rPr>
                <w:webHidden/>
              </w:rPr>
              <w:t>10</w:t>
            </w:r>
            <w:r w:rsidR="00B410CD">
              <w:rPr>
                <w:webHidden/>
              </w:rPr>
              <w:fldChar w:fldCharType="end"/>
            </w:r>
          </w:hyperlink>
        </w:p>
        <w:p w14:paraId="1E0C338F" w14:textId="4079DF05" w:rsidR="00B410CD" w:rsidRDefault="002C61EE">
          <w:pPr>
            <w:pStyle w:val="TOC2"/>
            <w:tabs>
              <w:tab w:val="right" w:leader="dot" w:pos="9060"/>
            </w:tabs>
            <w:rPr>
              <w:rFonts w:asciiTheme="minorHAnsi" w:eastAsiaTheme="minorEastAsia" w:hAnsiTheme="minorHAnsi"/>
              <w:noProof/>
              <w:sz w:val="22"/>
              <w:lang w:eastAsia="en-AU"/>
            </w:rPr>
          </w:pPr>
          <w:hyperlink w:anchor="_Toc49947621" w:history="1">
            <w:r w:rsidR="00B410CD" w:rsidRPr="00874FC3">
              <w:rPr>
                <w:rStyle w:val="Hyperlink"/>
                <w:noProof/>
              </w:rPr>
              <w:t>3.1 University of Queensland Pro Bono Centre</w:t>
            </w:r>
            <w:r w:rsidR="00B410CD">
              <w:rPr>
                <w:noProof/>
                <w:webHidden/>
              </w:rPr>
              <w:tab/>
            </w:r>
            <w:r w:rsidR="00B410CD">
              <w:rPr>
                <w:noProof/>
                <w:webHidden/>
              </w:rPr>
              <w:fldChar w:fldCharType="begin"/>
            </w:r>
            <w:r w:rsidR="00B410CD">
              <w:rPr>
                <w:noProof/>
                <w:webHidden/>
              </w:rPr>
              <w:instrText xml:space="preserve"> PAGEREF _Toc49947621 \h </w:instrText>
            </w:r>
            <w:r w:rsidR="00B410CD">
              <w:rPr>
                <w:noProof/>
                <w:webHidden/>
              </w:rPr>
            </w:r>
            <w:r w:rsidR="00B410CD">
              <w:rPr>
                <w:noProof/>
                <w:webHidden/>
              </w:rPr>
              <w:fldChar w:fldCharType="separate"/>
            </w:r>
            <w:r w:rsidR="00020591">
              <w:rPr>
                <w:noProof/>
                <w:webHidden/>
              </w:rPr>
              <w:t>10</w:t>
            </w:r>
            <w:r w:rsidR="00B410CD">
              <w:rPr>
                <w:noProof/>
                <w:webHidden/>
              </w:rPr>
              <w:fldChar w:fldCharType="end"/>
            </w:r>
          </w:hyperlink>
        </w:p>
        <w:p w14:paraId="5522B4B6" w14:textId="6ACCD0FB" w:rsidR="00B410CD" w:rsidRDefault="002C61EE">
          <w:pPr>
            <w:pStyle w:val="TOC2"/>
            <w:tabs>
              <w:tab w:val="right" w:leader="dot" w:pos="9060"/>
            </w:tabs>
            <w:rPr>
              <w:rFonts w:asciiTheme="minorHAnsi" w:eastAsiaTheme="minorEastAsia" w:hAnsiTheme="minorHAnsi"/>
              <w:noProof/>
              <w:sz w:val="22"/>
              <w:lang w:eastAsia="en-AU"/>
            </w:rPr>
          </w:pPr>
          <w:hyperlink w:anchor="_Toc49947622" w:history="1">
            <w:r w:rsidR="00B410CD" w:rsidRPr="00874FC3">
              <w:rPr>
                <w:rStyle w:val="Hyperlink"/>
                <w:noProof/>
              </w:rPr>
              <w:t>3.2 Australian Women Against Violence Alliance</w:t>
            </w:r>
            <w:r w:rsidR="00B410CD">
              <w:rPr>
                <w:noProof/>
                <w:webHidden/>
              </w:rPr>
              <w:tab/>
            </w:r>
            <w:r w:rsidR="00B410CD">
              <w:rPr>
                <w:noProof/>
                <w:webHidden/>
              </w:rPr>
              <w:fldChar w:fldCharType="begin"/>
            </w:r>
            <w:r w:rsidR="00B410CD">
              <w:rPr>
                <w:noProof/>
                <w:webHidden/>
              </w:rPr>
              <w:instrText xml:space="preserve"> PAGEREF _Toc49947622 \h </w:instrText>
            </w:r>
            <w:r w:rsidR="00B410CD">
              <w:rPr>
                <w:noProof/>
                <w:webHidden/>
              </w:rPr>
            </w:r>
            <w:r w:rsidR="00B410CD">
              <w:rPr>
                <w:noProof/>
                <w:webHidden/>
              </w:rPr>
              <w:fldChar w:fldCharType="separate"/>
            </w:r>
            <w:r w:rsidR="00020591">
              <w:rPr>
                <w:noProof/>
                <w:webHidden/>
              </w:rPr>
              <w:t>11</w:t>
            </w:r>
            <w:r w:rsidR="00B410CD">
              <w:rPr>
                <w:noProof/>
                <w:webHidden/>
              </w:rPr>
              <w:fldChar w:fldCharType="end"/>
            </w:r>
          </w:hyperlink>
        </w:p>
        <w:p w14:paraId="2F7B9A10" w14:textId="3EEFCEF0" w:rsidR="00B410CD" w:rsidRDefault="002C61EE">
          <w:pPr>
            <w:pStyle w:val="TOC2"/>
            <w:tabs>
              <w:tab w:val="right" w:leader="dot" w:pos="9060"/>
            </w:tabs>
            <w:rPr>
              <w:rFonts w:asciiTheme="minorHAnsi" w:eastAsiaTheme="minorEastAsia" w:hAnsiTheme="minorHAnsi"/>
              <w:noProof/>
              <w:sz w:val="22"/>
              <w:lang w:eastAsia="en-AU"/>
            </w:rPr>
          </w:pPr>
          <w:hyperlink w:anchor="_Toc49947623" w:history="1">
            <w:r w:rsidR="00B410CD" w:rsidRPr="00874FC3">
              <w:rPr>
                <w:rStyle w:val="Hyperlink"/>
                <w:noProof/>
              </w:rPr>
              <w:t>3.3 Marie Stopes Australia</w:t>
            </w:r>
            <w:r w:rsidR="00B410CD">
              <w:rPr>
                <w:noProof/>
                <w:webHidden/>
              </w:rPr>
              <w:tab/>
            </w:r>
            <w:r w:rsidR="00B410CD">
              <w:rPr>
                <w:noProof/>
                <w:webHidden/>
              </w:rPr>
              <w:fldChar w:fldCharType="begin"/>
            </w:r>
            <w:r w:rsidR="00B410CD">
              <w:rPr>
                <w:noProof/>
                <w:webHidden/>
              </w:rPr>
              <w:instrText xml:space="preserve"> PAGEREF _Toc49947623 \h </w:instrText>
            </w:r>
            <w:r w:rsidR="00B410CD">
              <w:rPr>
                <w:noProof/>
                <w:webHidden/>
              </w:rPr>
            </w:r>
            <w:r w:rsidR="00B410CD">
              <w:rPr>
                <w:noProof/>
                <w:webHidden/>
              </w:rPr>
              <w:fldChar w:fldCharType="separate"/>
            </w:r>
            <w:r w:rsidR="00020591">
              <w:rPr>
                <w:noProof/>
                <w:webHidden/>
              </w:rPr>
              <w:t>11</w:t>
            </w:r>
            <w:r w:rsidR="00B410CD">
              <w:rPr>
                <w:noProof/>
                <w:webHidden/>
              </w:rPr>
              <w:fldChar w:fldCharType="end"/>
            </w:r>
          </w:hyperlink>
        </w:p>
        <w:p w14:paraId="33D21987" w14:textId="621A6A1E" w:rsidR="00B410CD" w:rsidRDefault="002C61EE">
          <w:pPr>
            <w:pStyle w:val="TOC1"/>
            <w:rPr>
              <w:rFonts w:asciiTheme="minorHAnsi" w:eastAsiaTheme="minorEastAsia" w:hAnsiTheme="minorHAnsi"/>
              <w:b w:val="0"/>
              <w:sz w:val="22"/>
              <w:lang w:eastAsia="en-AU"/>
            </w:rPr>
          </w:pPr>
          <w:hyperlink w:anchor="_Toc49947624" w:history="1">
            <w:r w:rsidR="00B410CD" w:rsidRPr="00874FC3">
              <w:rPr>
                <w:rStyle w:val="Hyperlink"/>
                <w:rFonts w:cs="Arial"/>
              </w:rPr>
              <w:t>4. Existing Safe Access Zone Legislation</w:t>
            </w:r>
            <w:r w:rsidR="00B410CD">
              <w:rPr>
                <w:webHidden/>
              </w:rPr>
              <w:tab/>
            </w:r>
            <w:r w:rsidR="00B410CD">
              <w:rPr>
                <w:webHidden/>
              </w:rPr>
              <w:fldChar w:fldCharType="begin"/>
            </w:r>
            <w:r w:rsidR="00B410CD">
              <w:rPr>
                <w:webHidden/>
              </w:rPr>
              <w:instrText xml:space="preserve"> PAGEREF _Toc49947624 \h </w:instrText>
            </w:r>
            <w:r w:rsidR="00B410CD">
              <w:rPr>
                <w:webHidden/>
              </w:rPr>
            </w:r>
            <w:r w:rsidR="00B410CD">
              <w:rPr>
                <w:webHidden/>
              </w:rPr>
              <w:fldChar w:fldCharType="separate"/>
            </w:r>
            <w:r w:rsidR="00020591">
              <w:rPr>
                <w:webHidden/>
              </w:rPr>
              <w:t>12</w:t>
            </w:r>
            <w:r w:rsidR="00B410CD">
              <w:rPr>
                <w:webHidden/>
              </w:rPr>
              <w:fldChar w:fldCharType="end"/>
            </w:r>
          </w:hyperlink>
        </w:p>
        <w:p w14:paraId="1E2A0EFC" w14:textId="24C6C552" w:rsidR="00B410CD" w:rsidRDefault="002C61EE">
          <w:pPr>
            <w:pStyle w:val="TOC2"/>
            <w:tabs>
              <w:tab w:val="right" w:leader="dot" w:pos="9060"/>
            </w:tabs>
            <w:rPr>
              <w:rFonts w:asciiTheme="minorHAnsi" w:eastAsiaTheme="minorEastAsia" w:hAnsiTheme="minorHAnsi"/>
              <w:noProof/>
              <w:sz w:val="22"/>
              <w:lang w:eastAsia="en-AU"/>
            </w:rPr>
          </w:pPr>
          <w:hyperlink w:anchor="_Toc49947625" w:history="1">
            <w:r w:rsidR="00B410CD" w:rsidRPr="00874FC3">
              <w:rPr>
                <w:rStyle w:val="Hyperlink"/>
                <w:noProof/>
              </w:rPr>
              <w:t>4.1 Queensland</w:t>
            </w:r>
            <w:r w:rsidR="00B410CD">
              <w:rPr>
                <w:noProof/>
                <w:webHidden/>
              </w:rPr>
              <w:tab/>
            </w:r>
            <w:r w:rsidR="00B410CD">
              <w:rPr>
                <w:noProof/>
                <w:webHidden/>
              </w:rPr>
              <w:fldChar w:fldCharType="begin"/>
            </w:r>
            <w:r w:rsidR="00B410CD">
              <w:rPr>
                <w:noProof/>
                <w:webHidden/>
              </w:rPr>
              <w:instrText xml:space="preserve"> PAGEREF _Toc49947625 \h </w:instrText>
            </w:r>
            <w:r w:rsidR="00B410CD">
              <w:rPr>
                <w:noProof/>
                <w:webHidden/>
              </w:rPr>
            </w:r>
            <w:r w:rsidR="00B410CD">
              <w:rPr>
                <w:noProof/>
                <w:webHidden/>
              </w:rPr>
              <w:fldChar w:fldCharType="separate"/>
            </w:r>
            <w:r w:rsidR="00020591">
              <w:rPr>
                <w:noProof/>
                <w:webHidden/>
              </w:rPr>
              <w:t>13</w:t>
            </w:r>
            <w:r w:rsidR="00B410CD">
              <w:rPr>
                <w:noProof/>
                <w:webHidden/>
              </w:rPr>
              <w:fldChar w:fldCharType="end"/>
            </w:r>
          </w:hyperlink>
        </w:p>
        <w:p w14:paraId="4E8DA333" w14:textId="44CFE624" w:rsidR="00B410CD" w:rsidRDefault="002C61EE">
          <w:pPr>
            <w:pStyle w:val="TOC2"/>
            <w:tabs>
              <w:tab w:val="right" w:leader="dot" w:pos="9060"/>
            </w:tabs>
            <w:rPr>
              <w:rFonts w:asciiTheme="minorHAnsi" w:eastAsiaTheme="minorEastAsia" w:hAnsiTheme="minorHAnsi"/>
              <w:noProof/>
              <w:sz w:val="22"/>
              <w:lang w:eastAsia="en-AU"/>
            </w:rPr>
          </w:pPr>
          <w:hyperlink w:anchor="_Toc49947626" w:history="1">
            <w:r w:rsidR="00B410CD" w:rsidRPr="00874FC3">
              <w:rPr>
                <w:rStyle w:val="Hyperlink"/>
                <w:noProof/>
              </w:rPr>
              <w:t>4.2 New South Wales</w:t>
            </w:r>
            <w:r w:rsidR="00B410CD">
              <w:rPr>
                <w:noProof/>
                <w:webHidden/>
              </w:rPr>
              <w:tab/>
            </w:r>
            <w:r w:rsidR="00B410CD">
              <w:rPr>
                <w:noProof/>
                <w:webHidden/>
              </w:rPr>
              <w:fldChar w:fldCharType="begin"/>
            </w:r>
            <w:r w:rsidR="00B410CD">
              <w:rPr>
                <w:noProof/>
                <w:webHidden/>
              </w:rPr>
              <w:instrText xml:space="preserve"> PAGEREF _Toc49947626 \h </w:instrText>
            </w:r>
            <w:r w:rsidR="00B410CD">
              <w:rPr>
                <w:noProof/>
                <w:webHidden/>
              </w:rPr>
            </w:r>
            <w:r w:rsidR="00B410CD">
              <w:rPr>
                <w:noProof/>
                <w:webHidden/>
              </w:rPr>
              <w:fldChar w:fldCharType="separate"/>
            </w:r>
            <w:r w:rsidR="00020591">
              <w:rPr>
                <w:noProof/>
                <w:webHidden/>
              </w:rPr>
              <w:t>15</w:t>
            </w:r>
            <w:r w:rsidR="00B410CD">
              <w:rPr>
                <w:noProof/>
                <w:webHidden/>
              </w:rPr>
              <w:fldChar w:fldCharType="end"/>
            </w:r>
          </w:hyperlink>
        </w:p>
        <w:p w14:paraId="2ABACA93" w14:textId="43282F64" w:rsidR="00B410CD" w:rsidRDefault="002C61EE">
          <w:pPr>
            <w:pStyle w:val="TOC2"/>
            <w:tabs>
              <w:tab w:val="right" w:leader="dot" w:pos="9060"/>
            </w:tabs>
            <w:rPr>
              <w:rFonts w:asciiTheme="minorHAnsi" w:eastAsiaTheme="minorEastAsia" w:hAnsiTheme="minorHAnsi"/>
              <w:noProof/>
              <w:sz w:val="22"/>
              <w:lang w:eastAsia="en-AU"/>
            </w:rPr>
          </w:pPr>
          <w:hyperlink w:anchor="_Toc49947627" w:history="1">
            <w:r w:rsidR="00B410CD" w:rsidRPr="00874FC3">
              <w:rPr>
                <w:rStyle w:val="Hyperlink"/>
                <w:noProof/>
              </w:rPr>
              <w:t>4.3 Australian Capital Territory</w:t>
            </w:r>
            <w:r w:rsidR="00B410CD">
              <w:rPr>
                <w:noProof/>
                <w:webHidden/>
              </w:rPr>
              <w:tab/>
            </w:r>
            <w:r w:rsidR="00B410CD">
              <w:rPr>
                <w:noProof/>
                <w:webHidden/>
              </w:rPr>
              <w:fldChar w:fldCharType="begin"/>
            </w:r>
            <w:r w:rsidR="00B410CD">
              <w:rPr>
                <w:noProof/>
                <w:webHidden/>
              </w:rPr>
              <w:instrText xml:space="preserve"> PAGEREF _Toc49947627 \h </w:instrText>
            </w:r>
            <w:r w:rsidR="00B410CD">
              <w:rPr>
                <w:noProof/>
                <w:webHidden/>
              </w:rPr>
            </w:r>
            <w:r w:rsidR="00B410CD">
              <w:rPr>
                <w:noProof/>
                <w:webHidden/>
              </w:rPr>
              <w:fldChar w:fldCharType="separate"/>
            </w:r>
            <w:r w:rsidR="00020591">
              <w:rPr>
                <w:noProof/>
                <w:webHidden/>
              </w:rPr>
              <w:t>18</w:t>
            </w:r>
            <w:r w:rsidR="00B410CD">
              <w:rPr>
                <w:noProof/>
                <w:webHidden/>
              </w:rPr>
              <w:fldChar w:fldCharType="end"/>
            </w:r>
          </w:hyperlink>
        </w:p>
        <w:p w14:paraId="5AFA2438" w14:textId="09D283B7" w:rsidR="00B410CD" w:rsidRDefault="002C61EE">
          <w:pPr>
            <w:pStyle w:val="TOC2"/>
            <w:tabs>
              <w:tab w:val="right" w:leader="dot" w:pos="9060"/>
            </w:tabs>
            <w:rPr>
              <w:rFonts w:asciiTheme="minorHAnsi" w:eastAsiaTheme="minorEastAsia" w:hAnsiTheme="minorHAnsi"/>
              <w:noProof/>
              <w:sz w:val="22"/>
              <w:lang w:eastAsia="en-AU"/>
            </w:rPr>
          </w:pPr>
          <w:hyperlink w:anchor="_Toc49947628" w:history="1">
            <w:r w:rsidR="00B410CD" w:rsidRPr="00874FC3">
              <w:rPr>
                <w:rStyle w:val="Hyperlink"/>
                <w:noProof/>
              </w:rPr>
              <w:t>4.4 Victoria</w:t>
            </w:r>
            <w:r w:rsidR="00B410CD">
              <w:rPr>
                <w:noProof/>
                <w:webHidden/>
              </w:rPr>
              <w:tab/>
            </w:r>
            <w:r w:rsidR="00B410CD">
              <w:rPr>
                <w:noProof/>
                <w:webHidden/>
              </w:rPr>
              <w:fldChar w:fldCharType="begin"/>
            </w:r>
            <w:r w:rsidR="00B410CD">
              <w:rPr>
                <w:noProof/>
                <w:webHidden/>
              </w:rPr>
              <w:instrText xml:space="preserve"> PAGEREF _Toc49947628 \h </w:instrText>
            </w:r>
            <w:r w:rsidR="00B410CD">
              <w:rPr>
                <w:noProof/>
                <w:webHidden/>
              </w:rPr>
            </w:r>
            <w:r w:rsidR="00B410CD">
              <w:rPr>
                <w:noProof/>
                <w:webHidden/>
              </w:rPr>
              <w:fldChar w:fldCharType="separate"/>
            </w:r>
            <w:r w:rsidR="00020591">
              <w:rPr>
                <w:noProof/>
                <w:webHidden/>
              </w:rPr>
              <w:t>21</w:t>
            </w:r>
            <w:r w:rsidR="00B410CD">
              <w:rPr>
                <w:noProof/>
                <w:webHidden/>
              </w:rPr>
              <w:fldChar w:fldCharType="end"/>
            </w:r>
          </w:hyperlink>
        </w:p>
        <w:p w14:paraId="494C68BC" w14:textId="4A05B632" w:rsidR="00B410CD" w:rsidRDefault="002C61EE">
          <w:pPr>
            <w:pStyle w:val="TOC2"/>
            <w:tabs>
              <w:tab w:val="right" w:leader="dot" w:pos="9060"/>
            </w:tabs>
            <w:rPr>
              <w:rFonts w:asciiTheme="minorHAnsi" w:eastAsiaTheme="minorEastAsia" w:hAnsiTheme="minorHAnsi"/>
              <w:noProof/>
              <w:sz w:val="22"/>
              <w:lang w:eastAsia="en-AU"/>
            </w:rPr>
          </w:pPr>
          <w:hyperlink w:anchor="_Toc49947629" w:history="1">
            <w:r w:rsidR="00B410CD" w:rsidRPr="00874FC3">
              <w:rPr>
                <w:rStyle w:val="Hyperlink"/>
                <w:noProof/>
              </w:rPr>
              <w:t>4.5 Tasmania</w:t>
            </w:r>
            <w:r w:rsidR="00B410CD">
              <w:rPr>
                <w:noProof/>
                <w:webHidden/>
              </w:rPr>
              <w:tab/>
            </w:r>
            <w:r w:rsidR="00B410CD">
              <w:rPr>
                <w:noProof/>
                <w:webHidden/>
              </w:rPr>
              <w:fldChar w:fldCharType="begin"/>
            </w:r>
            <w:r w:rsidR="00B410CD">
              <w:rPr>
                <w:noProof/>
                <w:webHidden/>
              </w:rPr>
              <w:instrText xml:space="preserve"> PAGEREF _Toc49947629 \h </w:instrText>
            </w:r>
            <w:r w:rsidR="00B410CD">
              <w:rPr>
                <w:noProof/>
                <w:webHidden/>
              </w:rPr>
            </w:r>
            <w:r w:rsidR="00B410CD">
              <w:rPr>
                <w:noProof/>
                <w:webHidden/>
              </w:rPr>
              <w:fldChar w:fldCharType="separate"/>
            </w:r>
            <w:r w:rsidR="00020591">
              <w:rPr>
                <w:noProof/>
                <w:webHidden/>
              </w:rPr>
              <w:t>24</w:t>
            </w:r>
            <w:r w:rsidR="00B410CD">
              <w:rPr>
                <w:noProof/>
                <w:webHidden/>
              </w:rPr>
              <w:fldChar w:fldCharType="end"/>
            </w:r>
          </w:hyperlink>
        </w:p>
        <w:p w14:paraId="135ADFD2" w14:textId="15AE5DCC" w:rsidR="00B410CD" w:rsidRDefault="002C61EE">
          <w:pPr>
            <w:pStyle w:val="TOC2"/>
            <w:tabs>
              <w:tab w:val="right" w:leader="dot" w:pos="9060"/>
            </w:tabs>
            <w:rPr>
              <w:rFonts w:asciiTheme="minorHAnsi" w:eastAsiaTheme="minorEastAsia" w:hAnsiTheme="minorHAnsi"/>
              <w:noProof/>
              <w:sz w:val="22"/>
              <w:lang w:eastAsia="en-AU"/>
            </w:rPr>
          </w:pPr>
          <w:hyperlink w:anchor="_Toc49947630" w:history="1">
            <w:r w:rsidR="00B410CD" w:rsidRPr="00874FC3">
              <w:rPr>
                <w:rStyle w:val="Hyperlink"/>
                <w:noProof/>
              </w:rPr>
              <w:t>4.6 Northern Territory</w:t>
            </w:r>
            <w:r w:rsidR="00B410CD">
              <w:rPr>
                <w:noProof/>
                <w:webHidden/>
              </w:rPr>
              <w:tab/>
            </w:r>
            <w:r w:rsidR="00B410CD">
              <w:rPr>
                <w:noProof/>
                <w:webHidden/>
              </w:rPr>
              <w:fldChar w:fldCharType="begin"/>
            </w:r>
            <w:r w:rsidR="00B410CD">
              <w:rPr>
                <w:noProof/>
                <w:webHidden/>
              </w:rPr>
              <w:instrText xml:space="preserve"> PAGEREF _Toc49947630 \h </w:instrText>
            </w:r>
            <w:r w:rsidR="00B410CD">
              <w:rPr>
                <w:noProof/>
                <w:webHidden/>
              </w:rPr>
            </w:r>
            <w:r w:rsidR="00B410CD">
              <w:rPr>
                <w:noProof/>
                <w:webHidden/>
              </w:rPr>
              <w:fldChar w:fldCharType="separate"/>
            </w:r>
            <w:r w:rsidR="00020591">
              <w:rPr>
                <w:noProof/>
                <w:webHidden/>
              </w:rPr>
              <w:t>27</w:t>
            </w:r>
            <w:r w:rsidR="00B410CD">
              <w:rPr>
                <w:noProof/>
                <w:webHidden/>
              </w:rPr>
              <w:fldChar w:fldCharType="end"/>
            </w:r>
          </w:hyperlink>
        </w:p>
        <w:p w14:paraId="204947DE" w14:textId="0C278575" w:rsidR="00B410CD" w:rsidRDefault="002C61EE">
          <w:pPr>
            <w:pStyle w:val="TOC2"/>
            <w:tabs>
              <w:tab w:val="right" w:leader="dot" w:pos="9060"/>
            </w:tabs>
            <w:rPr>
              <w:rFonts w:asciiTheme="minorHAnsi" w:eastAsiaTheme="minorEastAsia" w:hAnsiTheme="minorHAnsi"/>
              <w:noProof/>
              <w:sz w:val="22"/>
              <w:lang w:eastAsia="en-AU"/>
            </w:rPr>
          </w:pPr>
          <w:hyperlink w:anchor="_Toc49947631" w:history="1">
            <w:r w:rsidR="00B410CD" w:rsidRPr="00874FC3">
              <w:rPr>
                <w:rStyle w:val="Hyperlink"/>
                <w:noProof/>
              </w:rPr>
              <w:t>4.7 Strengths and Weaknesses</w:t>
            </w:r>
            <w:r w:rsidR="00B410CD">
              <w:rPr>
                <w:noProof/>
                <w:webHidden/>
              </w:rPr>
              <w:tab/>
            </w:r>
            <w:r w:rsidR="00B410CD">
              <w:rPr>
                <w:noProof/>
                <w:webHidden/>
              </w:rPr>
              <w:fldChar w:fldCharType="begin"/>
            </w:r>
            <w:r w:rsidR="00B410CD">
              <w:rPr>
                <w:noProof/>
                <w:webHidden/>
              </w:rPr>
              <w:instrText xml:space="preserve"> PAGEREF _Toc49947631 \h </w:instrText>
            </w:r>
            <w:r w:rsidR="00B410CD">
              <w:rPr>
                <w:noProof/>
                <w:webHidden/>
              </w:rPr>
            </w:r>
            <w:r w:rsidR="00B410CD">
              <w:rPr>
                <w:noProof/>
                <w:webHidden/>
              </w:rPr>
              <w:fldChar w:fldCharType="separate"/>
            </w:r>
            <w:r w:rsidR="00020591">
              <w:rPr>
                <w:noProof/>
                <w:webHidden/>
              </w:rPr>
              <w:t>31</w:t>
            </w:r>
            <w:r w:rsidR="00B410CD">
              <w:rPr>
                <w:noProof/>
                <w:webHidden/>
              </w:rPr>
              <w:fldChar w:fldCharType="end"/>
            </w:r>
          </w:hyperlink>
        </w:p>
        <w:p w14:paraId="3656DB8D" w14:textId="65F7418B" w:rsidR="00B410CD" w:rsidRDefault="002C61EE">
          <w:pPr>
            <w:pStyle w:val="TOC1"/>
            <w:rPr>
              <w:rFonts w:asciiTheme="minorHAnsi" w:eastAsiaTheme="minorEastAsia" w:hAnsiTheme="minorHAnsi"/>
              <w:b w:val="0"/>
              <w:sz w:val="22"/>
              <w:lang w:eastAsia="en-AU"/>
            </w:rPr>
          </w:pPr>
          <w:hyperlink w:anchor="_Toc49947632" w:history="1">
            <w:r w:rsidR="00B410CD" w:rsidRPr="00874FC3">
              <w:rPr>
                <w:rStyle w:val="Hyperlink"/>
                <w:rFonts w:cs="Arial"/>
              </w:rPr>
              <w:t>5. Material Considerations for Implementation of Safe Access Zones in SA and WA</w:t>
            </w:r>
            <w:r w:rsidR="00B410CD">
              <w:rPr>
                <w:webHidden/>
              </w:rPr>
              <w:tab/>
            </w:r>
            <w:r w:rsidR="00B410CD">
              <w:rPr>
                <w:webHidden/>
              </w:rPr>
              <w:fldChar w:fldCharType="begin"/>
            </w:r>
            <w:r w:rsidR="00B410CD">
              <w:rPr>
                <w:webHidden/>
              </w:rPr>
              <w:instrText xml:space="preserve"> PAGEREF _Toc49947632 \h </w:instrText>
            </w:r>
            <w:r w:rsidR="00B410CD">
              <w:rPr>
                <w:webHidden/>
              </w:rPr>
            </w:r>
            <w:r w:rsidR="00B410CD">
              <w:rPr>
                <w:webHidden/>
              </w:rPr>
              <w:fldChar w:fldCharType="separate"/>
            </w:r>
            <w:r w:rsidR="00020591">
              <w:rPr>
                <w:webHidden/>
              </w:rPr>
              <w:t>35</w:t>
            </w:r>
            <w:r w:rsidR="00B410CD">
              <w:rPr>
                <w:webHidden/>
              </w:rPr>
              <w:fldChar w:fldCharType="end"/>
            </w:r>
          </w:hyperlink>
        </w:p>
        <w:p w14:paraId="3D318A23" w14:textId="10BEA31B" w:rsidR="00B410CD" w:rsidRDefault="002C61EE">
          <w:pPr>
            <w:pStyle w:val="TOC2"/>
            <w:tabs>
              <w:tab w:val="right" w:leader="dot" w:pos="9060"/>
            </w:tabs>
            <w:rPr>
              <w:rFonts w:asciiTheme="minorHAnsi" w:eastAsiaTheme="minorEastAsia" w:hAnsiTheme="minorHAnsi"/>
              <w:noProof/>
              <w:sz w:val="22"/>
              <w:lang w:eastAsia="en-AU"/>
            </w:rPr>
          </w:pPr>
          <w:hyperlink w:anchor="_Toc49947633" w:history="1">
            <w:r w:rsidR="00B410CD" w:rsidRPr="00874FC3">
              <w:rPr>
                <w:rStyle w:val="Hyperlink"/>
                <w:noProof/>
              </w:rPr>
              <w:t>5.1 Constitutional Implications: The Implied Freedom of Political Communication</w:t>
            </w:r>
            <w:r w:rsidR="00B410CD">
              <w:rPr>
                <w:noProof/>
                <w:webHidden/>
              </w:rPr>
              <w:tab/>
            </w:r>
            <w:r w:rsidR="00B410CD">
              <w:rPr>
                <w:noProof/>
                <w:webHidden/>
              </w:rPr>
              <w:fldChar w:fldCharType="begin"/>
            </w:r>
            <w:r w:rsidR="00B410CD">
              <w:rPr>
                <w:noProof/>
                <w:webHidden/>
              </w:rPr>
              <w:instrText xml:space="preserve"> PAGEREF _Toc49947633 \h </w:instrText>
            </w:r>
            <w:r w:rsidR="00B410CD">
              <w:rPr>
                <w:noProof/>
                <w:webHidden/>
              </w:rPr>
            </w:r>
            <w:r w:rsidR="00B410CD">
              <w:rPr>
                <w:noProof/>
                <w:webHidden/>
              </w:rPr>
              <w:fldChar w:fldCharType="separate"/>
            </w:r>
            <w:r w:rsidR="00020591">
              <w:rPr>
                <w:noProof/>
                <w:webHidden/>
              </w:rPr>
              <w:t>35</w:t>
            </w:r>
            <w:r w:rsidR="00B410CD">
              <w:rPr>
                <w:noProof/>
                <w:webHidden/>
              </w:rPr>
              <w:fldChar w:fldCharType="end"/>
            </w:r>
          </w:hyperlink>
        </w:p>
        <w:p w14:paraId="308D395B" w14:textId="6DAE9EA3" w:rsidR="00B410CD" w:rsidRDefault="002C61EE">
          <w:pPr>
            <w:pStyle w:val="TOC2"/>
            <w:tabs>
              <w:tab w:val="right" w:leader="dot" w:pos="9060"/>
            </w:tabs>
            <w:rPr>
              <w:rFonts w:asciiTheme="minorHAnsi" w:eastAsiaTheme="minorEastAsia" w:hAnsiTheme="minorHAnsi"/>
              <w:noProof/>
              <w:sz w:val="22"/>
              <w:lang w:eastAsia="en-AU"/>
            </w:rPr>
          </w:pPr>
          <w:hyperlink w:anchor="_Toc49947634" w:history="1">
            <w:r w:rsidR="00B410CD" w:rsidRPr="00874FC3">
              <w:rPr>
                <w:rStyle w:val="Hyperlink"/>
                <w:noProof/>
              </w:rPr>
              <w:t>5.2 South Australia: Context-Specific Considerations</w:t>
            </w:r>
            <w:r w:rsidR="00B410CD">
              <w:rPr>
                <w:noProof/>
                <w:webHidden/>
              </w:rPr>
              <w:tab/>
            </w:r>
            <w:r w:rsidR="00B410CD">
              <w:rPr>
                <w:noProof/>
                <w:webHidden/>
              </w:rPr>
              <w:fldChar w:fldCharType="begin"/>
            </w:r>
            <w:r w:rsidR="00B410CD">
              <w:rPr>
                <w:noProof/>
                <w:webHidden/>
              </w:rPr>
              <w:instrText xml:space="preserve"> PAGEREF _Toc49947634 \h </w:instrText>
            </w:r>
            <w:r w:rsidR="00B410CD">
              <w:rPr>
                <w:noProof/>
                <w:webHidden/>
              </w:rPr>
            </w:r>
            <w:r w:rsidR="00B410CD">
              <w:rPr>
                <w:noProof/>
                <w:webHidden/>
              </w:rPr>
              <w:fldChar w:fldCharType="separate"/>
            </w:r>
            <w:r w:rsidR="00020591">
              <w:rPr>
                <w:noProof/>
                <w:webHidden/>
              </w:rPr>
              <w:t>37</w:t>
            </w:r>
            <w:r w:rsidR="00B410CD">
              <w:rPr>
                <w:noProof/>
                <w:webHidden/>
              </w:rPr>
              <w:fldChar w:fldCharType="end"/>
            </w:r>
          </w:hyperlink>
        </w:p>
        <w:p w14:paraId="34DE2D54" w14:textId="6EEE9546" w:rsidR="00B410CD" w:rsidRDefault="002C61EE">
          <w:pPr>
            <w:pStyle w:val="TOC2"/>
            <w:tabs>
              <w:tab w:val="right" w:leader="dot" w:pos="9060"/>
            </w:tabs>
            <w:rPr>
              <w:rFonts w:asciiTheme="minorHAnsi" w:eastAsiaTheme="minorEastAsia" w:hAnsiTheme="minorHAnsi"/>
              <w:noProof/>
              <w:sz w:val="22"/>
              <w:lang w:eastAsia="en-AU"/>
            </w:rPr>
          </w:pPr>
          <w:hyperlink w:anchor="_Toc49947635" w:history="1">
            <w:r w:rsidR="00B410CD" w:rsidRPr="00874FC3">
              <w:rPr>
                <w:rStyle w:val="Hyperlink"/>
                <w:noProof/>
              </w:rPr>
              <w:t>5.3 Western Australia: Context-Specific Considerations</w:t>
            </w:r>
            <w:r w:rsidR="00B410CD">
              <w:rPr>
                <w:noProof/>
                <w:webHidden/>
              </w:rPr>
              <w:tab/>
            </w:r>
            <w:r w:rsidR="00B410CD">
              <w:rPr>
                <w:noProof/>
                <w:webHidden/>
              </w:rPr>
              <w:fldChar w:fldCharType="begin"/>
            </w:r>
            <w:r w:rsidR="00B410CD">
              <w:rPr>
                <w:noProof/>
                <w:webHidden/>
              </w:rPr>
              <w:instrText xml:space="preserve"> PAGEREF _Toc49947635 \h </w:instrText>
            </w:r>
            <w:r w:rsidR="00B410CD">
              <w:rPr>
                <w:noProof/>
                <w:webHidden/>
              </w:rPr>
            </w:r>
            <w:r w:rsidR="00B410CD">
              <w:rPr>
                <w:noProof/>
                <w:webHidden/>
              </w:rPr>
              <w:fldChar w:fldCharType="separate"/>
            </w:r>
            <w:r w:rsidR="00020591">
              <w:rPr>
                <w:noProof/>
                <w:webHidden/>
              </w:rPr>
              <w:t>38</w:t>
            </w:r>
            <w:r w:rsidR="00B410CD">
              <w:rPr>
                <w:noProof/>
                <w:webHidden/>
              </w:rPr>
              <w:fldChar w:fldCharType="end"/>
            </w:r>
          </w:hyperlink>
        </w:p>
        <w:p w14:paraId="4A7DBE1D" w14:textId="54ACBFE9" w:rsidR="00B410CD" w:rsidRDefault="002C61EE">
          <w:pPr>
            <w:pStyle w:val="TOC1"/>
            <w:rPr>
              <w:rFonts w:asciiTheme="minorHAnsi" w:eastAsiaTheme="minorEastAsia" w:hAnsiTheme="minorHAnsi"/>
              <w:b w:val="0"/>
              <w:sz w:val="22"/>
              <w:lang w:eastAsia="en-AU"/>
            </w:rPr>
          </w:pPr>
          <w:hyperlink w:anchor="_Toc49947636" w:history="1">
            <w:r w:rsidR="00B410CD" w:rsidRPr="00874FC3">
              <w:rPr>
                <w:rStyle w:val="Hyperlink"/>
                <w:rFonts w:cs="Arial"/>
              </w:rPr>
              <w:t>6. Recommendations</w:t>
            </w:r>
            <w:r w:rsidR="00B410CD">
              <w:rPr>
                <w:webHidden/>
              </w:rPr>
              <w:tab/>
            </w:r>
            <w:r w:rsidR="00B410CD">
              <w:rPr>
                <w:webHidden/>
              </w:rPr>
              <w:fldChar w:fldCharType="begin"/>
            </w:r>
            <w:r w:rsidR="00B410CD">
              <w:rPr>
                <w:webHidden/>
              </w:rPr>
              <w:instrText xml:space="preserve"> PAGEREF _Toc49947636 \h </w:instrText>
            </w:r>
            <w:r w:rsidR="00B410CD">
              <w:rPr>
                <w:webHidden/>
              </w:rPr>
            </w:r>
            <w:r w:rsidR="00B410CD">
              <w:rPr>
                <w:webHidden/>
              </w:rPr>
              <w:fldChar w:fldCharType="separate"/>
            </w:r>
            <w:r w:rsidR="00020591">
              <w:rPr>
                <w:webHidden/>
              </w:rPr>
              <w:t>42</w:t>
            </w:r>
            <w:r w:rsidR="00B410CD">
              <w:rPr>
                <w:webHidden/>
              </w:rPr>
              <w:fldChar w:fldCharType="end"/>
            </w:r>
          </w:hyperlink>
        </w:p>
        <w:p w14:paraId="54F34D21" w14:textId="17FA3470" w:rsidR="00B410CD" w:rsidRDefault="002C61EE">
          <w:pPr>
            <w:pStyle w:val="TOC2"/>
            <w:tabs>
              <w:tab w:val="right" w:leader="dot" w:pos="9060"/>
            </w:tabs>
            <w:rPr>
              <w:rFonts w:asciiTheme="minorHAnsi" w:eastAsiaTheme="minorEastAsia" w:hAnsiTheme="minorHAnsi"/>
              <w:noProof/>
              <w:sz w:val="22"/>
              <w:lang w:eastAsia="en-AU"/>
            </w:rPr>
          </w:pPr>
          <w:hyperlink w:anchor="_Toc49947637" w:history="1">
            <w:r w:rsidR="00B410CD" w:rsidRPr="00874FC3">
              <w:rPr>
                <w:rStyle w:val="Hyperlink"/>
                <w:noProof/>
              </w:rPr>
              <w:t>6.1 Size</w:t>
            </w:r>
            <w:r w:rsidR="00B410CD">
              <w:rPr>
                <w:noProof/>
                <w:webHidden/>
              </w:rPr>
              <w:tab/>
            </w:r>
            <w:r w:rsidR="00B410CD">
              <w:rPr>
                <w:noProof/>
                <w:webHidden/>
              </w:rPr>
              <w:fldChar w:fldCharType="begin"/>
            </w:r>
            <w:r w:rsidR="00B410CD">
              <w:rPr>
                <w:noProof/>
                <w:webHidden/>
              </w:rPr>
              <w:instrText xml:space="preserve"> PAGEREF _Toc49947637 \h </w:instrText>
            </w:r>
            <w:r w:rsidR="00B410CD">
              <w:rPr>
                <w:noProof/>
                <w:webHidden/>
              </w:rPr>
            </w:r>
            <w:r w:rsidR="00B410CD">
              <w:rPr>
                <w:noProof/>
                <w:webHidden/>
              </w:rPr>
              <w:fldChar w:fldCharType="separate"/>
            </w:r>
            <w:r w:rsidR="00020591">
              <w:rPr>
                <w:noProof/>
                <w:webHidden/>
              </w:rPr>
              <w:t>42</w:t>
            </w:r>
            <w:r w:rsidR="00B410CD">
              <w:rPr>
                <w:noProof/>
                <w:webHidden/>
              </w:rPr>
              <w:fldChar w:fldCharType="end"/>
            </w:r>
          </w:hyperlink>
        </w:p>
        <w:p w14:paraId="14E2C8BA" w14:textId="2E6F63C5" w:rsidR="00B410CD" w:rsidRDefault="002C61EE">
          <w:pPr>
            <w:pStyle w:val="TOC2"/>
            <w:tabs>
              <w:tab w:val="right" w:leader="dot" w:pos="9060"/>
            </w:tabs>
            <w:rPr>
              <w:rFonts w:asciiTheme="minorHAnsi" w:eastAsiaTheme="minorEastAsia" w:hAnsiTheme="minorHAnsi"/>
              <w:noProof/>
              <w:sz w:val="22"/>
              <w:lang w:eastAsia="en-AU"/>
            </w:rPr>
          </w:pPr>
          <w:hyperlink w:anchor="_Toc49947638" w:history="1">
            <w:r w:rsidR="00B410CD" w:rsidRPr="00874FC3">
              <w:rPr>
                <w:rStyle w:val="Hyperlink"/>
                <w:noProof/>
              </w:rPr>
              <w:t>6.2 ‘Prohibited Behaviour’</w:t>
            </w:r>
            <w:r w:rsidR="00B410CD">
              <w:rPr>
                <w:noProof/>
                <w:webHidden/>
              </w:rPr>
              <w:tab/>
            </w:r>
            <w:r w:rsidR="00B410CD">
              <w:rPr>
                <w:noProof/>
                <w:webHidden/>
              </w:rPr>
              <w:fldChar w:fldCharType="begin"/>
            </w:r>
            <w:r w:rsidR="00B410CD">
              <w:rPr>
                <w:noProof/>
                <w:webHidden/>
              </w:rPr>
              <w:instrText xml:space="preserve"> PAGEREF _Toc49947638 \h </w:instrText>
            </w:r>
            <w:r w:rsidR="00B410CD">
              <w:rPr>
                <w:noProof/>
                <w:webHidden/>
              </w:rPr>
            </w:r>
            <w:r w:rsidR="00B410CD">
              <w:rPr>
                <w:noProof/>
                <w:webHidden/>
              </w:rPr>
              <w:fldChar w:fldCharType="separate"/>
            </w:r>
            <w:r w:rsidR="00020591">
              <w:rPr>
                <w:noProof/>
                <w:webHidden/>
              </w:rPr>
              <w:t>43</w:t>
            </w:r>
            <w:r w:rsidR="00B410CD">
              <w:rPr>
                <w:noProof/>
                <w:webHidden/>
              </w:rPr>
              <w:fldChar w:fldCharType="end"/>
            </w:r>
          </w:hyperlink>
        </w:p>
        <w:p w14:paraId="5B3B43F6" w14:textId="4E49D1F1" w:rsidR="00B410CD" w:rsidRDefault="002C61EE">
          <w:pPr>
            <w:pStyle w:val="TOC2"/>
            <w:tabs>
              <w:tab w:val="right" w:leader="dot" w:pos="9060"/>
            </w:tabs>
            <w:rPr>
              <w:rFonts w:asciiTheme="minorHAnsi" w:eastAsiaTheme="minorEastAsia" w:hAnsiTheme="minorHAnsi"/>
              <w:noProof/>
              <w:sz w:val="22"/>
              <w:lang w:eastAsia="en-AU"/>
            </w:rPr>
          </w:pPr>
          <w:hyperlink w:anchor="_Toc49947639" w:history="1">
            <w:r w:rsidR="00B410CD" w:rsidRPr="00874FC3">
              <w:rPr>
                <w:rStyle w:val="Hyperlink"/>
                <w:noProof/>
              </w:rPr>
              <w:t>6.3 ‘Premises’</w:t>
            </w:r>
            <w:r w:rsidR="00B410CD">
              <w:rPr>
                <w:noProof/>
                <w:webHidden/>
              </w:rPr>
              <w:tab/>
            </w:r>
            <w:r w:rsidR="00B410CD">
              <w:rPr>
                <w:noProof/>
                <w:webHidden/>
              </w:rPr>
              <w:fldChar w:fldCharType="begin"/>
            </w:r>
            <w:r w:rsidR="00B410CD">
              <w:rPr>
                <w:noProof/>
                <w:webHidden/>
              </w:rPr>
              <w:instrText xml:space="preserve"> PAGEREF _Toc49947639 \h </w:instrText>
            </w:r>
            <w:r w:rsidR="00B410CD">
              <w:rPr>
                <w:noProof/>
                <w:webHidden/>
              </w:rPr>
            </w:r>
            <w:r w:rsidR="00B410CD">
              <w:rPr>
                <w:noProof/>
                <w:webHidden/>
              </w:rPr>
              <w:fldChar w:fldCharType="separate"/>
            </w:r>
            <w:r w:rsidR="00020591">
              <w:rPr>
                <w:noProof/>
                <w:webHidden/>
              </w:rPr>
              <w:t>45</w:t>
            </w:r>
            <w:r w:rsidR="00B410CD">
              <w:rPr>
                <w:noProof/>
                <w:webHidden/>
              </w:rPr>
              <w:fldChar w:fldCharType="end"/>
            </w:r>
          </w:hyperlink>
        </w:p>
        <w:p w14:paraId="0BAB1DA5" w14:textId="267B7CE2" w:rsidR="00B410CD" w:rsidRDefault="002C61EE">
          <w:pPr>
            <w:pStyle w:val="TOC2"/>
            <w:tabs>
              <w:tab w:val="right" w:leader="dot" w:pos="9060"/>
            </w:tabs>
            <w:rPr>
              <w:rFonts w:asciiTheme="minorHAnsi" w:eastAsiaTheme="minorEastAsia" w:hAnsiTheme="minorHAnsi"/>
              <w:noProof/>
              <w:sz w:val="22"/>
              <w:lang w:eastAsia="en-AU"/>
            </w:rPr>
          </w:pPr>
          <w:hyperlink w:anchor="_Toc49947640" w:history="1">
            <w:r w:rsidR="00B410CD" w:rsidRPr="00874FC3">
              <w:rPr>
                <w:rStyle w:val="Hyperlink"/>
                <w:noProof/>
              </w:rPr>
              <w:t>6.4 Penalties</w:t>
            </w:r>
            <w:r w:rsidR="00B410CD">
              <w:rPr>
                <w:noProof/>
                <w:webHidden/>
              </w:rPr>
              <w:tab/>
            </w:r>
            <w:r w:rsidR="00B410CD">
              <w:rPr>
                <w:noProof/>
                <w:webHidden/>
              </w:rPr>
              <w:fldChar w:fldCharType="begin"/>
            </w:r>
            <w:r w:rsidR="00B410CD">
              <w:rPr>
                <w:noProof/>
                <w:webHidden/>
              </w:rPr>
              <w:instrText xml:space="preserve"> PAGEREF _Toc49947640 \h </w:instrText>
            </w:r>
            <w:r w:rsidR="00B410CD">
              <w:rPr>
                <w:noProof/>
                <w:webHidden/>
              </w:rPr>
            </w:r>
            <w:r w:rsidR="00B410CD">
              <w:rPr>
                <w:noProof/>
                <w:webHidden/>
              </w:rPr>
              <w:fldChar w:fldCharType="separate"/>
            </w:r>
            <w:r w:rsidR="00020591">
              <w:rPr>
                <w:noProof/>
                <w:webHidden/>
              </w:rPr>
              <w:t>46</w:t>
            </w:r>
            <w:r w:rsidR="00B410CD">
              <w:rPr>
                <w:noProof/>
                <w:webHidden/>
              </w:rPr>
              <w:fldChar w:fldCharType="end"/>
            </w:r>
          </w:hyperlink>
        </w:p>
        <w:p w14:paraId="3E9CFE49" w14:textId="4FAE7368" w:rsidR="00B410CD" w:rsidRDefault="002C61EE">
          <w:pPr>
            <w:pStyle w:val="TOC2"/>
            <w:tabs>
              <w:tab w:val="right" w:leader="dot" w:pos="9060"/>
            </w:tabs>
            <w:rPr>
              <w:rFonts w:asciiTheme="minorHAnsi" w:eastAsiaTheme="minorEastAsia" w:hAnsiTheme="minorHAnsi"/>
              <w:noProof/>
              <w:sz w:val="22"/>
              <w:lang w:eastAsia="en-AU"/>
            </w:rPr>
          </w:pPr>
          <w:hyperlink w:anchor="_Toc49947641" w:history="1">
            <w:r w:rsidR="00B410CD" w:rsidRPr="00874FC3">
              <w:rPr>
                <w:rStyle w:val="Hyperlink"/>
                <w:noProof/>
              </w:rPr>
              <w:t>6.5 Employees</w:t>
            </w:r>
            <w:r w:rsidR="00B410CD">
              <w:rPr>
                <w:noProof/>
                <w:webHidden/>
              </w:rPr>
              <w:tab/>
            </w:r>
            <w:r w:rsidR="00B410CD">
              <w:rPr>
                <w:noProof/>
                <w:webHidden/>
              </w:rPr>
              <w:fldChar w:fldCharType="begin"/>
            </w:r>
            <w:r w:rsidR="00B410CD">
              <w:rPr>
                <w:noProof/>
                <w:webHidden/>
              </w:rPr>
              <w:instrText xml:space="preserve"> PAGEREF _Toc49947641 \h </w:instrText>
            </w:r>
            <w:r w:rsidR="00B410CD">
              <w:rPr>
                <w:noProof/>
                <w:webHidden/>
              </w:rPr>
            </w:r>
            <w:r w:rsidR="00B410CD">
              <w:rPr>
                <w:noProof/>
                <w:webHidden/>
              </w:rPr>
              <w:fldChar w:fldCharType="separate"/>
            </w:r>
            <w:r w:rsidR="00020591">
              <w:rPr>
                <w:noProof/>
                <w:webHidden/>
              </w:rPr>
              <w:t>47</w:t>
            </w:r>
            <w:r w:rsidR="00B410CD">
              <w:rPr>
                <w:noProof/>
                <w:webHidden/>
              </w:rPr>
              <w:fldChar w:fldCharType="end"/>
            </w:r>
          </w:hyperlink>
        </w:p>
        <w:p w14:paraId="27D40AF7" w14:textId="537C32D3" w:rsidR="00B410CD" w:rsidRDefault="002C61EE">
          <w:pPr>
            <w:pStyle w:val="TOC2"/>
            <w:tabs>
              <w:tab w:val="right" w:leader="dot" w:pos="9060"/>
            </w:tabs>
            <w:rPr>
              <w:rFonts w:asciiTheme="minorHAnsi" w:eastAsiaTheme="minorEastAsia" w:hAnsiTheme="minorHAnsi"/>
              <w:noProof/>
              <w:sz w:val="22"/>
              <w:lang w:eastAsia="en-AU"/>
            </w:rPr>
          </w:pPr>
          <w:hyperlink w:anchor="_Toc49947642" w:history="1">
            <w:r w:rsidR="00B410CD" w:rsidRPr="00874FC3">
              <w:rPr>
                <w:rStyle w:val="Hyperlink"/>
                <w:noProof/>
              </w:rPr>
              <w:t>6.6 Exemptions</w:t>
            </w:r>
            <w:r w:rsidR="00B410CD">
              <w:rPr>
                <w:noProof/>
                <w:webHidden/>
              </w:rPr>
              <w:tab/>
            </w:r>
            <w:r w:rsidR="00B410CD">
              <w:rPr>
                <w:noProof/>
                <w:webHidden/>
              </w:rPr>
              <w:fldChar w:fldCharType="begin"/>
            </w:r>
            <w:r w:rsidR="00B410CD">
              <w:rPr>
                <w:noProof/>
                <w:webHidden/>
              </w:rPr>
              <w:instrText xml:space="preserve"> PAGEREF _Toc49947642 \h </w:instrText>
            </w:r>
            <w:r w:rsidR="00B410CD">
              <w:rPr>
                <w:noProof/>
                <w:webHidden/>
              </w:rPr>
            </w:r>
            <w:r w:rsidR="00B410CD">
              <w:rPr>
                <w:noProof/>
                <w:webHidden/>
              </w:rPr>
              <w:fldChar w:fldCharType="separate"/>
            </w:r>
            <w:r w:rsidR="00020591">
              <w:rPr>
                <w:noProof/>
                <w:webHidden/>
              </w:rPr>
              <w:t>47</w:t>
            </w:r>
            <w:r w:rsidR="00B410CD">
              <w:rPr>
                <w:noProof/>
                <w:webHidden/>
              </w:rPr>
              <w:fldChar w:fldCharType="end"/>
            </w:r>
          </w:hyperlink>
        </w:p>
        <w:p w14:paraId="0CB57469" w14:textId="1E371C73" w:rsidR="00B410CD" w:rsidRDefault="002C61EE">
          <w:pPr>
            <w:pStyle w:val="TOC1"/>
            <w:rPr>
              <w:rFonts w:asciiTheme="minorHAnsi" w:eastAsiaTheme="minorEastAsia" w:hAnsiTheme="minorHAnsi"/>
              <w:b w:val="0"/>
              <w:sz w:val="22"/>
              <w:lang w:eastAsia="en-AU"/>
            </w:rPr>
          </w:pPr>
          <w:hyperlink w:anchor="_Toc49947643" w:history="1">
            <w:r w:rsidR="00B410CD" w:rsidRPr="00874FC3">
              <w:rPr>
                <w:rStyle w:val="Hyperlink"/>
              </w:rPr>
              <w:t>7. Support</w:t>
            </w:r>
            <w:r w:rsidR="00B410CD">
              <w:rPr>
                <w:webHidden/>
              </w:rPr>
              <w:tab/>
            </w:r>
            <w:r w:rsidR="00B410CD">
              <w:rPr>
                <w:webHidden/>
              </w:rPr>
              <w:fldChar w:fldCharType="begin"/>
            </w:r>
            <w:r w:rsidR="00B410CD">
              <w:rPr>
                <w:webHidden/>
              </w:rPr>
              <w:instrText xml:space="preserve"> PAGEREF _Toc49947643 \h </w:instrText>
            </w:r>
            <w:r w:rsidR="00B410CD">
              <w:rPr>
                <w:webHidden/>
              </w:rPr>
            </w:r>
            <w:r w:rsidR="00B410CD">
              <w:rPr>
                <w:webHidden/>
              </w:rPr>
              <w:fldChar w:fldCharType="separate"/>
            </w:r>
            <w:r w:rsidR="00020591">
              <w:rPr>
                <w:webHidden/>
              </w:rPr>
              <w:t>48</w:t>
            </w:r>
            <w:r w:rsidR="00B410CD">
              <w:rPr>
                <w:webHidden/>
              </w:rPr>
              <w:fldChar w:fldCharType="end"/>
            </w:r>
          </w:hyperlink>
        </w:p>
        <w:p w14:paraId="283F88FB" w14:textId="35F6808B" w:rsidR="00B410CD" w:rsidRDefault="002C61EE">
          <w:pPr>
            <w:pStyle w:val="TOC1"/>
            <w:rPr>
              <w:rFonts w:asciiTheme="minorHAnsi" w:eastAsiaTheme="minorEastAsia" w:hAnsiTheme="minorHAnsi"/>
              <w:b w:val="0"/>
              <w:sz w:val="22"/>
              <w:lang w:eastAsia="en-AU"/>
            </w:rPr>
          </w:pPr>
          <w:hyperlink w:anchor="_Toc49947644" w:history="1">
            <w:r w:rsidR="00B410CD" w:rsidRPr="00874FC3">
              <w:rPr>
                <w:rStyle w:val="Hyperlink"/>
              </w:rPr>
              <w:t>Further information and feedback</w:t>
            </w:r>
            <w:r w:rsidR="00B410CD">
              <w:rPr>
                <w:webHidden/>
              </w:rPr>
              <w:tab/>
            </w:r>
            <w:r w:rsidR="00B410CD">
              <w:rPr>
                <w:webHidden/>
              </w:rPr>
              <w:fldChar w:fldCharType="begin"/>
            </w:r>
            <w:r w:rsidR="00B410CD">
              <w:rPr>
                <w:webHidden/>
              </w:rPr>
              <w:instrText xml:space="preserve"> PAGEREF _Toc49947644 \h </w:instrText>
            </w:r>
            <w:r w:rsidR="00B410CD">
              <w:rPr>
                <w:webHidden/>
              </w:rPr>
            </w:r>
            <w:r w:rsidR="00B410CD">
              <w:rPr>
                <w:webHidden/>
              </w:rPr>
              <w:fldChar w:fldCharType="separate"/>
            </w:r>
            <w:r w:rsidR="00020591">
              <w:rPr>
                <w:webHidden/>
              </w:rPr>
              <w:t>49</w:t>
            </w:r>
            <w:r w:rsidR="00B410CD">
              <w:rPr>
                <w:webHidden/>
              </w:rPr>
              <w:fldChar w:fldCharType="end"/>
            </w:r>
          </w:hyperlink>
        </w:p>
        <w:p w14:paraId="32CF76AF" w14:textId="4F72CE17" w:rsidR="00BE08D7" w:rsidRPr="009A2C73" w:rsidRDefault="00BE08D7" w:rsidP="003308BA">
          <w:pPr>
            <w:rPr>
              <w:rFonts w:cs="Arial"/>
            </w:rPr>
          </w:pPr>
          <w:r w:rsidRPr="009A2C73">
            <w:rPr>
              <w:rFonts w:cs="Arial"/>
              <w:b/>
              <w:bCs/>
              <w:noProof/>
            </w:rPr>
            <w:fldChar w:fldCharType="end"/>
          </w:r>
        </w:p>
      </w:sdtContent>
    </w:sdt>
    <w:p w14:paraId="5C08E353" w14:textId="77777777" w:rsidR="00E514FB" w:rsidRDefault="005021A3" w:rsidP="003308BA">
      <w:pPr>
        <w:pStyle w:val="Heading1"/>
        <w:rPr>
          <w:rFonts w:cs="Arial"/>
        </w:rPr>
      </w:pPr>
      <w:bookmarkStart w:id="34" w:name="_Toc37081722"/>
      <w:r w:rsidRPr="009A2C73">
        <w:rPr>
          <w:rFonts w:cs="Arial"/>
        </w:rPr>
        <w:br w:type="page"/>
      </w:r>
      <w:bookmarkStart w:id="35" w:name="_Toc49947618"/>
      <w:bookmarkEnd w:id="34"/>
      <w:r w:rsidR="0078106C">
        <w:rPr>
          <w:rFonts w:cs="Arial"/>
        </w:rPr>
        <w:lastRenderedPageBreak/>
        <w:t xml:space="preserve">1. </w:t>
      </w:r>
      <w:r w:rsidR="009827AC">
        <w:rPr>
          <w:rFonts w:cs="Arial"/>
        </w:rPr>
        <w:t>Foreword</w:t>
      </w:r>
      <w:r w:rsidR="0078106C">
        <w:rPr>
          <w:rFonts w:cs="Arial"/>
        </w:rPr>
        <w:t>s</w:t>
      </w:r>
      <w:bookmarkEnd w:id="35"/>
    </w:p>
    <w:p w14:paraId="189539BF" w14:textId="5A72EEDB" w:rsidR="008B1703" w:rsidRPr="00E96B2E" w:rsidRDefault="008B1703" w:rsidP="00AD103D">
      <w:pPr>
        <w:rPr>
          <w:szCs w:val="24"/>
        </w:rPr>
      </w:pPr>
      <w:bookmarkStart w:id="36" w:name="_Toc47512446"/>
      <w:bookmarkStart w:id="37" w:name="_Toc47278188"/>
      <w:r w:rsidRPr="00E96B2E">
        <w:rPr>
          <w:szCs w:val="24"/>
        </w:rPr>
        <w:t>I am pleased to facilitate the work of University of Queensland law students Caitlin Holmes and Eleanor Taylor. Both have volunteered their time to prepare this overview of the law as part of their commitment to working in the public interest for the benefit of the community. Every year the University of Queensland Pro Bono Centre supports organisations through the work of student volunteers, alongside academic supervisors, to undertake a range of law related activities in the public interest.</w:t>
      </w:r>
    </w:p>
    <w:p w14:paraId="180040DA" w14:textId="6AF8FA6B" w:rsidR="00AD103D" w:rsidRPr="00E96B2E" w:rsidRDefault="008B1703" w:rsidP="00AD103D">
      <w:pPr>
        <w:rPr>
          <w:rFonts w:cs="Arial"/>
          <w:spacing w:val="5"/>
          <w:szCs w:val="24"/>
          <w:shd w:val="clear" w:color="auto" w:fill="FFFFFF"/>
        </w:rPr>
      </w:pPr>
      <w:r w:rsidRPr="00E96B2E">
        <w:rPr>
          <w:rFonts w:cs="Arial"/>
          <w:szCs w:val="24"/>
        </w:rPr>
        <w:t xml:space="preserve">This particular pro bono project is close to my heart. Safe access to health care should be available to everyone and safe access to abortion </w:t>
      </w:r>
      <w:r w:rsidR="00AD103D" w:rsidRPr="00E96B2E">
        <w:rPr>
          <w:rFonts w:cs="Arial"/>
          <w:szCs w:val="24"/>
        </w:rPr>
        <w:t xml:space="preserve">care </w:t>
      </w:r>
      <w:r w:rsidRPr="00E96B2E">
        <w:rPr>
          <w:rFonts w:cs="Arial"/>
          <w:szCs w:val="24"/>
        </w:rPr>
        <w:t xml:space="preserve">should be no different to other health </w:t>
      </w:r>
      <w:r w:rsidR="002A5907" w:rsidRPr="00E96B2E">
        <w:rPr>
          <w:rFonts w:cs="Arial"/>
          <w:szCs w:val="24"/>
        </w:rPr>
        <w:t>care</w:t>
      </w:r>
      <w:r w:rsidRPr="00E96B2E">
        <w:rPr>
          <w:rFonts w:cs="Arial"/>
          <w:szCs w:val="24"/>
        </w:rPr>
        <w:t>.</w:t>
      </w:r>
      <w:r w:rsidR="00CE414C" w:rsidRPr="00E96B2E">
        <w:rPr>
          <w:rFonts w:cs="Arial"/>
          <w:szCs w:val="24"/>
        </w:rPr>
        <w:t xml:space="preserve"> </w:t>
      </w:r>
      <w:r w:rsidR="00CE414C" w:rsidRPr="00E96B2E">
        <w:rPr>
          <w:rFonts w:cs="Arial"/>
          <w:spacing w:val="5"/>
          <w:szCs w:val="24"/>
          <w:shd w:val="clear" w:color="auto" w:fill="FFFFFF"/>
        </w:rPr>
        <w:t xml:space="preserve">Studies have identified </w:t>
      </w:r>
      <w:r w:rsidR="0051394E" w:rsidRPr="00E96B2E">
        <w:rPr>
          <w:rFonts w:cs="Arial"/>
          <w:spacing w:val="5"/>
          <w:szCs w:val="24"/>
          <w:shd w:val="clear" w:color="auto" w:fill="FFFFFF"/>
        </w:rPr>
        <w:t>that protests</w:t>
      </w:r>
      <w:r w:rsidR="00CE414C" w:rsidRPr="00E96B2E">
        <w:rPr>
          <w:rFonts w:cs="Arial"/>
          <w:spacing w:val="5"/>
          <w:szCs w:val="24"/>
          <w:shd w:val="clear" w:color="auto" w:fill="FFFFFF"/>
        </w:rPr>
        <w:t xml:space="preserve"> outside abortion clinics can have detrimental effects on both the staff who work in them and those who attend to have </w:t>
      </w:r>
      <w:r w:rsidR="0051394E" w:rsidRPr="00E96B2E">
        <w:rPr>
          <w:rFonts w:cs="Arial"/>
          <w:spacing w:val="5"/>
          <w:szCs w:val="24"/>
          <w:shd w:val="clear" w:color="auto" w:fill="FFFFFF"/>
        </w:rPr>
        <w:t>an</w:t>
      </w:r>
      <w:r w:rsidR="00CE414C" w:rsidRPr="00E96B2E">
        <w:rPr>
          <w:rFonts w:cs="Arial"/>
          <w:spacing w:val="5"/>
          <w:szCs w:val="24"/>
          <w:shd w:val="clear" w:color="auto" w:fill="FFFFFF"/>
        </w:rPr>
        <w:t xml:space="preserve"> abortion. </w:t>
      </w:r>
      <w:r w:rsidR="00AD103D" w:rsidRPr="00E96B2E">
        <w:rPr>
          <w:rFonts w:cs="Arial"/>
          <w:spacing w:val="5"/>
          <w:szCs w:val="24"/>
          <w:shd w:val="clear" w:color="auto" w:fill="FFFFFF"/>
        </w:rPr>
        <w:t>P</w:t>
      </w:r>
      <w:r w:rsidR="00CE414C" w:rsidRPr="00E96B2E">
        <w:rPr>
          <w:rFonts w:cs="Arial"/>
          <w:spacing w:val="5"/>
          <w:szCs w:val="24"/>
          <w:shd w:val="clear" w:color="auto" w:fill="FFFFFF"/>
        </w:rPr>
        <w:t xml:space="preserve">rotests can cause stress, anxiety and fear to </w:t>
      </w:r>
      <w:r w:rsidR="00AD103D" w:rsidRPr="00E96B2E">
        <w:rPr>
          <w:rFonts w:cs="Arial"/>
          <w:spacing w:val="5"/>
          <w:szCs w:val="24"/>
          <w:shd w:val="clear" w:color="auto" w:fill="FFFFFF"/>
        </w:rPr>
        <w:t>those accessing a clinic. Protests can also discourage people from attending the clinic</w:t>
      </w:r>
      <w:r w:rsidR="0051394E" w:rsidRPr="00E96B2E">
        <w:rPr>
          <w:rFonts w:cs="Arial"/>
          <w:spacing w:val="5"/>
          <w:szCs w:val="24"/>
          <w:shd w:val="clear" w:color="auto" w:fill="FFFFFF"/>
        </w:rPr>
        <w:t xml:space="preserve"> for an abortion</w:t>
      </w:r>
      <w:r w:rsidR="00AD103D" w:rsidRPr="00E96B2E">
        <w:rPr>
          <w:rFonts w:cs="Arial"/>
          <w:spacing w:val="5"/>
          <w:szCs w:val="24"/>
          <w:shd w:val="clear" w:color="auto" w:fill="FFFFFF"/>
        </w:rPr>
        <w:t>, or delay their attendance and post-abortion care, and thus contribute to health complications</w:t>
      </w:r>
      <w:r w:rsidR="00CE414C" w:rsidRPr="00E96B2E">
        <w:rPr>
          <w:rFonts w:cs="Arial"/>
          <w:spacing w:val="5"/>
          <w:szCs w:val="24"/>
          <w:shd w:val="clear" w:color="auto" w:fill="FFFFFF"/>
        </w:rPr>
        <w:t xml:space="preserve">. </w:t>
      </w:r>
    </w:p>
    <w:p w14:paraId="7B772BC9" w14:textId="3AF44762" w:rsidR="008B1703" w:rsidRPr="00E96B2E" w:rsidRDefault="002A5907" w:rsidP="00AD103D">
      <w:pPr>
        <w:rPr>
          <w:szCs w:val="24"/>
        </w:rPr>
      </w:pPr>
      <w:r w:rsidRPr="00E96B2E">
        <w:rPr>
          <w:szCs w:val="24"/>
        </w:rPr>
        <w:t xml:space="preserve">When the High Court handed down </w:t>
      </w:r>
      <w:r w:rsidR="00AD103D" w:rsidRPr="00E96B2E">
        <w:rPr>
          <w:szCs w:val="24"/>
        </w:rPr>
        <w:t>its</w:t>
      </w:r>
      <w:r w:rsidRPr="00E96B2E">
        <w:rPr>
          <w:szCs w:val="24"/>
        </w:rPr>
        <w:t xml:space="preserve"> decision in the case of </w:t>
      </w:r>
      <w:r w:rsidRPr="00E96B2E">
        <w:rPr>
          <w:i/>
          <w:szCs w:val="24"/>
        </w:rPr>
        <w:t>Clubb v Edwards; Preston v Avery</w:t>
      </w:r>
      <w:r w:rsidRPr="00E96B2E">
        <w:rPr>
          <w:szCs w:val="24"/>
        </w:rPr>
        <w:t xml:space="preserve"> [2019] HCA 11</w:t>
      </w:r>
      <w:r w:rsidR="00AD103D" w:rsidRPr="00E96B2E">
        <w:rPr>
          <w:szCs w:val="24"/>
        </w:rPr>
        <w:t>, Kiefel</w:t>
      </w:r>
      <w:r w:rsidR="00AD103D" w:rsidRPr="00E96B2E">
        <w:rPr>
          <w:rFonts w:cs="Arial"/>
          <w:color w:val="333333"/>
          <w:szCs w:val="24"/>
          <w:shd w:val="clear" w:color="auto" w:fill="FFFFFF"/>
        </w:rPr>
        <w:t xml:space="preserve"> CJ, Bell and Keane JJ said:</w:t>
      </w:r>
    </w:p>
    <w:p w14:paraId="768BE725" w14:textId="46105AAB" w:rsidR="000206EC" w:rsidRPr="00E96B2E" w:rsidRDefault="002A5907" w:rsidP="00AD103D">
      <w:pPr>
        <w:ind w:left="567"/>
        <w:rPr>
          <w:rFonts w:cs="Arial"/>
          <w:szCs w:val="24"/>
        </w:rPr>
      </w:pPr>
      <w:r w:rsidRPr="00E96B2E">
        <w:rPr>
          <w:rFonts w:cs="Arial"/>
          <w:color w:val="333333"/>
          <w:szCs w:val="24"/>
          <w:shd w:val="clear" w:color="auto" w:fill="FFFFFF"/>
        </w:rPr>
        <w:t>A public demon</w:t>
      </w:r>
      <w:r w:rsidR="006850C6">
        <w:rPr>
          <w:rFonts w:cs="Arial"/>
          <w:color w:val="333333"/>
          <w:szCs w:val="24"/>
          <w:shd w:val="clear" w:color="auto" w:fill="FFFFFF"/>
        </w:rPr>
        <w:t>stration or manifestation about</w:t>
      </w:r>
      <w:r w:rsidRPr="00E96B2E">
        <w:rPr>
          <w:rFonts w:cs="Arial"/>
          <w:bCs/>
          <w:color w:val="333333"/>
          <w:szCs w:val="24"/>
          <w:shd w:val="clear" w:color="auto" w:fill="FFFFFF"/>
        </w:rPr>
        <w:t> abortions</w:t>
      </w:r>
      <w:r w:rsidRPr="00E96B2E">
        <w:rPr>
          <w:rFonts w:cs="Arial"/>
          <w:color w:val="333333"/>
          <w:szCs w:val="24"/>
          <w:shd w:val="clear" w:color="auto" w:fill="FFFFFF"/>
        </w:rPr>
        <w:t xml:space="preserve"> in the vicinity of a clinic inevitably constitutes a threat to the equanimity, privacy and dignity of </w:t>
      </w:r>
      <w:r w:rsidR="00E96B2E" w:rsidRPr="00E96B2E">
        <w:rPr>
          <w:rFonts w:cs="Arial"/>
          <w:color w:val="333333"/>
          <w:szCs w:val="24"/>
          <w:shd w:val="clear" w:color="auto" w:fill="FFFFFF"/>
        </w:rPr>
        <w:br/>
      </w:r>
      <w:r w:rsidRPr="00E96B2E">
        <w:rPr>
          <w:rFonts w:cs="Arial"/>
          <w:color w:val="333333"/>
          <w:szCs w:val="24"/>
          <w:shd w:val="clear" w:color="auto" w:fill="FFFFFF"/>
        </w:rPr>
        <w:t xml:space="preserve">a pregnant woman seeking medical advice and assistance in relation to a termination </w:t>
      </w:r>
      <w:r w:rsidR="00CE414C" w:rsidRPr="00E96B2E">
        <w:rPr>
          <w:rFonts w:cs="Arial"/>
          <w:color w:val="333333"/>
          <w:szCs w:val="24"/>
          <w:shd w:val="clear" w:color="auto" w:fill="FFFFFF"/>
        </w:rPr>
        <w:t>(at [126])</w:t>
      </w:r>
      <w:r w:rsidR="00AD103D" w:rsidRPr="00E96B2E">
        <w:rPr>
          <w:rFonts w:cs="Arial"/>
          <w:color w:val="333333"/>
          <w:szCs w:val="24"/>
          <w:shd w:val="clear" w:color="auto" w:fill="FFFFFF"/>
        </w:rPr>
        <w:t>.</w:t>
      </w:r>
    </w:p>
    <w:p w14:paraId="2EF7FB3B" w14:textId="0AB7F6BB" w:rsidR="00AD103D" w:rsidRPr="00E96B2E" w:rsidRDefault="00AD103D" w:rsidP="00AD103D">
      <w:pPr>
        <w:rPr>
          <w:szCs w:val="24"/>
        </w:rPr>
      </w:pPr>
      <w:r w:rsidRPr="00E96B2E">
        <w:rPr>
          <w:szCs w:val="24"/>
        </w:rPr>
        <w:t xml:space="preserve">I hope this overview is useful for those jurisdictions yet to introduce safe </w:t>
      </w:r>
      <w:r w:rsidR="00E96B2E" w:rsidRPr="00E96B2E">
        <w:rPr>
          <w:szCs w:val="24"/>
        </w:rPr>
        <w:br/>
      </w:r>
      <w:r w:rsidRPr="00E96B2E">
        <w:rPr>
          <w:szCs w:val="24"/>
        </w:rPr>
        <w:t>access zones.</w:t>
      </w:r>
    </w:p>
    <w:p w14:paraId="51E687C4" w14:textId="77777777" w:rsidR="00AD103D" w:rsidRDefault="00AD103D" w:rsidP="000206EC">
      <w:pPr>
        <w:rPr>
          <w:b/>
        </w:rPr>
      </w:pPr>
    </w:p>
    <w:p w14:paraId="1C3432F7" w14:textId="57059822" w:rsidR="000206EC" w:rsidRPr="008631FF" w:rsidRDefault="000206EC" w:rsidP="000206EC">
      <w:pPr>
        <w:rPr>
          <w:b/>
        </w:rPr>
      </w:pPr>
      <w:r>
        <w:rPr>
          <w:b/>
        </w:rPr>
        <w:t>Professor Heather Douglas</w:t>
      </w:r>
      <w:r w:rsidR="00553E11">
        <w:rPr>
          <w:b/>
        </w:rPr>
        <w:br/>
      </w:r>
      <w:r>
        <w:rPr>
          <w:b/>
        </w:rPr>
        <w:t>School of Law</w:t>
      </w:r>
      <w:r w:rsidR="00553E11">
        <w:rPr>
          <w:b/>
        </w:rPr>
        <w:br/>
      </w:r>
      <w:r>
        <w:rPr>
          <w:b/>
        </w:rPr>
        <w:t>University of Queensland</w:t>
      </w:r>
    </w:p>
    <w:p w14:paraId="2E6A1BAF" w14:textId="77777777" w:rsidR="000206EC" w:rsidRDefault="000206EC">
      <w:pPr>
        <w:spacing w:after="160" w:line="259" w:lineRule="auto"/>
        <w:rPr>
          <w:i/>
        </w:rPr>
      </w:pPr>
      <w:r>
        <w:rPr>
          <w:i/>
        </w:rPr>
        <w:br w:type="page"/>
      </w:r>
    </w:p>
    <w:p w14:paraId="1EC41BEB" w14:textId="77777777" w:rsidR="002C43DC" w:rsidRPr="00AA2DEC" w:rsidRDefault="002C43DC" w:rsidP="002C43DC">
      <w:pPr>
        <w:rPr>
          <w:szCs w:val="24"/>
        </w:rPr>
      </w:pPr>
      <w:r w:rsidRPr="00AA2DEC">
        <w:rPr>
          <w:szCs w:val="24"/>
        </w:rPr>
        <w:lastRenderedPageBreak/>
        <w:t>Access to</w:t>
      </w:r>
      <w:r>
        <w:rPr>
          <w:szCs w:val="24"/>
        </w:rPr>
        <w:t xml:space="preserve"> sexual and</w:t>
      </w:r>
      <w:r w:rsidRPr="00AA2DEC">
        <w:rPr>
          <w:szCs w:val="24"/>
        </w:rPr>
        <w:t xml:space="preserve"> reproductive healthcare is crucial for women and people who are pregnant in upholding their reproductive rights and bodily autonomy.</w:t>
      </w:r>
      <w:r>
        <w:rPr>
          <w:szCs w:val="24"/>
        </w:rPr>
        <w:t xml:space="preserve"> It is about the choice, bodily autonomy, empowerment and freedom from coercion and violence. For those who have been subjected to sexual and gender-based violence and/or became pregnant as a result of it, access to abortion is a part of their recovery process. </w:t>
      </w:r>
    </w:p>
    <w:p w14:paraId="646FC0E3" w14:textId="77777777" w:rsidR="002C43DC" w:rsidRPr="00AA2DEC" w:rsidRDefault="002C43DC" w:rsidP="002C43DC">
      <w:pPr>
        <w:rPr>
          <w:szCs w:val="24"/>
        </w:rPr>
      </w:pPr>
      <w:r>
        <w:rPr>
          <w:szCs w:val="24"/>
        </w:rPr>
        <w:t xml:space="preserve">Unfortunately, the rights to healthcare, privacy and control over your life is being eroded when picketers are present around sexual and reproductive health clinics and choose to harass and intimidate women and pregnant people seeking healthcare, as well as their support persons and clinics’ staff. With their actions, picketers not only cause harm to people accessing clinics but </w:t>
      </w:r>
      <w:r w:rsidRPr="00AA2DEC">
        <w:rPr>
          <w:szCs w:val="24"/>
        </w:rPr>
        <w:t xml:space="preserve">undermine the progress achieved in responses to all forms of sexual and gender-based violence. They are hindering access to healthcare and erode women’s reproductive rights. </w:t>
      </w:r>
    </w:p>
    <w:p w14:paraId="2E47BF59" w14:textId="77777777" w:rsidR="002C43DC" w:rsidRDefault="002C43DC" w:rsidP="002C43DC">
      <w:pPr>
        <w:rPr>
          <w:szCs w:val="24"/>
        </w:rPr>
      </w:pPr>
      <w:r w:rsidRPr="00AA2DEC">
        <w:rPr>
          <w:szCs w:val="24"/>
        </w:rPr>
        <w:t xml:space="preserve">Safe access zones surrounding clinics maximise safety for both people accessing sexual and reproductive healthcare and staff working there. Safe access zones exist to ensure the right to privacy and freedom of choices for women and pregnant people. </w:t>
      </w:r>
    </w:p>
    <w:p w14:paraId="11848EFA" w14:textId="77777777" w:rsidR="002C43DC" w:rsidRPr="00AA2DEC" w:rsidRDefault="002C43DC" w:rsidP="002C43DC">
      <w:pPr>
        <w:rPr>
          <w:szCs w:val="24"/>
        </w:rPr>
      </w:pPr>
      <w:r>
        <w:rPr>
          <w:szCs w:val="24"/>
        </w:rPr>
        <w:t xml:space="preserve">Safe access zones function in all jurisdictions in Australia with the exception of South Australia and Western Australia. With the move to legislate safe access zone in two remaining states, this report is crucial to our understanding of the efficacy of safe access zones with regard to sexual and reproductive rights and choices. </w:t>
      </w:r>
    </w:p>
    <w:p w14:paraId="256DD7E7" w14:textId="77777777" w:rsidR="002C43DC" w:rsidRDefault="002C43DC" w:rsidP="002C43DC">
      <w:pPr>
        <w:rPr>
          <w:szCs w:val="24"/>
        </w:rPr>
      </w:pPr>
      <w:r>
        <w:rPr>
          <w:szCs w:val="24"/>
        </w:rPr>
        <w:t xml:space="preserve">Australian Women Against Violence Alliances, as one of the six National Women’s Alliances working to address all forms of sexual and gender-based violence, we are thankful to the Marie Stopes Australia and the </w:t>
      </w:r>
      <w:r w:rsidRPr="0078106C">
        <w:rPr>
          <w:szCs w:val="24"/>
        </w:rPr>
        <w:t>University of Queensland (UQ) Pro Bono Centre</w:t>
      </w:r>
      <w:r>
        <w:rPr>
          <w:szCs w:val="24"/>
        </w:rPr>
        <w:t xml:space="preserve"> for an opportunity to be a part of this important reform. It is time that we ensure the equality of access to sexual and reproductive health services around Australia. </w:t>
      </w:r>
    </w:p>
    <w:p w14:paraId="02006C8C" w14:textId="77777777" w:rsidR="002C43DC" w:rsidRDefault="002C43DC" w:rsidP="002C43DC">
      <w:pPr>
        <w:rPr>
          <w:szCs w:val="24"/>
        </w:rPr>
      </w:pPr>
    </w:p>
    <w:p w14:paraId="4EB5F8FB" w14:textId="67F1C954" w:rsidR="002C43DC" w:rsidRDefault="002C43DC" w:rsidP="002C43DC">
      <w:pPr>
        <w:rPr>
          <w:b/>
        </w:rPr>
      </w:pPr>
      <w:r w:rsidRPr="008631FF">
        <w:rPr>
          <w:b/>
        </w:rPr>
        <w:t>Tina Dix</w:t>
      </w:r>
      <w:r>
        <w:rPr>
          <w:b/>
        </w:rPr>
        <w:t>s</w:t>
      </w:r>
      <w:r w:rsidRPr="008631FF">
        <w:rPr>
          <w:b/>
        </w:rPr>
        <w:t>on</w:t>
      </w:r>
      <w:r w:rsidR="00553E11">
        <w:rPr>
          <w:b/>
        </w:rPr>
        <w:br/>
      </w:r>
      <w:r>
        <w:rPr>
          <w:b/>
        </w:rPr>
        <w:t xml:space="preserve">Acting </w:t>
      </w:r>
      <w:r w:rsidRPr="008631FF">
        <w:rPr>
          <w:b/>
        </w:rPr>
        <w:t>Program Manager</w:t>
      </w:r>
      <w:r w:rsidR="00553E11">
        <w:rPr>
          <w:b/>
        </w:rPr>
        <w:br/>
      </w:r>
      <w:r w:rsidRPr="008631FF">
        <w:rPr>
          <w:b/>
        </w:rPr>
        <w:t>Australian Women Against Violence Alliance</w:t>
      </w:r>
    </w:p>
    <w:p w14:paraId="2161591B" w14:textId="77777777" w:rsidR="000206EC" w:rsidRDefault="009827AC" w:rsidP="000206EC">
      <w:pPr>
        <w:rPr>
          <w:szCs w:val="24"/>
        </w:rPr>
      </w:pPr>
      <w:r>
        <w:rPr>
          <w:rFonts w:cs="Arial"/>
        </w:rPr>
        <w:br w:type="page"/>
      </w:r>
      <w:r w:rsidR="000206EC">
        <w:rPr>
          <w:szCs w:val="24"/>
        </w:rPr>
        <w:lastRenderedPageBreak/>
        <w:t>Everyone has the right to access healthcare services safely and with their privacy and dignity protected and respected. This premise is at the very core of Australia’s healthcare system and at the heart of Australia’s Charter of Healthcare Rights.</w:t>
      </w:r>
    </w:p>
    <w:p w14:paraId="2EA41350" w14:textId="77777777" w:rsidR="000206EC" w:rsidRDefault="000206EC" w:rsidP="000206EC">
      <w:pPr>
        <w:rPr>
          <w:szCs w:val="24"/>
        </w:rPr>
      </w:pPr>
      <w:r>
        <w:rPr>
          <w:szCs w:val="24"/>
        </w:rPr>
        <w:t>Unfortunately, people accessing abortion care services have not been afforded this basic healthcare right. For many years patients and staff of healthcare services providing abortion care have been harassed, intimidated, threatened and even had their privacy breached by anti-abortion picketers outside these healthcare services.</w:t>
      </w:r>
    </w:p>
    <w:p w14:paraId="6785A7DF" w14:textId="77777777" w:rsidR="000206EC" w:rsidRDefault="000206EC" w:rsidP="000206EC">
      <w:pPr>
        <w:rPr>
          <w:szCs w:val="24"/>
        </w:rPr>
      </w:pPr>
      <w:r>
        <w:rPr>
          <w:szCs w:val="24"/>
        </w:rPr>
        <w:t xml:space="preserve">The harassment and intimidation outside healthcare services providing abortion care has led to most States and Territories enacting legislation to protect patients from these picketing activities. Safe access zones are in place around abortion clinics across this country to provide a bubble of safety for both patients accessing abortion care services and the staff that work within these services. </w:t>
      </w:r>
    </w:p>
    <w:p w14:paraId="0D85FE9D" w14:textId="77777777" w:rsidR="000206EC" w:rsidRDefault="000206EC" w:rsidP="000206EC">
      <w:pPr>
        <w:rPr>
          <w:szCs w:val="24"/>
        </w:rPr>
      </w:pPr>
      <w:r>
        <w:rPr>
          <w:szCs w:val="24"/>
        </w:rPr>
        <w:t xml:space="preserve">Western Australia and South Australia have yet to put in place this vital, protective legislation. However, both governments have made clear steps towards introducing safe access zones in their respective states. </w:t>
      </w:r>
    </w:p>
    <w:p w14:paraId="68859663" w14:textId="77777777" w:rsidR="000206EC" w:rsidRDefault="000206EC" w:rsidP="000206EC">
      <w:pPr>
        <w:rPr>
          <w:szCs w:val="24"/>
        </w:rPr>
      </w:pPr>
      <w:r>
        <w:rPr>
          <w:szCs w:val="24"/>
        </w:rPr>
        <w:t xml:space="preserve">It really is sad that we need safe access zones. However the experience of our staff and clients has shown how necessary they are. In places where they have been enacted, they have made a huge, positive impact on the feelings of safety and privacy for staff and clients. </w:t>
      </w:r>
    </w:p>
    <w:p w14:paraId="67E74D7F" w14:textId="77777777" w:rsidR="000206EC" w:rsidRDefault="000206EC" w:rsidP="000206EC">
      <w:pPr>
        <w:rPr>
          <w:szCs w:val="24"/>
        </w:rPr>
      </w:pPr>
      <w:r>
        <w:rPr>
          <w:szCs w:val="24"/>
        </w:rPr>
        <w:t>I am proud to present this paper that explores safe access zones across Australia and provides vital lessons for Western Australia and South Australia as they progress their safe access zone legislation.</w:t>
      </w:r>
    </w:p>
    <w:p w14:paraId="2F94F2CE" w14:textId="77777777" w:rsidR="000206EC" w:rsidRPr="0078106C" w:rsidRDefault="000206EC" w:rsidP="000206EC">
      <w:pPr>
        <w:rPr>
          <w:szCs w:val="24"/>
        </w:rPr>
      </w:pPr>
      <w:r w:rsidRPr="0078106C">
        <w:rPr>
          <w:szCs w:val="24"/>
        </w:rPr>
        <w:t xml:space="preserve">Thank you to the University of Queensland (UQ) Pro Bono Centre for collating much of the information in this paper. Specifically thank you to Caitlin Holmes and Eleanor Taylor who worked under the academic supervision of Professor Heather Douglas. </w:t>
      </w:r>
    </w:p>
    <w:p w14:paraId="0033915F" w14:textId="77777777" w:rsidR="000206EC" w:rsidRDefault="000206EC" w:rsidP="000206EC"/>
    <w:p w14:paraId="65014086" w14:textId="42DE93E4" w:rsidR="000206EC" w:rsidRPr="008631FF" w:rsidRDefault="000206EC" w:rsidP="000206EC">
      <w:pPr>
        <w:rPr>
          <w:b/>
        </w:rPr>
      </w:pPr>
      <w:r w:rsidRPr="008631FF">
        <w:rPr>
          <w:b/>
        </w:rPr>
        <w:t>Jamal Hakim</w:t>
      </w:r>
      <w:r w:rsidR="00553E11">
        <w:rPr>
          <w:b/>
        </w:rPr>
        <w:br/>
      </w:r>
      <w:r w:rsidRPr="008631FF">
        <w:rPr>
          <w:b/>
        </w:rPr>
        <w:t xml:space="preserve">Managing Director </w:t>
      </w:r>
      <w:r w:rsidR="00553E11">
        <w:rPr>
          <w:b/>
        </w:rPr>
        <w:br/>
      </w:r>
      <w:r w:rsidRPr="008631FF">
        <w:rPr>
          <w:b/>
        </w:rPr>
        <w:t>Marie Stopes Australia</w:t>
      </w:r>
    </w:p>
    <w:p w14:paraId="7C1549DD" w14:textId="77777777" w:rsidR="000206EC" w:rsidRDefault="000206EC" w:rsidP="000206EC">
      <w:pPr>
        <w:spacing w:after="160" w:line="259" w:lineRule="auto"/>
        <w:rPr>
          <w:rFonts w:eastAsiaTheme="majorEastAsia" w:cs="Arial"/>
          <w:b/>
          <w:sz w:val="32"/>
          <w:szCs w:val="32"/>
        </w:rPr>
      </w:pPr>
      <w:r>
        <w:rPr>
          <w:rFonts w:cs="Arial"/>
        </w:rPr>
        <w:br w:type="page"/>
      </w:r>
    </w:p>
    <w:p w14:paraId="546FACFE" w14:textId="5781752A" w:rsidR="00663C49" w:rsidRDefault="00F921C0" w:rsidP="003308BA">
      <w:pPr>
        <w:rPr>
          <w:iCs/>
        </w:rPr>
      </w:pPr>
      <w:r>
        <w:rPr>
          <w:iCs/>
        </w:rPr>
        <w:lastRenderedPageBreak/>
        <w:t xml:space="preserve">Managing a clinic that delivers vital sexual and reproductive health services such as abortion care is a rewarding and challenging role. Each day I work with incredibly passionate, </w:t>
      </w:r>
      <w:r w:rsidR="00663C49">
        <w:rPr>
          <w:iCs/>
        </w:rPr>
        <w:t>caring,</w:t>
      </w:r>
      <w:r>
        <w:rPr>
          <w:iCs/>
        </w:rPr>
        <w:t xml:space="preserve"> and talented people. We care greatly for each client who walks through our doors and we do so without judgement and prejudice.</w:t>
      </w:r>
    </w:p>
    <w:p w14:paraId="47C3CFFA" w14:textId="590CA61E" w:rsidR="00F921C0" w:rsidRDefault="00F921C0" w:rsidP="003308BA">
      <w:pPr>
        <w:rPr>
          <w:iCs/>
        </w:rPr>
      </w:pPr>
      <w:r>
        <w:rPr>
          <w:iCs/>
        </w:rPr>
        <w:t xml:space="preserve">What makes this work </w:t>
      </w:r>
      <w:r w:rsidR="00663C49">
        <w:rPr>
          <w:iCs/>
        </w:rPr>
        <w:t xml:space="preserve">so </w:t>
      </w:r>
      <w:r>
        <w:rPr>
          <w:iCs/>
        </w:rPr>
        <w:t xml:space="preserve">challenging is the presence of picketers outside our clinic. I have worked for Marie Stopes Australia for </w:t>
      </w:r>
      <w:r w:rsidR="002C43DC">
        <w:rPr>
          <w:iCs/>
        </w:rPr>
        <w:t>5.5</w:t>
      </w:r>
      <w:r>
        <w:rPr>
          <w:iCs/>
        </w:rPr>
        <w:t xml:space="preserve"> years and the picketers that assemble outside our clinic have </w:t>
      </w:r>
      <w:r w:rsidR="00663C49">
        <w:rPr>
          <w:iCs/>
        </w:rPr>
        <w:t xml:space="preserve">had a cumulative impact on me, my team, and the clients in our care. While I respect their right to have opinions about abortion care, I do not agree with their tactics and the negative impacts they have on all of us. </w:t>
      </w:r>
    </w:p>
    <w:p w14:paraId="5D4E9066" w14:textId="2AA11A02" w:rsidR="00663C49" w:rsidRDefault="00663C49" w:rsidP="003308BA">
      <w:pPr>
        <w:rPr>
          <w:iCs/>
        </w:rPr>
      </w:pPr>
      <w:r>
        <w:rPr>
          <w:iCs/>
        </w:rPr>
        <w:t>I have contended with abusive behaviour, I have been told that what I do is wrong, evil and that I should be ashamed. I have had my car covered in ‘holy water’ that has blistered the paint. My staff have been followed to their cars and confronted by strangers. I have held the hands of clients and support people who have been confused and hurt by the judgement and acts of these picketers.</w:t>
      </w:r>
    </w:p>
    <w:p w14:paraId="4C0E403D" w14:textId="1D16FE84" w:rsidR="00663C49" w:rsidRDefault="00663C49" w:rsidP="003308BA">
      <w:pPr>
        <w:rPr>
          <w:iCs/>
        </w:rPr>
      </w:pPr>
      <w:r>
        <w:rPr>
          <w:iCs/>
        </w:rPr>
        <w:t xml:space="preserve">Every person who steps foot in this clinic, be they a nurse, doctor, administrator, counsellor, cleaner or client, should be able to do so feeling safe and respected. Sadly, the presence of picketers jeopardises our ability to do this. It also impacts on our families who worry about the aggression and judgement we have faced over the years. </w:t>
      </w:r>
    </w:p>
    <w:p w14:paraId="4A187B9F" w14:textId="00892059" w:rsidR="00663C49" w:rsidRPr="001C299D" w:rsidRDefault="00663C49" w:rsidP="003308BA">
      <w:pPr>
        <w:rPr>
          <w:iCs/>
        </w:rPr>
      </w:pPr>
      <w:r>
        <w:rPr>
          <w:iCs/>
        </w:rPr>
        <w:t>Safe access zones are necessary to make sure we can do our jobs and our clients can access services safely and privately. They make a huge difference to staff and clients when they are put in place</w:t>
      </w:r>
      <w:r w:rsidR="00296216">
        <w:rPr>
          <w:iCs/>
        </w:rPr>
        <w:t xml:space="preserve">. My hope is that this paper combined with our ongoing advocacy and the support of Government’s such as the one we have here in Western Australia, will result in safe access zones becoming a reality in Western Australia and South Australia. </w:t>
      </w:r>
    </w:p>
    <w:p w14:paraId="37C2FA0A" w14:textId="77777777" w:rsidR="007C1EED" w:rsidRDefault="007C1EED" w:rsidP="003308BA">
      <w:pPr>
        <w:rPr>
          <w:rFonts w:cs="Arial"/>
          <w:szCs w:val="24"/>
        </w:rPr>
      </w:pPr>
    </w:p>
    <w:p w14:paraId="19458FD9" w14:textId="2D30B998" w:rsidR="009827AC" w:rsidRPr="008631FF" w:rsidRDefault="009827AC" w:rsidP="003308BA">
      <w:pPr>
        <w:rPr>
          <w:b/>
        </w:rPr>
      </w:pPr>
      <w:r w:rsidRPr="008631FF">
        <w:rPr>
          <w:b/>
        </w:rPr>
        <w:t>Leigh Keane</w:t>
      </w:r>
      <w:r w:rsidR="00553E11">
        <w:rPr>
          <w:b/>
        </w:rPr>
        <w:br/>
      </w:r>
      <w:r w:rsidRPr="008631FF">
        <w:rPr>
          <w:b/>
        </w:rPr>
        <w:t>Nurse Unit Manager</w:t>
      </w:r>
      <w:r w:rsidR="00553E11">
        <w:rPr>
          <w:b/>
        </w:rPr>
        <w:br/>
      </w:r>
      <w:r w:rsidRPr="008631FF">
        <w:rPr>
          <w:b/>
        </w:rPr>
        <w:t>Marie Stopes Australia</w:t>
      </w:r>
    </w:p>
    <w:p w14:paraId="1CAC289D" w14:textId="77777777" w:rsidR="009827AC" w:rsidRDefault="009827AC" w:rsidP="003308BA">
      <w:pPr>
        <w:spacing w:after="160" w:line="259" w:lineRule="auto"/>
        <w:rPr>
          <w:rFonts w:eastAsiaTheme="majorEastAsia" w:cs="Arial"/>
          <w:b/>
          <w:sz w:val="32"/>
          <w:szCs w:val="32"/>
        </w:rPr>
      </w:pPr>
      <w:r>
        <w:rPr>
          <w:rFonts w:cs="Arial"/>
        </w:rPr>
        <w:br w:type="page"/>
      </w:r>
    </w:p>
    <w:p w14:paraId="4E0BD6F8" w14:textId="4368681E" w:rsidR="007C1EED" w:rsidRDefault="007C1EED" w:rsidP="003308BA">
      <w:r>
        <w:lastRenderedPageBreak/>
        <w:t>Feeling safe in our communities is vital to building community trust and social cohesion</w:t>
      </w:r>
      <w:r w:rsidR="00790DA5">
        <w:rPr>
          <w:rStyle w:val="FootnoteReference"/>
        </w:rPr>
        <w:footnoteReference w:id="1"/>
      </w:r>
      <w:r>
        <w:t xml:space="preserve">. When it comes </w:t>
      </w:r>
      <w:r w:rsidR="00790DA5">
        <w:t>accessing</w:t>
      </w:r>
      <w:r w:rsidR="007570AE">
        <w:t xml:space="preserve"> health services, it also important that people not only feel safe but also that their privacy is respected and protected.</w:t>
      </w:r>
    </w:p>
    <w:p w14:paraId="76BF3F06" w14:textId="429832C5" w:rsidR="007570AE" w:rsidRDefault="007570AE" w:rsidP="003308BA">
      <w:r>
        <w:t>In 2018, Marie Stopes Australia’s clinic in Midland, Western Australia, was subject to a large number of picketers during the Lent period. The organisation received a number of complaints from clients and support people. Here are</w:t>
      </w:r>
      <w:r w:rsidR="0032400E">
        <w:t xml:space="preserve"> quotes that highlight</w:t>
      </w:r>
      <w:r>
        <w:t xml:space="preserve"> just some of the concerns raised with clinic staff.</w:t>
      </w:r>
    </w:p>
    <w:p w14:paraId="1868DB31" w14:textId="77777777" w:rsidR="007570AE" w:rsidRDefault="007570AE" w:rsidP="003308BA"/>
    <w:p w14:paraId="58E63CFC" w14:textId="77777777" w:rsidR="00E96B2E" w:rsidRDefault="000A215C" w:rsidP="009825BC">
      <w:pPr>
        <w:pStyle w:val="Quotes"/>
      </w:pPr>
      <w:r>
        <w:t>“Made the mistake of walking into carpark past them.”</w:t>
      </w:r>
    </w:p>
    <w:p w14:paraId="56C184D8" w14:textId="08449A81" w:rsidR="000A215C" w:rsidRPr="00E96B2E" w:rsidRDefault="000A215C" w:rsidP="009825BC">
      <w:pPr>
        <w:pStyle w:val="Quotes"/>
      </w:pPr>
      <w:r>
        <w:t>“</w:t>
      </w:r>
      <w:r w:rsidRPr="00E96B2E">
        <w:t>Using very emotive language.</w:t>
      </w:r>
      <w:r w:rsidR="00E96B2E" w:rsidRPr="00E96B2E">
        <w:t xml:space="preserve"> </w:t>
      </w:r>
      <w:r w:rsidRPr="00E96B2E">
        <w:t xml:space="preserve">You’re killing babies, </w:t>
      </w:r>
      <w:r w:rsidR="00E96B2E">
        <w:br/>
      </w:r>
      <w:r w:rsidRPr="00E96B2E">
        <w:t>Jesus hates</w:t>
      </w:r>
      <w:r w:rsidR="00E96B2E">
        <w:t xml:space="preserve"> </w:t>
      </w:r>
      <w:r w:rsidRPr="00E96B2E">
        <w:t>sinners.”</w:t>
      </w:r>
    </w:p>
    <w:p w14:paraId="591229E9" w14:textId="77777777" w:rsidR="000A215C" w:rsidRDefault="000A215C" w:rsidP="009825BC">
      <w:pPr>
        <w:pStyle w:val="Quotes"/>
      </w:pPr>
      <w:r>
        <w:t>“Rude and harassing protesters approached us….”</w:t>
      </w:r>
    </w:p>
    <w:p w14:paraId="28DEA883" w14:textId="77777777" w:rsidR="000A215C" w:rsidRDefault="000A215C" w:rsidP="009825BC">
      <w:pPr>
        <w:pStyle w:val="Quotes"/>
      </w:pPr>
      <w:r>
        <w:t>“Absolutely unacceptable and inappropriate.”</w:t>
      </w:r>
    </w:p>
    <w:p w14:paraId="00F36D67" w14:textId="77777777" w:rsidR="000A215C" w:rsidRDefault="000A215C" w:rsidP="009825BC">
      <w:pPr>
        <w:pStyle w:val="Quotes"/>
      </w:pPr>
      <w:r>
        <w:t>“Feel threatened.”</w:t>
      </w:r>
    </w:p>
    <w:p w14:paraId="15B8CAA8" w14:textId="77520027" w:rsidR="000A215C" w:rsidRDefault="000A215C" w:rsidP="009825BC">
      <w:pPr>
        <w:pStyle w:val="Quotes"/>
      </w:pPr>
      <w:r>
        <w:t xml:space="preserve">“Disgusting the way they speak to people. As a patient was </w:t>
      </w:r>
      <w:r w:rsidR="009825BC">
        <w:br/>
      </w:r>
      <w:r>
        <w:t xml:space="preserve">confronting and unnecessary. Should not be able to make </w:t>
      </w:r>
      <w:r w:rsidR="00E96B2E">
        <w:br/>
      </w:r>
      <w:r>
        <w:t>females feel like that in a hard time.”</w:t>
      </w:r>
    </w:p>
    <w:p w14:paraId="6D435863" w14:textId="77777777" w:rsidR="000A215C" w:rsidRDefault="000A215C" w:rsidP="009825BC">
      <w:pPr>
        <w:pStyle w:val="Quotes"/>
      </w:pPr>
      <w:r>
        <w:t>“Felt very judged.”</w:t>
      </w:r>
    </w:p>
    <w:p w14:paraId="4BA2ACA3" w14:textId="77777777" w:rsidR="000A215C" w:rsidRDefault="000A215C" w:rsidP="009825BC">
      <w:pPr>
        <w:pStyle w:val="Quotes"/>
      </w:pPr>
      <w:r>
        <w:t>“Very emotional- confronting posters of babies.”</w:t>
      </w:r>
    </w:p>
    <w:p w14:paraId="3AC5C334" w14:textId="3FA9D6B8" w:rsidR="000A215C" w:rsidRDefault="000A215C" w:rsidP="009825BC">
      <w:pPr>
        <w:pStyle w:val="Quotes"/>
      </w:pPr>
      <w:r>
        <w:t xml:space="preserve">“Approached by protesters who were pushing views </w:t>
      </w:r>
      <w:r w:rsidR="00E96B2E">
        <w:br/>
      </w:r>
      <w:r>
        <w:t>and ancient opinions….”</w:t>
      </w:r>
    </w:p>
    <w:p w14:paraId="4FDE8180" w14:textId="77777777" w:rsidR="000A215C" w:rsidRDefault="000A215C" w:rsidP="009825BC">
      <w:pPr>
        <w:pStyle w:val="Quotes"/>
      </w:pPr>
      <w:r>
        <w:t>“Both myself and my partner were affected by this totally unacceptable.”</w:t>
      </w:r>
    </w:p>
    <w:p w14:paraId="261ADCA6" w14:textId="3CFD5A63" w:rsidR="000A215C" w:rsidRDefault="000A215C" w:rsidP="009825BC">
      <w:pPr>
        <w:pStyle w:val="Quotes"/>
      </w:pPr>
      <w:r>
        <w:t>“</w:t>
      </w:r>
      <w:r w:rsidR="00FE4CBE">
        <w:t>…</w:t>
      </w:r>
      <w:r>
        <w:t xml:space="preserve">quite intimidating especially in the way they approached me. </w:t>
      </w:r>
      <w:r w:rsidR="00E96B2E">
        <w:br/>
      </w:r>
      <w:r>
        <w:t xml:space="preserve">I am here as a support person for my sister I’m glad </w:t>
      </w:r>
      <w:r w:rsidR="00E96B2E">
        <w:br/>
      </w:r>
      <w:r>
        <w:t>I was approached and not her.”</w:t>
      </w:r>
    </w:p>
    <w:p w14:paraId="6F8F9B47" w14:textId="77777777" w:rsidR="000A215C" w:rsidRDefault="000A215C" w:rsidP="009825BC">
      <w:pPr>
        <w:pStyle w:val="Quotes"/>
      </w:pPr>
      <w:r>
        <w:t>“Protestor put hand inside car and dropped a bag, I threw it back.”</w:t>
      </w:r>
    </w:p>
    <w:p w14:paraId="340056DB" w14:textId="17E4C293" w:rsidR="000A215C" w:rsidRPr="009827AC" w:rsidRDefault="000A215C" w:rsidP="009825BC">
      <w:pPr>
        <w:pStyle w:val="Quotes"/>
      </w:pPr>
      <w:r>
        <w:t xml:space="preserve">“Protester paced onto the driveway, I had to brake and she waived </w:t>
      </w:r>
      <w:r w:rsidR="009825BC">
        <w:br/>
      </w:r>
      <w:r>
        <w:t xml:space="preserve">her brochures at </w:t>
      </w:r>
      <w:r w:rsidR="00CF62C8">
        <w:t>me</w:t>
      </w:r>
      <w:r>
        <w:t xml:space="preserve"> while trying to tap on my window.”</w:t>
      </w:r>
    </w:p>
    <w:p w14:paraId="0C10D4DF" w14:textId="77777777" w:rsidR="009827AC" w:rsidRDefault="009827AC" w:rsidP="003308BA">
      <w:pPr>
        <w:spacing w:after="160" w:line="259" w:lineRule="auto"/>
        <w:rPr>
          <w:rFonts w:eastAsiaTheme="majorEastAsia" w:cs="Arial"/>
          <w:b/>
          <w:sz w:val="32"/>
          <w:szCs w:val="32"/>
        </w:rPr>
      </w:pPr>
      <w:r>
        <w:rPr>
          <w:rFonts w:cs="Arial"/>
        </w:rPr>
        <w:br w:type="page"/>
      </w:r>
    </w:p>
    <w:p w14:paraId="7CC32329" w14:textId="65E4FA12" w:rsidR="009A2C73" w:rsidRPr="009A2C73" w:rsidRDefault="007254D1" w:rsidP="003308BA">
      <w:pPr>
        <w:pStyle w:val="Heading1"/>
        <w:rPr>
          <w:rFonts w:cs="Arial"/>
          <w:sz w:val="36"/>
        </w:rPr>
      </w:pPr>
      <w:bookmarkStart w:id="38" w:name="_Toc49947619"/>
      <w:r>
        <w:rPr>
          <w:rFonts w:cs="Arial"/>
        </w:rPr>
        <w:lastRenderedPageBreak/>
        <w:t>2</w:t>
      </w:r>
      <w:r w:rsidR="009827AC">
        <w:rPr>
          <w:rFonts w:cs="Arial"/>
        </w:rPr>
        <w:t xml:space="preserve">. </w:t>
      </w:r>
      <w:r w:rsidR="009A2C73" w:rsidRPr="009A2C73">
        <w:rPr>
          <w:rFonts w:cs="Arial"/>
        </w:rPr>
        <w:t>Executive Summary</w:t>
      </w:r>
      <w:bookmarkEnd w:id="36"/>
      <w:bookmarkEnd w:id="37"/>
      <w:bookmarkEnd w:id="38"/>
      <w:r w:rsidR="009A2C73" w:rsidRPr="009A2C73">
        <w:rPr>
          <w:rFonts w:cs="Arial"/>
        </w:rPr>
        <w:t xml:space="preserve"> </w:t>
      </w:r>
    </w:p>
    <w:p w14:paraId="6528C5EB" w14:textId="22F39276" w:rsidR="009A2C73" w:rsidRPr="00104C93" w:rsidRDefault="009A2C73" w:rsidP="003308BA">
      <w:pPr>
        <w:pStyle w:val="BodyText"/>
        <w:rPr>
          <w:rFonts w:ascii="Arial" w:hAnsi="Arial" w:cs="Arial"/>
          <w:sz w:val="24"/>
          <w:szCs w:val="24"/>
        </w:rPr>
      </w:pPr>
      <w:r w:rsidRPr="00104C93">
        <w:rPr>
          <w:rFonts w:ascii="Arial" w:hAnsi="Arial" w:cs="Arial"/>
          <w:sz w:val="24"/>
          <w:szCs w:val="24"/>
        </w:rPr>
        <w:t>Safe access zones have been implemented in six Australian jurisdictions, namely Tasmania, the Australian Capital Territory (ACT), Victoria</w:t>
      </w:r>
      <w:r w:rsidR="008A3E81">
        <w:rPr>
          <w:rFonts w:ascii="Arial" w:hAnsi="Arial" w:cs="Arial"/>
          <w:sz w:val="24"/>
          <w:szCs w:val="24"/>
        </w:rPr>
        <w:t xml:space="preserve"> </w:t>
      </w:r>
      <w:r w:rsidR="00CC320A">
        <w:rPr>
          <w:rFonts w:ascii="Arial" w:hAnsi="Arial" w:cs="Arial"/>
          <w:sz w:val="24"/>
          <w:szCs w:val="24"/>
        </w:rPr>
        <w:t>(VIC)</w:t>
      </w:r>
      <w:r w:rsidRPr="00104C93">
        <w:rPr>
          <w:rFonts w:ascii="Arial" w:hAnsi="Arial" w:cs="Arial"/>
          <w:sz w:val="24"/>
          <w:szCs w:val="24"/>
        </w:rPr>
        <w:t>, the Northern Territory (NT), New South Wales (NSW) and Queensland</w:t>
      </w:r>
      <w:r w:rsidR="00AF34C8">
        <w:rPr>
          <w:rFonts w:ascii="Arial" w:hAnsi="Arial" w:cs="Arial"/>
          <w:sz w:val="24"/>
          <w:szCs w:val="24"/>
        </w:rPr>
        <w:t xml:space="preserve"> (QLD)</w:t>
      </w:r>
      <w:r w:rsidRPr="00104C93">
        <w:rPr>
          <w:rFonts w:ascii="Arial" w:hAnsi="Arial" w:cs="Arial"/>
          <w:sz w:val="24"/>
          <w:szCs w:val="24"/>
        </w:rPr>
        <w:t>. Safe access zones are legislated around clinics and other facilities at which abortions are provided to ensure that patients can access reproductive health services without threat of harassment, obstruction or interference. The legislation also protects employees and others who access these facilities in the course of their duties. In most jurisdictions, safe access zones include the premises and areas within 150m of the premises.</w:t>
      </w:r>
    </w:p>
    <w:p w14:paraId="683DA31B" w14:textId="77777777" w:rsidR="009A2C73" w:rsidRPr="00104C93" w:rsidRDefault="009A2C73" w:rsidP="003308BA">
      <w:pPr>
        <w:pStyle w:val="BodyText"/>
        <w:rPr>
          <w:rFonts w:ascii="Arial" w:hAnsi="Arial" w:cs="Arial"/>
          <w:sz w:val="24"/>
          <w:szCs w:val="24"/>
        </w:rPr>
      </w:pPr>
      <w:r w:rsidRPr="00104C93">
        <w:rPr>
          <w:rFonts w:ascii="Arial" w:hAnsi="Arial" w:cs="Arial"/>
          <w:sz w:val="24"/>
          <w:szCs w:val="24"/>
        </w:rPr>
        <w:t xml:space="preserve">South Australia (SA) and Western Australia (WA) are yet to enact safe access zone legislation. Any legislation implementing safe access zones must be carefully constructed to ensure that it does not impermissibly infringe the implied freedom of political communication. Several aspects of safe access zone legislation, namely the extent of the zone and the conduct prohibited within the zone, must be scrutinised to ensure that the burden on the freedom of political communication is not too great, while still enabling the law to achieve its purpose to protect the safety and well-being, and respect the privacy and dignity of people accessing premises at which abortions are provided.  </w:t>
      </w:r>
    </w:p>
    <w:p w14:paraId="1FA741BD" w14:textId="77777777" w:rsidR="0073586F" w:rsidRPr="00104C93" w:rsidRDefault="00E12F6C" w:rsidP="003308BA">
      <w:pPr>
        <w:pStyle w:val="BodyText"/>
        <w:rPr>
          <w:rFonts w:ascii="Arial" w:hAnsi="Arial" w:cs="Arial"/>
          <w:sz w:val="24"/>
          <w:szCs w:val="24"/>
        </w:rPr>
      </w:pPr>
      <w:r>
        <w:rPr>
          <w:rFonts w:ascii="Arial" w:hAnsi="Arial" w:cs="Arial"/>
          <w:sz w:val="24"/>
          <w:szCs w:val="24"/>
        </w:rPr>
        <w:t>It is recommended</w:t>
      </w:r>
      <w:r w:rsidR="00657CB1" w:rsidRPr="00104C93">
        <w:rPr>
          <w:rFonts w:ascii="Arial" w:hAnsi="Arial" w:cs="Arial"/>
          <w:sz w:val="24"/>
          <w:szCs w:val="24"/>
        </w:rPr>
        <w:t xml:space="preserve"> that s</w:t>
      </w:r>
      <w:r w:rsidR="0073586F" w:rsidRPr="00104C93">
        <w:rPr>
          <w:rFonts w:ascii="Arial" w:hAnsi="Arial" w:cs="Arial"/>
          <w:sz w:val="24"/>
          <w:szCs w:val="24"/>
        </w:rPr>
        <w:t>afe access zones be established in South Australia and Western Australia</w:t>
      </w:r>
      <w:r w:rsidR="00657CB1" w:rsidRPr="00104C93">
        <w:rPr>
          <w:rFonts w:ascii="Arial" w:hAnsi="Arial" w:cs="Arial"/>
          <w:sz w:val="24"/>
          <w:szCs w:val="24"/>
        </w:rPr>
        <w:t>, and that:</w:t>
      </w:r>
    </w:p>
    <w:p w14:paraId="6E91BDF5" w14:textId="77777777" w:rsidR="00657CB1" w:rsidRPr="00104C93" w:rsidRDefault="00657CB1" w:rsidP="00A736A6">
      <w:pPr>
        <w:pStyle w:val="ListParagraph"/>
        <w:numPr>
          <w:ilvl w:val="0"/>
          <w:numId w:val="24"/>
        </w:numPr>
        <w:rPr>
          <w:rFonts w:cs="Arial"/>
          <w:szCs w:val="24"/>
        </w:rPr>
      </w:pPr>
      <w:r w:rsidRPr="00104C93">
        <w:rPr>
          <w:rFonts w:cs="Arial"/>
          <w:szCs w:val="24"/>
        </w:rPr>
        <w:t>safe access zones should be 150 metres from the termination service premises, unless the Minister otherwise prescribes a distance, being not less than 150 metres, by regulation.</w:t>
      </w:r>
    </w:p>
    <w:p w14:paraId="68315916" w14:textId="77777777" w:rsidR="00657CB1" w:rsidRPr="00104C93" w:rsidRDefault="00657CB1" w:rsidP="00A736A6">
      <w:pPr>
        <w:pStyle w:val="ListParagraph"/>
        <w:numPr>
          <w:ilvl w:val="0"/>
          <w:numId w:val="24"/>
        </w:numPr>
        <w:spacing w:before="240" w:after="240"/>
        <w:rPr>
          <w:rFonts w:cs="Arial"/>
          <w:szCs w:val="24"/>
        </w:rPr>
      </w:pPr>
      <w:r w:rsidRPr="00104C93">
        <w:rPr>
          <w:rFonts w:cs="Arial"/>
          <w:szCs w:val="24"/>
        </w:rPr>
        <w:t>prohibited behaviour be defined as stated in Victorian legislation.</w:t>
      </w:r>
    </w:p>
    <w:p w14:paraId="48338F36" w14:textId="77777777" w:rsidR="00657CB1" w:rsidRPr="00104C93" w:rsidRDefault="00657CB1" w:rsidP="00A736A6">
      <w:pPr>
        <w:pStyle w:val="ListParagraph"/>
        <w:numPr>
          <w:ilvl w:val="0"/>
          <w:numId w:val="24"/>
        </w:numPr>
        <w:rPr>
          <w:rFonts w:cs="Arial"/>
          <w:szCs w:val="24"/>
        </w:rPr>
      </w:pPr>
      <w:r w:rsidRPr="00104C93">
        <w:rPr>
          <w:rFonts w:cs="Arial"/>
          <w:szCs w:val="24"/>
        </w:rPr>
        <w:t>the premises around which safe access zones are to be established be defined, including public hospitals and clinics.</w:t>
      </w:r>
    </w:p>
    <w:p w14:paraId="7D09EBDF" w14:textId="77777777" w:rsidR="00657CB1" w:rsidRPr="008972C1" w:rsidRDefault="00657CB1" w:rsidP="00A736A6">
      <w:pPr>
        <w:pStyle w:val="ListParagraph"/>
        <w:numPr>
          <w:ilvl w:val="0"/>
          <w:numId w:val="24"/>
        </w:numPr>
        <w:rPr>
          <w:rFonts w:cs="Arial"/>
          <w:szCs w:val="24"/>
        </w:rPr>
      </w:pPr>
      <w:r w:rsidRPr="00104C93">
        <w:rPr>
          <w:rFonts w:cs="Arial"/>
          <w:szCs w:val="24"/>
        </w:rPr>
        <w:t xml:space="preserve">12 -months imprisonment and/or an appropriate fine be introduced as a </w:t>
      </w:r>
      <w:r w:rsidRPr="008972C1">
        <w:rPr>
          <w:rFonts w:cs="Arial"/>
          <w:szCs w:val="24"/>
        </w:rPr>
        <w:t>penalty for engaging in prohibited behaviour in a safe access zone</w:t>
      </w:r>
    </w:p>
    <w:p w14:paraId="00AAC160" w14:textId="77777777" w:rsidR="00657CB1" w:rsidRPr="008972C1" w:rsidRDefault="00657CB1" w:rsidP="00A736A6">
      <w:pPr>
        <w:pStyle w:val="ListParagraph"/>
        <w:numPr>
          <w:ilvl w:val="0"/>
          <w:numId w:val="24"/>
        </w:numPr>
        <w:rPr>
          <w:rFonts w:cs="Arial"/>
          <w:szCs w:val="24"/>
        </w:rPr>
      </w:pPr>
      <w:r w:rsidRPr="008972C1">
        <w:rPr>
          <w:rFonts w:cs="Arial"/>
          <w:szCs w:val="24"/>
        </w:rPr>
        <w:t>the prohibited behaviour not apply to employees or other persons who provide services at termination services premises</w:t>
      </w:r>
    </w:p>
    <w:p w14:paraId="31C940FD" w14:textId="77777777" w:rsidR="00657CB1" w:rsidRPr="008972C1" w:rsidRDefault="00657CB1" w:rsidP="00A736A6">
      <w:pPr>
        <w:pStyle w:val="ListParagraph"/>
        <w:numPr>
          <w:ilvl w:val="0"/>
          <w:numId w:val="24"/>
        </w:numPr>
        <w:rPr>
          <w:szCs w:val="24"/>
        </w:rPr>
      </w:pPr>
      <w:r w:rsidRPr="008972C1">
        <w:rPr>
          <w:rFonts w:cs="Arial"/>
          <w:szCs w:val="24"/>
        </w:rPr>
        <w:t>no exclusions of the application of the safe access zone in any circumstances are included in any South Australian or Western Australian legislation</w:t>
      </w:r>
    </w:p>
    <w:p w14:paraId="10CEFDD6" w14:textId="77777777" w:rsidR="000B3DCA" w:rsidRPr="00FE4CBE" w:rsidRDefault="00F71C97" w:rsidP="00543D23">
      <w:pPr>
        <w:pStyle w:val="FootnoteText"/>
        <w:rPr>
          <w:sz w:val="24"/>
        </w:rPr>
      </w:pPr>
      <w:r w:rsidRPr="00FE4CBE">
        <w:rPr>
          <w:sz w:val="24"/>
        </w:rPr>
        <w:t>Harmonising safe access zone legislation across jurisdictions could enable greater health access and equity. Doing so would also enable Australia to meet international commitments to preventing discrimination and violence against women.</w:t>
      </w:r>
      <w:r w:rsidRPr="00FE4CBE">
        <w:rPr>
          <w:rStyle w:val="FootnoteReference"/>
          <w:rFonts w:cs="Arial"/>
          <w:sz w:val="24"/>
          <w:szCs w:val="24"/>
        </w:rPr>
        <w:footnoteReference w:id="2"/>
      </w:r>
    </w:p>
    <w:p w14:paraId="6FECA423" w14:textId="3B65548E" w:rsidR="0073586F" w:rsidRDefault="007254D1" w:rsidP="003308BA">
      <w:pPr>
        <w:pStyle w:val="Heading1"/>
      </w:pPr>
      <w:bookmarkStart w:id="39" w:name="_Toc49947620"/>
      <w:r>
        <w:lastRenderedPageBreak/>
        <w:t>3</w:t>
      </w:r>
      <w:r w:rsidR="000B3DCA">
        <w:t>. Background</w:t>
      </w:r>
      <w:bookmarkEnd w:id="39"/>
    </w:p>
    <w:p w14:paraId="6461CD68" w14:textId="77777777" w:rsidR="00347C67" w:rsidRPr="000E2AD0" w:rsidRDefault="00347C67" w:rsidP="000E2AD0">
      <w:pPr>
        <w:pStyle w:val="BodyText"/>
        <w:spacing w:before="0" w:line="276" w:lineRule="auto"/>
        <w:rPr>
          <w:rFonts w:ascii="Arial" w:hAnsi="Arial" w:cs="Arial"/>
          <w:sz w:val="24"/>
          <w:szCs w:val="24"/>
        </w:rPr>
      </w:pPr>
      <w:r w:rsidRPr="000E2AD0">
        <w:rPr>
          <w:rFonts w:ascii="Arial" w:hAnsi="Arial" w:cs="Arial"/>
          <w:sz w:val="24"/>
          <w:szCs w:val="24"/>
        </w:rPr>
        <w:t>Sexual and reproductive healthc</w:t>
      </w:r>
      <w:r w:rsidR="00F71C97">
        <w:rPr>
          <w:rFonts w:ascii="Arial" w:hAnsi="Arial" w:cs="Arial"/>
          <w:sz w:val="24"/>
          <w:szCs w:val="24"/>
        </w:rPr>
        <w:t>are are essential services. S</w:t>
      </w:r>
      <w:r w:rsidR="00865BC8" w:rsidRPr="000E2AD0">
        <w:rPr>
          <w:rFonts w:ascii="Arial" w:hAnsi="Arial" w:cs="Arial"/>
          <w:sz w:val="24"/>
          <w:szCs w:val="24"/>
        </w:rPr>
        <w:t xml:space="preserve">afe access zones enable access to those essential services. </w:t>
      </w:r>
      <w:r w:rsidR="00055B21" w:rsidRPr="000E2AD0">
        <w:rPr>
          <w:rFonts w:ascii="Arial" w:hAnsi="Arial" w:cs="Arial"/>
          <w:sz w:val="24"/>
          <w:szCs w:val="24"/>
        </w:rPr>
        <w:t xml:space="preserve">Safe access zones are mechanisms that </w:t>
      </w:r>
      <w:r w:rsidR="005B3E3A">
        <w:rPr>
          <w:rFonts w:ascii="Arial" w:hAnsi="Arial" w:cs="Arial"/>
          <w:sz w:val="24"/>
          <w:szCs w:val="24"/>
        </w:rPr>
        <w:t xml:space="preserve">can </w:t>
      </w:r>
      <w:r w:rsidR="00F71C97">
        <w:rPr>
          <w:rFonts w:ascii="Arial" w:hAnsi="Arial" w:cs="Arial"/>
          <w:sz w:val="24"/>
          <w:szCs w:val="24"/>
        </w:rPr>
        <w:t>increase public</w:t>
      </w:r>
      <w:r w:rsidR="005B3E3A">
        <w:rPr>
          <w:rFonts w:ascii="Arial" w:hAnsi="Arial" w:cs="Arial"/>
          <w:sz w:val="24"/>
          <w:szCs w:val="24"/>
        </w:rPr>
        <w:t xml:space="preserve"> health equity and</w:t>
      </w:r>
      <w:r w:rsidR="00F71C97">
        <w:rPr>
          <w:rFonts w:ascii="Arial" w:hAnsi="Arial" w:cs="Arial"/>
          <w:sz w:val="24"/>
          <w:szCs w:val="24"/>
        </w:rPr>
        <w:t xml:space="preserve"> </w:t>
      </w:r>
      <w:r w:rsidR="00055B21" w:rsidRPr="000E2AD0">
        <w:rPr>
          <w:rFonts w:ascii="Arial" w:hAnsi="Arial" w:cs="Arial"/>
          <w:sz w:val="24"/>
          <w:szCs w:val="24"/>
        </w:rPr>
        <w:t>prevent violence against women.</w:t>
      </w:r>
      <w:r w:rsidR="00055B21" w:rsidRPr="000E2AD0">
        <w:rPr>
          <w:rStyle w:val="FootnoteReference"/>
          <w:rFonts w:ascii="Arial" w:hAnsi="Arial" w:cs="Arial"/>
          <w:sz w:val="24"/>
          <w:szCs w:val="24"/>
        </w:rPr>
        <w:t xml:space="preserve"> </w:t>
      </w:r>
      <w:r w:rsidR="00055B21" w:rsidRPr="000E2AD0">
        <w:rPr>
          <w:rStyle w:val="FootnoteReference"/>
          <w:rFonts w:ascii="Arial" w:hAnsi="Arial" w:cs="Arial"/>
          <w:sz w:val="24"/>
          <w:szCs w:val="24"/>
        </w:rPr>
        <w:footnoteReference w:id="3"/>
      </w:r>
      <w:r w:rsidR="000E2AD0">
        <w:rPr>
          <w:rFonts w:ascii="Arial" w:hAnsi="Arial" w:cs="Arial"/>
          <w:sz w:val="24"/>
          <w:szCs w:val="24"/>
        </w:rPr>
        <w:t xml:space="preserve"> </w:t>
      </w:r>
    </w:p>
    <w:p w14:paraId="17120C97" w14:textId="77777777" w:rsidR="00347C67" w:rsidRPr="000E2AD0" w:rsidRDefault="005B3E3A" w:rsidP="000E2AD0">
      <w:pPr>
        <w:rPr>
          <w:rFonts w:cs="Arial"/>
          <w:szCs w:val="24"/>
        </w:rPr>
      </w:pPr>
      <w:r>
        <w:rPr>
          <w:rFonts w:cs="Arial"/>
          <w:szCs w:val="24"/>
        </w:rPr>
        <w:t>T</w:t>
      </w:r>
      <w:r w:rsidR="00055B21" w:rsidRPr="000E2AD0">
        <w:rPr>
          <w:rFonts w:cs="Arial"/>
          <w:szCs w:val="24"/>
        </w:rPr>
        <w:t xml:space="preserve">he United Nations </w:t>
      </w:r>
      <w:r w:rsidR="00347C67" w:rsidRPr="000E2AD0">
        <w:rPr>
          <w:rFonts w:cs="Arial"/>
          <w:szCs w:val="24"/>
        </w:rPr>
        <w:t>Committee on Economic, Social and Cultural Rights and the Committee on the Elimination of Discrimination against Women (CEDAW)</w:t>
      </w:r>
      <w:r>
        <w:rPr>
          <w:rFonts w:cs="Arial"/>
          <w:szCs w:val="24"/>
        </w:rPr>
        <w:t xml:space="preserve"> have enshrined s</w:t>
      </w:r>
      <w:r w:rsidRPr="000E2AD0">
        <w:rPr>
          <w:rFonts w:cs="Arial"/>
          <w:szCs w:val="24"/>
        </w:rPr>
        <w:t xml:space="preserve">exual and reproductive </w:t>
      </w:r>
      <w:r>
        <w:rPr>
          <w:rFonts w:cs="Arial"/>
          <w:szCs w:val="24"/>
        </w:rPr>
        <w:t>within women’s right to health</w:t>
      </w:r>
      <w:r w:rsidR="00347C67" w:rsidRPr="000E2AD0">
        <w:rPr>
          <w:rFonts w:cs="Arial"/>
          <w:szCs w:val="24"/>
        </w:rPr>
        <w:t>.</w:t>
      </w:r>
      <w:r w:rsidR="00865BC8" w:rsidRPr="000E2AD0">
        <w:rPr>
          <w:rStyle w:val="FootnoteReference"/>
          <w:rFonts w:cs="Arial"/>
          <w:szCs w:val="24"/>
        </w:rPr>
        <w:t xml:space="preserve"> </w:t>
      </w:r>
      <w:r w:rsidR="00865BC8" w:rsidRPr="000E2AD0">
        <w:rPr>
          <w:rStyle w:val="FootnoteReference"/>
          <w:rFonts w:cs="Arial"/>
          <w:szCs w:val="24"/>
        </w:rPr>
        <w:footnoteReference w:id="4"/>
      </w:r>
      <w:r w:rsidR="00347C67" w:rsidRPr="000E2AD0">
        <w:rPr>
          <w:rFonts w:cs="Arial"/>
          <w:szCs w:val="24"/>
        </w:rPr>
        <w:t xml:space="preserve"> </w:t>
      </w:r>
      <w:r>
        <w:rPr>
          <w:rFonts w:cs="Arial"/>
          <w:szCs w:val="24"/>
        </w:rPr>
        <w:t xml:space="preserve">The </w:t>
      </w:r>
      <w:r w:rsidR="00347C67" w:rsidRPr="000E2AD0">
        <w:rPr>
          <w:rFonts w:cs="Arial"/>
          <w:szCs w:val="24"/>
        </w:rPr>
        <w:t>Australia</w:t>
      </w:r>
      <w:r>
        <w:rPr>
          <w:rFonts w:cs="Arial"/>
          <w:szCs w:val="24"/>
        </w:rPr>
        <w:t>n Government</w:t>
      </w:r>
      <w:r w:rsidR="00347C67" w:rsidRPr="000E2AD0">
        <w:rPr>
          <w:rFonts w:cs="Arial"/>
          <w:szCs w:val="24"/>
        </w:rPr>
        <w:t xml:space="preserve"> is therefore obliged to respect, protect and fulfil sexual and reproductive health and rights. Observations on Australia’s eight periodic CEDAW report included recommendations to harmonise safe access zone legislation across jurisdictions to enable greater health access and equity.</w:t>
      </w:r>
      <w:r w:rsidR="00347C67" w:rsidRPr="000E2AD0">
        <w:rPr>
          <w:rStyle w:val="FootnoteReference"/>
          <w:rFonts w:cs="Arial"/>
          <w:szCs w:val="24"/>
        </w:rPr>
        <w:footnoteReference w:id="5"/>
      </w:r>
    </w:p>
    <w:p w14:paraId="2A79AF5C" w14:textId="77777777" w:rsidR="000E2AD0" w:rsidRPr="000E2AD0" w:rsidRDefault="000E2AD0" w:rsidP="000E2AD0">
      <w:pPr>
        <w:jc w:val="both"/>
        <w:rPr>
          <w:rFonts w:cs="Arial"/>
          <w:szCs w:val="24"/>
          <w:lang w:val="en-GB"/>
        </w:rPr>
      </w:pPr>
      <w:r w:rsidRPr="000E2AD0">
        <w:rPr>
          <w:rFonts w:cs="Arial"/>
          <w:szCs w:val="24"/>
          <w:lang w:val="en-GB"/>
        </w:rPr>
        <w:t xml:space="preserve">Safe access zones have been established in all States and Territories in Australia apart from Western Australia and South Australia. Where </w:t>
      </w:r>
      <w:r w:rsidR="005B3E3A">
        <w:rPr>
          <w:rFonts w:cs="Arial"/>
          <w:szCs w:val="24"/>
          <w:lang w:val="en-GB"/>
        </w:rPr>
        <w:t>safe access</w:t>
      </w:r>
      <w:r w:rsidRPr="000E2AD0">
        <w:rPr>
          <w:rFonts w:cs="Arial"/>
          <w:szCs w:val="24"/>
          <w:lang w:val="en-GB"/>
        </w:rPr>
        <w:t xml:space="preserve"> zones have been established around clinics, the need to engage with local police for permit breaches or unlawful activity has decreased to zero. </w:t>
      </w:r>
      <w:r w:rsidR="005B3E3A">
        <w:rPr>
          <w:rFonts w:cs="Arial"/>
          <w:szCs w:val="24"/>
          <w:lang w:val="en-GB"/>
        </w:rPr>
        <w:t>Safe access</w:t>
      </w:r>
      <w:r w:rsidRPr="000E2AD0">
        <w:rPr>
          <w:rFonts w:cs="Arial"/>
          <w:szCs w:val="24"/>
          <w:lang w:val="en-GB"/>
        </w:rPr>
        <w:t xml:space="preserve"> zones are automatic, and they have resulted in the almost immediate compliance by picketers to the zone boundaries. </w:t>
      </w:r>
    </w:p>
    <w:p w14:paraId="1949203C" w14:textId="77777777" w:rsidR="000B3DCA" w:rsidRPr="000E2AD0" w:rsidRDefault="000E2AD0" w:rsidP="000E2AD0">
      <w:pPr>
        <w:pStyle w:val="BodyText"/>
        <w:spacing w:before="0" w:line="276" w:lineRule="auto"/>
        <w:rPr>
          <w:rFonts w:ascii="Arial" w:hAnsi="Arial" w:cs="Arial"/>
          <w:sz w:val="24"/>
          <w:szCs w:val="24"/>
        </w:rPr>
      </w:pPr>
      <w:r>
        <w:rPr>
          <w:rFonts w:ascii="Arial" w:hAnsi="Arial" w:cs="Arial"/>
          <w:sz w:val="24"/>
          <w:szCs w:val="24"/>
        </w:rPr>
        <w:t>The following report</w:t>
      </w:r>
      <w:r w:rsidR="000B3DCA" w:rsidRPr="000E2AD0">
        <w:rPr>
          <w:rFonts w:ascii="Arial" w:hAnsi="Arial" w:cs="Arial"/>
          <w:sz w:val="24"/>
          <w:szCs w:val="24"/>
        </w:rPr>
        <w:t xml:space="preserve"> outlines existing safe access zone legislation in Australia and identifies its strengths and weaknesses. Implications of the implied freedom of political communication are considered. Relevant contextual considerations for South Australia and Western Australia are provided as a basis upon which recommendations are be made for the implementation of safe access zones. </w:t>
      </w:r>
    </w:p>
    <w:p w14:paraId="49158E8A" w14:textId="1FB2FC76" w:rsidR="006F2C2D" w:rsidRPr="006F2C2D" w:rsidRDefault="007254D1" w:rsidP="006F2C2D">
      <w:pPr>
        <w:pStyle w:val="Heading2"/>
      </w:pPr>
      <w:bookmarkStart w:id="40" w:name="_Toc49947621"/>
      <w:r>
        <w:t>3</w:t>
      </w:r>
      <w:r w:rsidR="0001321D">
        <w:t>.1</w:t>
      </w:r>
      <w:r w:rsidR="006F2C2D">
        <w:t xml:space="preserve"> University of Queensland Pro Bono Centre</w:t>
      </w:r>
      <w:bookmarkEnd w:id="40"/>
    </w:p>
    <w:p w14:paraId="2D2FB683" w14:textId="25036CA2" w:rsidR="006F2C2D" w:rsidRDefault="006F2C2D" w:rsidP="00C56345">
      <w:r w:rsidRPr="006F2C2D">
        <w:t xml:space="preserve"> </w:t>
      </w:r>
      <w:r>
        <w:t xml:space="preserve">This report was researched and authored by University of Queensland (UQ) law students </w:t>
      </w:r>
      <w:r w:rsidRPr="006F2C2D">
        <w:t>Caitlin Holmes and Eleanor Taylor under the academic supervision of Professor Heather Douglas. This report was prepared for and on behalf of Marie Stopes Australia</w:t>
      </w:r>
      <w:r>
        <w:t>,</w:t>
      </w:r>
      <w:r>
        <w:rPr>
          <w:b/>
        </w:rPr>
        <w:t xml:space="preserve"> </w:t>
      </w:r>
      <w:r>
        <w:t xml:space="preserve">a national non-profit family planning organisation providing reproductive health services. Student researchers and Professor Heather Douglas undertook this task </w:t>
      </w:r>
      <w:r w:rsidRPr="006F2C2D">
        <w:t>on a pro bono</w:t>
      </w:r>
      <w:r>
        <w:rPr>
          <w:i/>
        </w:rPr>
        <w:t xml:space="preserve"> </w:t>
      </w:r>
      <w:r>
        <w:t>basis, without any academic credit or reward, as part of their contribution to service as future members of the legal profession. The UQ Pro Bono Centre and student researchers thank Marie Stopes Australia for allowing us to contribute to its vital work.</w:t>
      </w:r>
      <w:bookmarkStart w:id="41" w:name="_heading=h.30j0zll"/>
      <w:bookmarkEnd w:id="41"/>
    </w:p>
    <w:p w14:paraId="4EE187CE" w14:textId="320F776D" w:rsidR="0001321D" w:rsidRDefault="007254D1" w:rsidP="0001321D">
      <w:pPr>
        <w:pStyle w:val="Heading2"/>
      </w:pPr>
      <w:bookmarkStart w:id="42" w:name="_Toc49947622"/>
      <w:r>
        <w:lastRenderedPageBreak/>
        <w:t>3</w:t>
      </w:r>
      <w:r w:rsidR="0001321D" w:rsidRPr="006F2C2D">
        <w:t>.2 Australian Women Against Violence Alliance</w:t>
      </w:r>
      <w:bookmarkEnd w:id="42"/>
    </w:p>
    <w:p w14:paraId="6C0BBCBA" w14:textId="77777777" w:rsidR="002C43DC" w:rsidRPr="003B0761" w:rsidRDefault="002C43DC" w:rsidP="002C43DC">
      <w:pPr>
        <w:rPr>
          <w:rFonts w:eastAsia="Calibri" w:cstheme="majorHAnsi"/>
        </w:rPr>
      </w:pPr>
      <w:r w:rsidRPr="003B0761">
        <w:rPr>
          <w:rFonts w:eastAsia="Calibri" w:cstheme="majorHAnsi"/>
        </w:rPr>
        <w:t>Australian Women Against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services for women in the sex industry and women’s legal services, as well as organisations representing Aboriginal and Torres Strait Islander women, young women, women educators and other groups. AWAVA's contract manager is the Women's Services Network (WESNET).</w:t>
      </w:r>
    </w:p>
    <w:p w14:paraId="3FB29C53" w14:textId="159C2700" w:rsidR="0001321D" w:rsidRDefault="007254D1" w:rsidP="0001321D">
      <w:pPr>
        <w:pStyle w:val="Heading2"/>
      </w:pPr>
      <w:bookmarkStart w:id="43" w:name="_Toc49947623"/>
      <w:r>
        <w:t>3</w:t>
      </w:r>
      <w:r w:rsidR="0001321D">
        <w:t>.3 Marie Stopes Australia</w:t>
      </w:r>
      <w:bookmarkEnd w:id="43"/>
    </w:p>
    <w:p w14:paraId="4223E236" w14:textId="77777777" w:rsidR="0001321D" w:rsidRPr="006372B0" w:rsidRDefault="0001321D" w:rsidP="0001321D">
      <w:pPr>
        <w:pStyle w:val="NormalWeb"/>
        <w:spacing w:before="0" w:beforeAutospacing="0" w:after="120" w:afterAutospacing="0" w:line="276" w:lineRule="auto"/>
        <w:rPr>
          <w:rFonts w:ascii="Arial" w:hAnsi="Arial" w:cs="Arial"/>
          <w:iCs/>
        </w:rPr>
      </w:pPr>
      <w:r w:rsidRPr="006372B0">
        <w:rPr>
          <w:rFonts w:ascii="Arial" w:hAnsi="Arial" w:cs="Arial"/>
          <w:iCs/>
        </w:rPr>
        <w:t>As an independent, non-profit organisation, Marie Stopes Australia is Australia’s only national accredited provider of abortion, contraception and vasectomy services, and the country’s longest running provider of teleabortion. Our holistic, client-centred approach empowers individuals to lead their own reproductive healthcare safely, and with dignity, regardless of their circumstances. Through active partnerships with healthcare providers, researchers and communities, our models of care ensure the total wellbeing of our clients is supported at every stage</w:t>
      </w:r>
      <w:r w:rsidRPr="006372B0">
        <w:rPr>
          <w:rStyle w:val="EndnoteReference"/>
          <w:rFonts w:cs="Arial"/>
          <w:iCs/>
        </w:rPr>
        <w:endnoteReference w:id="1"/>
      </w:r>
      <w:r w:rsidRPr="006372B0">
        <w:rPr>
          <w:rFonts w:ascii="Arial" w:hAnsi="Arial" w:cs="Arial"/>
          <w:iCs/>
        </w:rPr>
        <w:t>.</w:t>
      </w:r>
    </w:p>
    <w:p w14:paraId="1A798401" w14:textId="77777777" w:rsidR="006F2C2D" w:rsidRDefault="006F2C2D" w:rsidP="006F2C2D">
      <w:pPr>
        <w:jc w:val="both"/>
        <w:rPr>
          <w:sz w:val="22"/>
        </w:rPr>
      </w:pPr>
    </w:p>
    <w:p w14:paraId="42C9C79F" w14:textId="77777777" w:rsidR="003308BA" w:rsidRPr="008972C1" w:rsidRDefault="003308BA" w:rsidP="003308BA">
      <w:pPr>
        <w:pStyle w:val="BodyText"/>
        <w:rPr>
          <w:rFonts w:ascii="Arial" w:hAnsi="Arial" w:cs="Arial"/>
          <w:i/>
          <w:sz w:val="24"/>
          <w:szCs w:val="24"/>
        </w:rPr>
      </w:pPr>
    </w:p>
    <w:p w14:paraId="51FBED83" w14:textId="77777777" w:rsidR="009827AC" w:rsidRPr="00E12F6C" w:rsidRDefault="009827AC" w:rsidP="003308BA">
      <w:pPr>
        <w:spacing w:after="160" w:line="259" w:lineRule="auto"/>
        <w:rPr>
          <w:rFonts w:eastAsiaTheme="majorEastAsia" w:cs="Arial"/>
          <w:b/>
          <w:i/>
          <w:sz w:val="32"/>
          <w:szCs w:val="32"/>
        </w:rPr>
      </w:pPr>
      <w:bookmarkStart w:id="44" w:name="_Toc47512447"/>
      <w:bookmarkStart w:id="45" w:name="_Toc47278189"/>
      <w:r w:rsidRPr="00E12F6C">
        <w:rPr>
          <w:rFonts w:cs="Arial"/>
          <w:i/>
        </w:rPr>
        <w:br w:type="page"/>
      </w:r>
    </w:p>
    <w:p w14:paraId="48D390C2" w14:textId="7C08C629" w:rsidR="009A2C73" w:rsidRPr="009A2C73" w:rsidRDefault="007254D1" w:rsidP="003308BA">
      <w:pPr>
        <w:pStyle w:val="Heading1"/>
        <w:rPr>
          <w:rFonts w:cs="Arial"/>
          <w:sz w:val="36"/>
        </w:rPr>
      </w:pPr>
      <w:bookmarkStart w:id="46" w:name="_Toc49947624"/>
      <w:r>
        <w:rPr>
          <w:rFonts w:cs="Arial"/>
        </w:rPr>
        <w:lastRenderedPageBreak/>
        <w:t>4</w:t>
      </w:r>
      <w:r w:rsidR="009827AC">
        <w:rPr>
          <w:rFonts w:cs="Arial"/>
        </w:rPr>
        <w:t xml:space="preserve">. </w:t>
      </w:r>
      <w:r w:rsidR="009A2C73" w:rsidRPr="009A2C73">
        <w:rPr>
          <w:rFonts w:cs="Arial"/>
        </w:rPr>
        <w:t xml:space="preserve">Existing Safe Access Zone </w:t>
      </w:r>
      <w:bookmarkEnd w:id="44"/>
      <w:bookmarkEnd w:id="45"/>
      <w:r w:rsidR="00A04641">
        <w:rPr>
          <w:rFonts w:cs="Arial"/>
        </w:rPr>
        <w:t>Legislation</w:t>
      </w:r>
      <w:bookmarkEnd w:id="46"/>
    </w:p>
    <w:tbl>
      <w:tblPr>
        <w:tblStyle w:val="TableMSA"/>
        <w:tblW w:w="0" w:type="dxa"/>
        <w:tblInd w:w="-5" w:type="dxa"/>
        <w:tblLayout w:type="fixed"/>
        <w:tblLook w:val="04A0" w:firstRow="1" w:lastRow="0" w:firstColumn="1" w:lastColumn="0" w:noHBand="0" w:noVBand="1"/>
      </w:tblPr>
      <w:tblGrid>
        <w:gridCol w:w="3114"/>
        <w:gridCol w:w="6514"/>
      </w:tblGrid>
      <w:tr w:rsidR="00606BB3" w:rsidRPr="009A2C73" w14:paraId="6B53B7D0" w14:textId="77777777" w:rsidTr="00606BB3">
        <w:trPr>
          <w:cnfStyle w:val="100000000000" w:firstRow="1" w:lastRow="0" w:firstColumn="0" w:lastColumn="0" w:oddVBand="0" w:evenVBand="0" w:oddHBand="0" w:evenHBand="0" w:firstRowFirstColumn="0" w:firstRowLastColumn="0" w:lastRowFirstColumn="0" w:lastRowLastColumn="0"/>
        </w:trPr>
        <w:tc>
          <w:tcPr>
            <w:tcW w:w="3114" w:type="dxa"/>
            <w:hideMark/>
          </w:tcPr>
          <w:p w14:paraId="776537F7" w14:textId="77777777" w:rsidR="009A2C73" w:rsidRPr="009A2C73" w:rsidRDefault="009A2C73" w:rsidP="003308BA">
            <w:pPr>
              <w:spacing w:before="120"/>
              <w:rPr>
                <w:rFonts w:cs="Arial"/>
                <w:b/>
                <w:bCs/>
                <w:color w:val="000000"/>
              </w:rPr>
            </w:pPr>
            <w:r w:rsidRPr="009A2C73">
              <w:rPr>
                <w:rFonts w:cs="Arial"/>
                <w:b/>
                <w:bCs/>
                <w:color w:val="000000"/>
              </w:rPr>
              <w:t>Jurisdiction</w:t>
            </w:r>
          </w:p>
        </w:tc>
        <w:tc>
          <w:tcPr>
            <w:tcW w:w="6514" w:type="dxa"/>
            <w:hideMark/>
          </w:tcPr>
          <w:p w14:paraId="0121089A" w14:textId="77777777" w:rsidR="009A2C73" w:rsidRPr="009A2C73" w:rsidRDefault="009A2C73" w:rsidP="003308BA">
            <w:pPr>
              <w:spacing w:before="120"/>
              <w:rPr>
                <w:rFonts w:cs="Arial"/>
                <w:b/>
                <w:bCs/>
                <w:color w:val="000000"/>
              </w:rPr>
            </w:pPr>
            <w:r w:rsidRPr="009A2C73">
              <w:rPr>
                <w:rFonts w:cs="Arial"/>
                <w:b/>
                <w:bCs/>
                <w:color w:val="000000"/>
              </w:rPr>
              <w:t>Law</w:t>
            </w:r>
          </w:p>
        </w:tc>
      </w:tr>
      <w:tr w:rsidR="00606BB3" w:rsidRPr="009A2C73" w14:paraId="68FDCB80" w14:textId="77777777" w:rsidTr="00606BB3">
        <w:tc>
          <w:tcPr>
            <w:tcW w:w="3114" w:type="dxa"/>
            <w:hideMark/>
          </w:tcPr>
          <w:p w14:paraId="05BF856D" w14:textId="77777777" w:rsidR="009A2C73" w:rsidRPr="009A2C73" w:rsidRDefault="009A2C73" w:rsidP="003308BA">
            <w:pPr>
              <w:spacing w:before="120"/>
              <w:rPr>
                <w:rFonts w:cs="Arial"/>
                <w:color w:val="000000"/>
              </w:rPr>
            </w:pPr>
            <w:r w:rsidRPr="009A2C73">
              <w:rPr>
                <w:rFonts w:cs="Arial"/>
                <w:color w:val="000000"/>
              </w:rPr>
              <w:t>Queensland</w:t>
            </w:r>
          </w:p>
        </w:tc>
        <w:tc>
          <w:tcPr>
            <w:tcW w:w="6514" w:type="dxa"/>
            <w:hideMark/>
          </w:tcPr>
          <w:p w14:paraId="1F6E63F7" w14:textId="77777777" w:rsidR="009A2C73" w:rsidRPr="009A2C73" w:rsidRDefault="002C61EE" w:rsidP="003308BA">
            <w:pPr>
              <w:spacing w:before="120"/>
              <w:rPr>
                <w:rFonts w:cs="Arial"/>
                <w:color w:val="000000"/>
              </w:rPr>
            </w:pPr>
            <w:hyperlink r:id="rId8" w:history="1">
              <w:r w:rsidR="009A2C73" w:rsidRPr="009A2C73">
                <w:rPr>
                  <w:rStyle w:val="Hyperlink"/>
                  <w:rFonts w:cs="Arial"/>
                  <w:i/>
                </w:rPr>
                <w:t>Termination of Pregnancy Act 2018</w:t>
              </w:r>
              <w:r w:rsidR="009A2C73" w:rsidRPr="009A2C73">
                <w:rPr>
                  <w:rStyle w:val="Hyperlink"/>
                  <w:rFonts w:cs="Arial"/>
                </w:rPr>
                <w:t xml:space="preserve"> (Qld)</w:t>
              </w:r>
            </w:hyperlink>
            <w:r w:rsidR="009A2C73" w:rsidRPr="009A2C73">
              <w:rPr>
                <w:rFonts w:cs="Arial"/>
                <w:color w:val="000000"/>
              </w:rPr>
              <w:t xml:space="preserve"> Part 4 </w:t>
            </w:r>
          </w:p>
        </w:tc>
      </w:tr>
      <w:tr w:rsidR="009A2C73" w:rsidRPr="009A2C73" w14:paraId="2E7889EB" w14:textId="77777777" w:rsidTr="00606BB3">
        <w:tc>
          <w:tcPr>
            <w:tcW w:w="3114" w:type="dxa"/>
            <w:hideMark/>
          </w:tcPr>
          <w:p w14:paraId="6B74E65B" w14:textId="77777777" w:rsidR="009A2C73" w:rsidRPr="009A2C73" w:rsidRDefault="009A2C73" w:rsidP="003308BA">
            <w:pPr>
              <w:spacing w:before="120"/>
              <w:rPr>
                <w:rFonts w:cs="Arial"/>
                <w:color w:val="000000"/>
              </w:rPr>
            </w:pPr>
            <w:r w:rsidRPr="009A2C73">
              <w:rPr>
                <w:rFonts w:cs="Arial"/>
                <w:color w:val="000000"/>
              </w:rPr>
              <w:t>New South Wales</w:t>
            </w:r>
          </w:p>
        </w:tc>
        <w:tc>
          <w:tcPr>
            <w:tcW w:w="6514" w:type="dxa"/>
            <w:hideMark/>
          </w:tcPr>
          <w:p w14:paraId="7EB630BC" w14:textId="77777777" w:rsidR="009A2C73" w:rsidRPr="009A2C73" w:rsidRDefault="002C61EE" w:rsidP="003308BA">
            <w:pPr>
              <w:spacing w:before="120"/>
              <w:rPr>
                <w:rFonts w:cs="Arial"/>
                <w:color w:val="000000"/>
              </w:rPr>
            </w:pPr>
            <w:hyperlink r:id="rId9" w:history="1">
              <w:r w:rsidR="009A2C73" w:rsidRPr="009A2C73">
                <w:rPr>
                  <w:rStyle w:val="Hyperlink"/>
                  <w:rFonts w:cs="Arial"/>
                  <w:i/>
                </w:rPr>
                <w:t>Public Health Act 2010</w:t>
              </w:r>
              <w:r w:rsidR="009A2C73" w:rsidRPr="009A2C73">
                <w:rPr>
                  <w:rStyle w:val="Hyperlink"/>
                  <w:rFonts w:cs="Arial"/>
                </w:rPr>
                <w:t xml:space="preserve"> (NSW)</w:t>
              </w:r>
            </w:hyperlink>
            <w:r w:rsidR="009A2C73" w:rsidRPr="009A2C73">
              <w:rPr>
                <w:rFonts w:cs="Arial"/>
                <w:color w:val="000000"/>
              </w:rPr>
              <w:t xml:space="preserve"> Part 6A</w:t>
            </w:r>
          </w:p>
        </w:tc>
      </w:tr>
      <w:tr w:rsidR="00606BB3" w:rsidRPr="009A2C73" w14:paraId="32A501B5" w14:textId="77777777" w:rsidTr="00606BB3">
        <w:tc>
          <w:tcPr>
            <w:tcW w:w="3114" w:type="dxa"/>
            <w:hideMark/>
          </w:tcPr>
          <w:p w14:paraId="614FCC51" w14:textId="77777777" w:rsidR="009A2C73" w:rsidRPr="009A2C73" w:rsidRDefault="009A2C73" w:rsidP="003308BA">
            <w:pPr>
              <w:spacing w:before="120"/>
              <w:rPr>
                <w:rFonts w:cs="Arial"/>
                <w:color w:val="000000"/>
              </w:rPr>
            </w:pPr>
            <w:r w:rsidRPr="009A2C73">
              <w:rPr>
                <w:rFonts w:cs="Arial"/>
                <w:color w:val="000000"/>
              </w:rPr>
              <w:t>Australian Capital Territory</w:t>
            </w:r>
          </w:p>
        </w:tc>
        <w:tc>
          <w:tcPr>
            <w:tcW w:w="6514" w:type="dxa"/>
            <w:hideMark/>
          </w:tcPr>
          <w:p w14:paraId="4D5E385C" w14:textId="77777777" w:rsidR="009A2C73" w:rsidRPr="009A2C73" w:rsidRDefault="002C61EE" w:rsidP="003308BA">
            <w:pPr>
              <w:spacing w:before="120"/>
              <w:rPr>
                <w:rFonts w:cs="Arial"/>
                <w:color w:val="000000"/>
              </w:rPr>
            </w:pPr>
            <w:hyperlink r:id="rId10" w:history="1">
              <w:r w:rsidR="009A2C73" w:rsidRPr="009A2C73">
                <w:rPr>
                  <w:rStyle w:val="Hyperlink"/>
                  <w:rFonts w:cs="Arial"/>
                  <w:i/>
                </w:rPr>
                <w:t>Health Act 1993</w:t>
              </w:r>
              <w:r w:rsidR="009A2C73" w:rsidRPr="009A2C73">
                <w:rPr>
                  <w:rStyle w:val="Hyperlink"/>
                  <w:rFonts w:cs="Arial"/>
                </w:rPr>
                <w:t xml:space="preserve"> (ACT)</w:t>
              </w:r>
            </w:hyperlink>
            <w:r w:rsidR="009A2C73" w:rsidRPr="009A2C73">
              <w:rPr>
                <w:rFonts w:cs="Arial"/>
                <w:color w:val="000000"/>
              </w:rPr>
              <w:t xml:space="preserve"> Part 6 Div 6.2 ss 85-87</w:t>
            </w:r>
          </w:p>
        </w:tc>
      </w:tr>
      <w:tr w:rsidR="009A2C73" w:rsidRPr="009A2C73" w14:paraId="0F8E6D6D" w14:textId="77777777" w:rsidTr="00606BB3">
        <w:tc>
          <w:tcPr>
            <w:tcW w:w="3114" w:type="dxa"/>
            <w:hideMark/>
          </w:tcPr>
          <w:p w14:paraId="7F3F3FE3" w14:textId="77777777" w:rsidR="009A2C73" w:rsidRPr="009A2C73" w:rsidRDefault="009A2C73" w:rsidP="003308BA">
            <w:pPr>
              <w:spacing w:before="120"/>
              <w:rPr>
                <w:rFonts w:cs="Arial"/>
                <w:color w:val="000000"/>
              </w:rPr>
            </w:pPr>
            <w:r w:rsidRPr="009A2C73">
              <w:rPr>
                <w:rFonts w:cs="Arial"/>
                <w:color w:val="000000"/>
              </w:rPr>
              <w:t>Victoria</w:t>
            </w:r>
          </w:p>
        </w:tc>
        <w:tc>
          <w:tcPr>
            <w:tcW w:w="6514" w:type="dxa"/>
            <w:hideMark/>
          </w:tcPr>
          <w:p w14:paraId="3882DE14" w14:textId="28A854A6" w:rsidR="009A2C73" w:rsidRPr="009A2C73" w:rsidRDefault="002C61EE" w:rsidP="003308BA">
            <w:pPr>
              <w:spacing w:before="120"/>
              <w:rPr>
                <w:rFonts w:cs="Arial"/>
                <w:color w:val="000000"/>
              </w:rPr>
            </w:pPr>
            <w:hyperlink r:id="rId11" w:history="1">
              <w:r w:rsidR="009A2C73" w:rsidRPr="009A2C73">
                <w:rPr>
                  <w:rStyle w:val="Hyperlink"/>
                  <w:rFonts w:cs="Arial"/>
                  <w:i/>
                </w:rPr>
                <w:t>Public Health and Wellbeing Act 2008</w:t>
              </w:r>
              <w:r w:rsidR="009A2C73" w:rsidRPr="009A2C73">
                <w:rPr>
                  <w:rStyle w:val="Hyperlink"/>
                  <w:rFonts w:cs="Arial"/>
                </w:rPr>
                <w:t xml:space="preserve"> (Vic)</w:t>
              </w:r>
            </w:hyperlink>
            <w:r w:rsidR="009A2C73" w:rsidRPr="009A2C73">
              <w:rPr>
                <w:rFonts w:cs="Arial"/>
                <w:color w:val="000000"/>
              </w:rPr>
              <w:t xml:space="preserve"> </w:t>
            </w:r>
            <w:r w:rsidR="00C56345">
              <w:rPr>
                <w:rFonts w:cs="Arial"/>
                <w:color w:val="000000"/>
              </w:rPr>
              <w:br/>
            </w:r>
            <w:r w:rsidR="009A2C73" w:rsidRPr="009A2C73">
              <w:rPr>
                <w:rFonts w:cs="Arial"/>
                <w:color w:val="000000"/>
              </w:rPr>
              <w:t>Part 9A ss 185A-185H</w:t>
            </w:r>
          </w:p>
        </w:tc>
      </w:tr>
      <w:tr w:rsidR="00606BB3" w:rsidRPr="009A2C73" w14:paraId="7429DF46" w14:textId="77777777" w:rsidTr="00606BB3">
        <w:tc>
          <w:tcPr>
            <w:tcW w:w="3114" w:type="dxa"/>
            <w:hideMark/>
          </w:tcPr>
          <w:p w14:paraId="66089F00" w14:textId="77777777" w:rsidR="009A2C73" w:rsidRPr="009A2C73" w:rsidRDefault="009A2C73" w:rsidP="003308BA">
            <w:pPr>
              <w:spacing w:before="120"/>
              <w:rPr>
                <w:rFonts w:cs="Arial"/>
                <w:color w:val="000000"/>
              </w:rPr>
            </w:pPr>
            <w:r w:rsidRPr="009A2C73">
              <w:rPr>
                <w:rFonts w:cs="Arial"/>
                <w:color w:val="000000"/>
              </w:rPr>
              <w:t>Tasmania</w:t>
            </w:r>
          </w:p>
        </w:tc>
        <w:tc>
          <w:tcPr>
            <w:tcW w:w="6514" w:type="dxa"/>
            <w:hideMark/>
          </w:tcPr>
          <w:p w14:paraId="73C8A9E0" w14:textId="77777777" w:rsidR="009A2C73" w:rsidRPr="009A2C73" w:rsidRDefault="002C61EE" w:rsidP="003308BA">
            <w:pPr>
              <w:spacing w:before="120"/>
              <w:rPr>
                <w:rFonts w:cs="Arial"/>
                <w:color w:val="000000"/>
              </w:rPr>
            </w:pPr>
            <w:hyperlink r:id="rId12" w:history="1">
              <w:r w:rsidR="009A2C73" w:rsidRPr="009A2C73">
                <w:rPr>
                  <w:rStyle w:val="Hyperlink"/>
                  <w:rFonts w:cs="Arial"/>
                  <w:i/>
                </w:rPr>
                <w:t>Reproductive Health (Access to Terminations) Act 2013</w:t>
              </w:r>
              <w:r w:rsidR="009A2C73" w:rsidRPr="009A2C73">
                <w:rPr>
                  <w:rStyle w:val="Hyperlink"/>
                  <w:rFonts w:cs="Arial"/>
                </w:rPr>
                <w:t xml:space="preserve"> (Tas)</w:t>
              </w:r>
            </w:hyperlink>
            <w:r w:rsidR="009A2C73" w:rsidRPr="009A2C73">
              <w:rPr>
                <w:rFonts w:cs="Arial"/>
                <w:color w:val="000000"/>
              </w:rPr>
              <w:t xml:space="preserve"> s 9</w:t>
            </w:r>
          </w:p>
        </w:tc>
      </w:tr>
      <w:tr w:rsidR="009A2C73" w:rsidRPr="009A2C73" w14:paraId="0DEC1D4E" w14:textId="77777777" w:rsidTr="00606BB3">
        <w:tc>
          <w:tcPr>
            <w:tcW w:w="3114" w:type="dxa"/>
            <w:hideMark/>
          </w:tcPr>
          <w:p w14:paraId="056765A9" w14:textId="77777777" w:rsidR="009A2C73" w:rsidRPr="009A2C73" w:rsidRDefault="009A2C73" w:rsidP="003308BA">
            <w:pPr>
              <w:spacing w:before="120"/>
              <w:rPr>
                <w:rFonts w:cs="Arial"/>
                <w:color w:val="000000"/>
              </w:rPr>
            </w:pPr>
            <w:r w:rsidRPr="009A2C73">
              <w:rPr>
                <w:rFonts w:cs="Arial"/>
                <w:color w:val="000000"/>
              </w:rPr>
              <w:t xml:space="preserve">Northern Territory </w:t>
            </w:r>
          </w:p>
        </w:tc>
        <w:tc>
          <w:tcPr>
            <w:tcW w:w="6514" w:type="dxa"/>
            <w:hideMark/>
          </w:tcPr>
          <w:p w14:paraId="6AB3C727" w14:textId="7D4A5B95" w:rsidR="009A2C73" w:rsidRPr="009A2C73" w:rsidRDefault="002C61EE" w:rsidP="003308BA">
            <w:pPr>
              <w:spacing w:before="120"/>
              <w:rPr>
                <w:rFonts w:cs="Arial"/>
                <w:color w:val="000000"/>
              </w:rPr>
            </w:pPr>
            <w:hyperlink r:id="rId13" w:history="1">
              <w:r w:rsidR="009A2C73" w:rsidRPr="009A2C73">
                <w:rPr>
                  <w:rStyle w:val="Hyperlink"/>
                  <w:rFonts w:cs="Arial"/>
                  <w:i/>
                </w:rPr>
                <w:t>Termination of Pregnancy Law Reform Act 2017</w:t>
              </w:r>
              <w:r w:rsidR="009A2C73" w:rsidRPr="009A2C73">
                <w:rPr>
                  <w:rStyle w:val="Hyperlink"/>
                  <w:rFonts w:cs="Arial"/>
                </w:rPr>
                <w:t xml:space="preserve"> (NT)</w:t>
              </w:r>
            </w:hyperlink>
            <w:r w:rsidR="009A2C73" w:rsidRPr="009A2C73">
              <w:rPr>
                <w:rFonts w:cs="Arial"/>
                <w:color w:val="000000"/>
              </w:rPr>
              <w:t xml:space="preserve"> </w:t>
            </w:r>
            <w:r w:rsidR="00C56345">
              <w:rPr>
                <w:rFonts w:cs="Arial"/>
                <w:color w:val="000000"/>
              </w:rPr>
              <w:br/>
            </w:r>
            <w:r w:rsidR="009A2C73" w:rsidRPr="009A2C73">
              <w:rPr>
                <w:rFonts w:cs="Arial"/>
                <w:color w:val="000000"/>
              </w:rPr>
              <w:t>Part 3 ss 14-16</w:t>
            </w:r>
          </w:p>
        </w:tc>
      </w:tr>
    </w:tbl>
    <w:p w14:paraId="362CEFA9" w14:textId="77777777" w:rsidR="009A2C73" w:rsidRPr="009A2C73" w:rsidRDefault="009A2C73" w:rsidP="003308BA">
      <w:pPr>
        <w:pStyle w:val="Heading2"/>
      </w:pPr>
      <w:bookmarkStart w:id="47" w:name="_Toc47278190"/>
    </w:p>
    <w:p w14:paraId="74F2F451" w14:textId="77777777" w:rsidR="009A2C73" w:rsidRPr="009A2C73" w:rsidRDefault="009A2C73" w:rsidP="003308BA">
      <w:pPr>
        <w:pStyle w:val="BodyText"/>
        <w:rPr>
          <w:rFonts w:ascii="Arial" w:hAnsi="Arial" w:cs="Arial"/>
        </w:rPr>
      </w:pPr>
    </w:p>
    <w:p w14:paraId="2793C409" w14:textId="77777777" w:rsidR="009827AC" w:rsidRDefault="009827AC" w:rsidP="003308BA">
      <w:pPr>
        <w:spacing w:after="160" w:line="259" w:lineRule="auto"/>
        <w:rPr>
          <w:rFonts w:eastAsiaTheme="majorEastAsia" w:cs="Arial"/>
          <w:b/>
          <w:szCs w:val="24"/>
        </w:rPr>
      </w:pPr>
      <w:bookmarkStart w:id="48" w:name="_Toc47512448"/>
      <w:r>
        <w:br w:type="page"/>
      </w:r>
    </w:p>
    <w:p w14:paraId="6AD44371" w14:textId="006899AF" w:rsidR="009A2C73" w:rsidRPr="009A2C73" w:rsidRDefault="007254D1" w:rsidP="003308BA">
      <w:pPr>
        <w:pStyle w:val="Heading2"/>
      </w:pPr>
      <w:bookmarkStart w:id="49" w:name="_Toc49947625"/>
      <w:r>
        <w:lastRenderedPageBreak/>
        <w:t>4</w:t>
      </w:r>
      <w:r w:rsidR="009827AC">
        <w:t xml:space="preserve">.1 </w:t>
      </w:r>
      <w:r w:rsidR="009A2C73" w:rsidRPr="009A2C73">
        <w:t>Queensland</w:t>
      </w:r>
      <w:bookmarkEnd w:id="47"/>
      <w:bookmarkEnd w:id="48"/>
      <w:bookmarkEnd w:id="49"/>
      <w:r w:rsidR="009A2C73" w:rsidRPr="009A2C73">
        <w:t xml:space="preserve"> </w:t>
      </w:r>
    </w:p>
    <w:tbl>
      <w:tblPr>
        <w:tblStyle w:val="TableMSA"/>
        <w:tblW w:w="0" w:type="dxa"/>
        <w:tblInd w:w="0" w:type="dxa"/>
        <w:tblLayout w:type="fixed"/>
        <w:tblLook w:val="04A0" w:firstRow="1" w:lastRow="0" w:firstColumn="1" w:lastColumn="0" w:noHBand="0" w:noVBand="1"/>
      </w:tblPr>
      <w:tblGrid>
        <w:gridCol w:w="2547"/>
        <w:gridCol w:w="7081"/>
      </w:tblGrid>
      <w:tr w:rsidR="009A2C73" w:rsidRPr="009A2C73" w14:paraId="75B04A0D" w14:textId="77777777" w:rsidTr="009A2C73">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6C2C2C67" w14:textId="77777777" w:rsidR="009A2C73" w:rsidRPr="009A2C73" w:rsidRDefault="009A2C73" w:rsidP="003308BA">
            <w:pPr>
              <w:spacing w:before="120"/>
              <w:rPr>
                <w:rFonts w:cs="Arial"/>
                <w:b/>
                <w:bCs/>
                <w:color w:val="000000"/>
              </w:rPr>
            </w:pPr>
            <w:r w:rsidRPr="009A2C73">
              <w:rPr>
                <w:rFonts w:cs="Arial"/>
                <w:b/>
                <w:bCs/>
                <w:color w:val="000000"/>
              </w:rPr>
              <w:t>Queensland</w:t>
            </w:r>
          </w:p>
        </w:tc>
      </w:tr>
      <w:tr w:rsidR="009A2C73" w:rsidRPr="009A2C73" w14:paraId="477D7CA1" w14:textId="77777777" w:rsidTr="009A2C73">
        <w:tc>
          <w:tcPr>
            <w:tcW w:w="2547" w:type="dxa"/>
            <w:tcBorders>
              <w:top w:val="single" w:sz="4" w:space="0" w:color="5B9BD5" w:themeColor="accent1"/>
              <w:left w:val="nil"/>
              <w:bottom w:val="single" w:sz="4" w:space="0" w:color="5B9BD5" w:themeColor="accent1"/>
              <w:right w:val="nil"/>
            </w:tcBorders>
            <w:hideMark/>
          </w:tcPr>
          <w:p w14:paraId="0715BE73" w14:textId="77777777" w:rsidR="009A2C73" w:rsidRPr="009A2C73" w:rsidRDefault="009A2C73" w:rsidP="003308BA">
            <w:pPr>
              <w:spacing w:before="120"/>
              <w:rPr>
                <w:rFonts w:cs="Arial"/>
                <w:color w:val="000000"/>
              </w:rPr>
            </w:pPr>
            <w:r w:rsidRPr="009A2C73">
              <w:rPr>
                <w:rFonts w:cs="Arial"/>
                <w:color w:val="000000"/>
              </w:rPr>
              <w:t xml:space="preserve">Legislation </w:t>
            </w:r>
          </w:p>
        </w:tc>
        <w:tc>
          <w:tcPr>
            <w:tcW w:w="7081" w:type="dxa"/>
            <w:tcBorders>
              <w:top w:val="single" w:sz="4" w:space="0" w:color="5B9BD5" w:themeColor="accent1"/>
              <w:left w:val="nil"/>
              <w:bottom w:val="single" w:sz="4" w:space="0" w:color="5B9BD5" w:themeColor="accent1"/>
              <w:right w:val="nil"/>
            </w:tcBorders>
            <w:hideMark/>
          </w:tcPr>
          <w:p w14:paraId="683800A4" w14:textId="77777777" w:rsidR="009A2C73" w:rsidRPr="009A2C73" w:rsidRDefault="009A2C73" w:rsidP="003308BA">
            <w:pPr>
              <w:spacing w:before="120"/>
              <w:rPr>
                <w:rFonts w:cs="Arial"/>
                <w:color w:val="000000"/>
              </w:rPr>
            </w:pPr>
            <w:r w:rsidRPr="009A2C73">
              <w:rPr>
                <w:rFonts w:cs="Arial"/>
                <w:i/>
                <w:color w:val="000000"/>
              </w:rPr>
              <w:t>Termination of Pregnancy Act 2018</w:t>
            </w:r>
            <w:r w:rsidRPr="009A2C73">
              <w:rPr>
                <w:rFonts w:cs="Arial"/>
                <w:color w:val="000000"/>
              </w:rPr>
              <w:t xml:space="preserve"> (Qld) Part 4</w:t>
            </w:r>
          </w:p>
        </w:tc>
      </w:tr>
      <w:tr w:rsidR="009A2C73" w:rsidRPr="009A2C73" w14:paraId="09D08FDB" w14:textId="77777777" w:rsidTr="009A2C73">
        <w:tc>
          <w:tcPr>
            <w:tcW w:w="2547" w:type="dxa"/>
            <w:tcBorders>
              <w:top w:val="single" w:sz="4" w:space="0" w:color="5B9BD5" w:themeColor="accent1"/>
              <w:left w:val="nil"/>
              <w:bottom w:val="single" w:sz="4" w:space="0" w:color="5B9BD5" w:themeColor="accent1"/>
              <w:right w:val="nil"/>
            </w:tcBorders>
            <w:hideMark/>
          </w:tcPr>
          <w:p w14:paraId="3422F94A" w14:textId="77777777" w:rsidR="009A2C73" w:rsidRPr="009A2C73" w:rsidRDefault="009A2C73" w:rsidP="003308BA">
            <w:pPr>
              <w:spacing w:before="120"/>
              <w:rPr>
                <w:rFonts w:cs="Arial"/>
                <w:color w:val="000000"/>
              </w:rPr>
            </w:pPr>
            <w:r w:rsidRPr="009A2C73">
              <w:rPr>
                <w:rFonts w:cs="Arial"/>
                <w:color w:val="000000"/>
              </w:rPr>
              <w:t>Creation</w:t>
            </w:r>
          </w:p>
        </w:tc>
        <w:tc>
          <w:tcPr>
            <w:tcW w:w="7081" w:type="dxa"/>
            <w:tcBorders>
              <w:top w:val="single" w:sz="4" w:space="0" w:color="5B9BD5" w:themeColor="accent1"/>
              <w:left w:val="nil"/>
              <w:bottom w:val="single" w:sz="4" w:space="0" w:color="5B9BD5" w:themeColor="accent1"/>
              <w:right w:val="nil"/>
            </w:tcBorders>
            <w:hideMark/>
          </w:tcPr>
          <w:p w14:paraId="3CC26CB1" w14:textId="77777777" w:rsidR="009A2C73" w:rsidRPr="009A2C73" w:rsidRDefault="009A2C73" w:rsidP="003308BA">
            <w:pPr>
              <w:spacing w:before="120"/>
              <w:rPr>
                <w:rFonts w:cs="Arial"/>
                <w:color w:val="000000"/>
              </w:rPr>
            </w:pPr>
            <w:r w:rsidRPr="009A2C73">
              <w:rPr>
                <w:rFonts w:cs="Arial"/>
                <w:color w:val="000000"/>
              </w:rPr>
              <w:t xml:space="preserve">Automatic – all termination service premises; ministerial declaration not required. </w:t>
            </w:r>
          </w:p>
        </w:tc>
      </w:tr>
      <w:tr w:rsidR="009A2C73" w:rsidRPr="009A2C73" w14:paraId="4605070D" w14:textId="77777777" w:rsidTr="009A2C73">
        <w:tc>
          <w:tcPr>
            <w:tcW w:w="2547" w:type="dxa"/>
            <w:tcBorders>
              <w:top w:val="single" w:sz="4" w:space="0" w:color="5B9BD5" w:themeColor="accent1"/>
              <w:left w:val="nil"/>
              <w:bottom w:val="single" w:sz="4" w:space="0" w:color="5B9BD5" w:themeColor="accent1"/>
              <w:right w:val="nil"/>
            </w:tcBorders>
            <w:hideMark/>
          </w:tcPr>
          <w:p w14:paraId="212B77F6" w14:textId="77777777" w:rsidR="009A2C73" w:rsidRPr="009A2C73" w:rsidRDefault="009A2C73" w:rsidP="003308BA">
            <w:pPr>
              <w:spacing w:before="120"/>
              <w:rPr>
                <w:rFonts w:cs="Arial"/>
                <w:color w:val="000000"/>
              </w:rPr>
            </w:pPr>
            <w:r w:rsidRPr="009A2C73">
              <w:rPr>
                <w:rFonts w:cs="Arial"/>
                <w:color w:val="000000"/>
              </w:rPr>
              <w:t>Size</w:t>
            </w:r>
          </w:p>
        </w:tc>
        <w:tc>
          <w:tcPr>
            <w:tcW w:w="7081" w:type="dxa"/>
            <w:tcBorders>
              <w:top w:val="single" w:sz="4" w:space="0" w:color="5B9BD5" w:themeColor="accent1"/>
              <w:left w:val="nil"/>
              <w:bottom w:val="single" w:sz="4" w:space="0" w:color="5B9BD5" w:themeColor="accent1"/>
              <w:right w:val="nil"/>
            </w:tcBorders>
            <w:hideMark/>
          </w:tcPr>
          <w:p w14:paraId="1BA5E313" w14:textId="77777777" w:rsidR="009A2C73" w:rsidRPr="009A2C73" w:rsidRDefault="009A2C73" w:rsidP="003308BA">
            <w:pPr>
              <w:spacing w:before="120"/>
              <w:rPr>
                <w:rFonts w:cs="Arial"/>
                <w:color w:val="000000"/>
              </w:rPr>
            </w:pPr>
            <w:r w:rsidRPr="009A2C73">
              <w:rPr>
                <w:rFonts w:cs="Arial"/>
                <w:color w:val="000000"/>
              </w:rPr>
              <w:t>150m unless otherwise prescribed by Minister</w:t>
            </w:r>
          </w:p>
        </w:tc>
      </w:tr>
      <w:tr w:rsidR="009A2C73" w:rsidRPr="009A2C73" w14:paraId="15786E6F" w14:textId="77777777" w:rsidTr="009A2C73">
        <w:tc>
          <w:tcPr>
            <w:tcW w:w="2547" w:type="dxa"/>
            <w:tcBorders>
              <w:top w:val="single" w:sz="4" w:space="0" w:color="5B9BD5" w:themeColor="accent1"/>
              <w:left w:val="nil"/>
              <w:bottom w:val="single" w:sz="4" w:space="0" w:color="5B9BD5" w:themeColor="accent1"/>
              <w:right w:val="nil"/>
            </w:tcBorders>
            <w:hideMark/>
          </w:tcPr>
          <w:p w14:paraId="49EC4B93" w14:textId="77777777" w:rsidR="009A2C73" w:rsidRPr="009A2C73" w:rsidRDefault="009A2C73" w:rsidP="003308BA">
            <w:pPr>
              <w:spacing w:before="120"/>
              <w:rPr>
                <w:rFonts w:cs="Arial"/>
                <w:color w:val="000000"/>
              </w:rPr>
            </w:pPr>
            <w:r w:rsidRPr="009A2C73">
              <w:rPr>
                <w:rFonts w:cs="Arial"/>
                <w:color w:val="000000"/>
              </w:rPr>
              <w:t xml:space="preserve">Measured from </w:t>
            </w:r>
          </w:p>
        </w:tc>
        <w:tc>
          <w:tcPr>
            <w:tcW w:w="7081" w:type="dxa"/>
            <w:tcBorders>
              <w:top w:val="single" w:sz="4" w:space="0" w:color="5B9BD5" w:themeColor="accent1"/>
              <w:left w:val="nil"/>
              <w:bottom w:val="single" w:sz="4" w:space="0" w:color="5B9BD5" w:themeColor="accent1"/>
              <w:right w:val="nil"/>
            </w:tcBorders>
            <w:hideMark/>
          </w:tcPr>
          <w:p w14:paraId="091C15AE" w14:textId="77777777" w:rsidR="009A2C73" w:rsidRPr="009A2C73" w:rsidRDefault="009A2C73" w:rsidP="003308BA">
            <w:pPr>
              <w:spacing w:before="120"/>
              <w:rPr>
                <w:rFonts w:cs="Arial"/>
                <w:color w:val="000000"/>
              </w:rPr>
            </w:pPr>
            <w:r w:rsidRPr="009A2C73">
              <w:rPr>
                <w:rFonts w:cs="Arial"/>
                <w:color w:val="000000"/>
              </w:rPr>
              <w:t>Entrance to premises</w:t>
            </w:r>
          </w:p>
        </w:tc>
      </w:tr>
      <w:tr w:rsidR="009A2C73" w:rsidRPr="009A2C73" w14:paraId="316CF44A" w14:textId="77777777" w:rsidTr="009A2C73">
        <w:tc>
          <w:tcPr>
            <w:tcW w:w="2547" w:type="dxa"/>
            <w:tcBorders>
              <w:top w:val="single" w:sz="4" w:space="0" w:color="5B9BD5" w:themeColor="accent1"/>
              <w:left w:val="nil"/>
              <w:bottom w:val="single" w:sz="4" w:space="0" w:color="5B9BD5" w:themeColor="accent1"/>
              <w:right w:val="nil"/>
            </w:tcBorders>
            <w:hideMark/>
          </w:tcPr>
          <w:p w14:paraId="483150F8" w14:textId="77777777" w:rsidR="009A2C73" w:rsidRPr="009A2C73" w:rsidRDefault="009A2C73" w:rsidP="003308BA">
            <w:pPr>
              <w:spacing w:before="120"/>
              <w:rPr>
                <w:rFonts w:cs="Arial"/>
                <w:color w:val="000000"/>
              </w:rPr>
            </w:pPr>
            <w:r w:rsidRPr="009A2C73">
              <w:rPr>
                <w:rFonts w:cs="Arial"/>
                <w:color w:val="000000"/>
              </w:rPr>
              <w:t>Hours of effect</w:t>
            </w:r>
          </w:p>
        </w:tc>
        <w:tc>
          <w:tcPr>
            <w:tcW w:w="7081" w:type="dxa"/>
            <w:tcBorders>
              <w:top w:val="single" w:sz="4" w:space="0" w:color="5B9BD5" w:themeColor="accent1"/>
              <w:left w:val="nil"/>
              <w:bottom w:val="single" w:sz="4" w:space="0" w:color="5B9BD5" w:themeColor="accent1"/>
              <w:right w:val="nil"/>
            </w:tcBorders>
            <w:hideMark/>
          </w:tcPr>
          <w:p w14:paraId="26FC2039" w14:textId="77777777" w:rsidR="009A2C73" w:rsidRPr="009A2C73" w:rsidRDefault="009A2C73" w:rsidP="003308BA">
            <w:pPr>
              <w:spacing w:before="120"/>
              <w:rPr>
                <w:rFonts w:cs="Arial"/>
                <w:color w:val="000000"/>
              </w:rPr>
            </w:pPr>
            <w:r w:rsidRPr="009A2C73">
              <w:rPr>
                <w:rFonts w:cs="Arial"/>
                <w:color w:val="000000"/>
              </w:rPr>
              <w:t>Implied: when patients/staff are present</w:t>
            </w:r>
          </w:p>
        </w:tc>
      </w:tr>
      <w:tr w:rsidR="009A2C73" w:rsidRPr="009A2C73" w14:paraId="3052C9ED" w14:textId="77777777" w:rsidTr="009A2C73">
        <w:tc>
          <w:tcPr>
            <w:tcW w:w="2547" w:type="dxa"/>
            <w:tcBorders>
              <w:top w:val="single" w:sz="4" w:space="0" w:color="5B9BD5" w:themeColor="accent1"/>
              <w:left w:val="nil"/>
              <w:bottom w:val="single" w:sz="18" w:space="0" w:color="5B9BD5" w:themeColor="accent1"/>
              <w:right w:val="nil"/>
            </w:tcBorders>
            <w:hideMark/>
          </w:tcPr>
          <w:p w14:paraId="3BE47C98" w14:textId="77777777" w:rsidR="009A2C73" w:rsidRPr="009A2C73" w:rsidRDefault="009A2C73" w:rsidP="003308BA">
            <w:pPr>
              <w:spacing w:before="120"/>
              <w:rPr>
                <w:rFonts w:cs="Arial"/>
                <w:color w:val="000000"/>
              </w:rPr>
            </w:pPr>
            <w:r w:rsidRPr="009A2C73">
              <w:rPr>
                <w:rFonts w:cs="Arial"/>
                <w:color w:val="000000"/>
              </w:rPr>
              <w:t xml:space="preserve">Prohibited Behaviours </w:t>
            </w:r>
          </w:p>
        </w:tc>
        <w:tc>
          <w:tcPr>
            <w:tcW w:w="7081" w:type="dxa"/>
            <w:tcBorders>
              <w:top w:val="single" w:sz="4" w:space="0" w:color="5B9BD5" w:themeColor="accent1"/>
              <w:left w:val="nil"/>
              <w:bottom w:val="single" w:sz="18" w:space="0" w:color="5B9BD5" w:themeColor="accent1"/>
              <w:right w:val="nil"/>
            </w:tcBorders>
            <w:hideMark/>
          </w:tcPr>
          <w:p w14:paraId="478CB886" w14:textId="731164C1" w:rsidR="009A2C73" w:rsidRPr="009A2C73" w:rsidRDefault="009A2C73" w:rsidP="003308BA">
            <w:pPr>
              <w:spacing w:before="120"/>
              <w:rPr>
                <w:rFonts w:cs="Arial"/>
                <w:color w:val="000000"/>
              </w:rPr>
            </w:pPr>
            <w:r w:rsidRPr="009A2C73">
              <w:rPr>
                <w:rFonts w:cs="Arial"/>
                <w:color w:val="000000"/>
              </w:rPr>
              <w:t xml:space="preserve">Conduct relating to termination that would be visible/audible </w:t>
            </w:r>
            <w:r w:rsidR="00C56345">
              <w:rPr>
                <w:rFonts w:cs="Arial"/>
                <w:color w:val="000000"/>
              </w:rPr>
              <w:br/>
            </w:r>
            <w:r w:rsidRPr="009A2C73">
              <w:rPr>
                <w:rFonts w:cs="Arial"/>
                <w:color w:val="000000"/>
              </w:rPr>
              <w:t xml:space="preserve">to a person at premises and likely to deter a person from </w:t>
            </w:r>
            <w:r w:rsidR="00C56345">
              <w:rPr>
                <w:rFonts w:cs="Arial"/>
                <w:color w:val="000000"/>
              </w:rPr>
              <w:br/>
            </w:r>
            <w:r w:rsidRPr="009A2C73">
              <w:rPr>
                <w:rFonts w:cs="Arial"/>
                <w:color w:val="000000"/>
              </w:rPr>
              <w:t xml:space="preserve">entering or leaving the premises, undergoing a termination, </w:t>
            </w:r>
            <w:r w:rsidR="00C56345">
              <w:rPr>
                <w:rFonts w:cs="Arial"/>
                <w:color w:val="000000"/>
              </w:rPr>
              <w:br/>
            </w:r>
            <w:r w:rsidRPr="009A2C73">
              <w:rPr>
                <w:rFonts w:cs="Arial"/>
                <w:color w:val="000000"/>
              </w:rPr>
              <w:t xml:space="preserve">or performing a termination. </w:t>
            </w:r>
          </w:p>
          <w:p w14:paraId="7C8FB655" w14:textId="7D533CA4" w:rsidR="009A2C73" w:rsidRPr="009A2C73" w:rsidRDefault="009A2C73" w:rsidP="003308BA">
            <w:pPr>
              <w:spacing w:before="120"/>
              <w:rPr>
                <w:rFonts w:cs="Arial"/>
                <w:color w:val="000000"/>
              </w:rPr>
            </w:pPr>
            <w:r w:rsidRPr="009A2C73">
              <w:rPr>
                <w:rFonts w:cs="Arial"/>
                <w:color w:val="000000"/>
              </w:rPr>
              <w:t xml:space="preserve">Making an audio or visual recording of a person that identifies them (without consent), or distributing or publishing this kind </w:t>
            </w:r>
            <w:r w:rsidR="00C56345">
              <w:rPr>
                <w:rFonts w:cs="Arial"/>
                <w:color w:val="000000"/>
              </w:rPr>
              <w:br/>
            </w:r>
            <w:r w:rsidRPr="009A2C73">
              <w:rPr>
                <w:rFonts w:cs="Arial"/>
                <w:color w:val="000000"/>
              </w:rPr>
              <w:t xml:space="preserve">of recording. </w:t>
            </w:r>
          </w:p>
        </w:tc>
      </w:tr>
    </w:tbl>
    <w:p w14:paraId="73194410" w14:textId="77777777" w:rsidR="009A2C73" w:rsidRPr="009A2C73" w:rsidRDefault="009A2C73" w:rsidP="003308BA">
      <w:pPr>
        <w:rPr>
          <w:rFonts w:cs="Arial"/>
          <w:sz w:val="20"/>
        </w:rPr>
      </w:pPr>
    </w:p>
    <w:p w14:paraId="2B551825" w14:textId="77777777" w:rsidR="009A2C73" w:rsidRPr="009827AC" w:rsidRDefault="009A2C73" w:rsidP="003308BA">
      <w:pPr>
        <w:spacing w:before="120"/>
        <w:rPr>
          <w:rFonts w:cs="Arial"/>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1"/>
      </w:tblGrid>
      <w:tr w:rsidR="009A2C73" w:rsidRPr="009827AC" w14:paraId="3F8D1AEE" w14:textId="77777777" w:rsidTr="009A2C73">
        <w:trPr>
          <w:trHeight w:val="699"/>
          <w:jc w:val="center"/>
        </w:trPr>
        <w:tc>
          <w:tcPr>
            <w:tcW w:w="10471" w:type="dxa"/>
            <w:tcBorders>
              <w:top w:val="single" w:sz="4" w:space="0" w:color="000000"/>
              <w:left w:val="single" w:sz="4" w:space="0" w:color="000000"/>
              <w:bottom w:val="single" w:sz="4" w:space="0" w:color="000000"/>
              <w:right w:val="single" w:sz="4" w:space="0" w:color="000000"/>
            </w:tcBorders>
          </w:tcPr>
          <w:p w14:paraId="67FC567D" w14:textId="77777777" w:rsidR="009A2C73" w:rsidRPr="009827AC" w:rsidRDefault="009A2C73" w:rsidP="003308BA">
            <w:pPr>
              <w:spacing w:before="120" w:line="256" w:lineRule="auto"/>
              <w:rPr>
                <w:rFonts w:cs="Arial"/>
                <w:b/>
                <w:color w:val="000000"/>
                <w:szCs w:val="24"/>
              </w:rPr>
            </w:pPr>
            <w:r w:rsidRPr="009827AC">
              <w:rPr>
                <w:rFonts w:cs="Arial"/>
                <w:b/>
                <w:color w:val="000000"/>
                <w:szCs w:val="24"/>
              </w:rPr>
              <w:t>Section 13 Meaning of termination services premises</w:t>
            </w:r>
          </w:p>
          <w:p w14:paraId="568EDC8A" w14:textId="77777777" w:rsidR="009A2C73" w:rsidRPr="009827AC" w:rsidRDefault="009A2C73" w:rsidP="003308BA">
            <w:pPr>
              <w:spacing w:before="120" w:line="256" w:lineRule="auto"/>
              <w:ind w:left="720"/>
              <w:rPr>
                <w:rFonts w:cs="Arial"/>
                <w:bCs/>
                <w:color w:val="000000"/>
                <w:szCs w:val="24"/>
              </w:rPr>
            </w:pPr>
            <w:r w:rsidRPr="009827AC">
              <w:rPr>
                <w:rFonts w:cs="Arial"/>
                <w:bCs/>
                <w:color w:val="000000"/>
                <w:szCs w:val="24"/>
              </w:rPr>
              <w:t xml:space="preserve">In this part – </w:t>
            </w:r>
          </w:p>
          <w:p w14:paraId="41AF7FE3" w14:textId="77777777" w:rsidR="009A2C73" w:rsidRPr="009827AC" w:rsidRDefault="009A2C73" w:rsidP="003308BA">
            <w:pPr>
              <w:spacing w:before="120" w:line="256" w:lineRule="auto"/>
              <w:ind w:left="720"/>
              <w:rPr>
                <w:rFonts w:cs="Arial"/>
                <w:bCs/>
                <w:color w:val="000000"/>
                <w:szCs w:val="24"/>
              </w:rPr>
            </w:pPr>
            <w:r w:rsidRPr="009827AC">
              <w:rPr>
                <w:rFonts w:cs="Arial"/>
                <w:b/>
                <w:i/>
                <w:iCs/>
                <w:color w:val="000000"/>
                <w:szCs w:val="24"/>
              </w:rPr>
              <w:t>termination services premises</w:t>
            </w:r>
            <w:r w:rsidRPr="009827AC">
              <w:rPr>
                <w:rFonts w:cs="Arial"/>
                <w:bCs/>
                <w:color w:val="000000"/>
                <w:szCs w:val="24"/>
              </w:rPr>
              <w:t xml:space="preserve"> – </w:t>
            </w:r>
          </w:p>
          <w:p w14:paraId="04C9F492" w14:textId="77777777" w:rsidR="009A2C73" w:rsidRPr="009827AC" w:rsidRDefault="009A2C73" w:rsidP="00A736A6">
            <w:pPr>
              <w:pStyle w:val="ListParagraph"/>
              <w:numPr>
                <w:ilvl w:val="0"/>
                <w:numId w:val="4"/>
              </w:numPr>
              <w:spacing w:before="120" w:line="260" w:lineRule="atLeast"/>
              <w:ind w:left="1440"/>
              <w:contextualSpacing w:val="0"/>
              <w:rPr>
                <w:rFonts w:cs="Arial"/>
                <w:bCs/>
                <w:color w:val="000000"/>
                <w:szCs w:val="24"/>
              </w:rPr>
            </w:pPr>
            <w:r w:rsidRPr="009827AC">
              <w:rPr>
                <w:rFonts w:cs="Arial"/>
                <w:bCs/>
                <w:color w:val="000000"/>
                <w:szCs w:val="24"/>
              </w:rPr>
              <w:t>means premises at which a service of performing terminations on women is ordinarily provided; but</w:t>
            </w:r>
          </w:p>
          <w:p w14:paraId="52B834FE" w14:textId="77777777" w:rsidR="009A2C73" w:rsidRPr="009827AC" w:rsidRDefault="009A2C73" w:rsidP="00A736A6">
            <w:pPr>
              <w:pStyle w:val="ListParagraph"/>
              <w:numPr>
                <w:ilvl w:val="0"/>
                <w:numId w:val="4"/>
              </w:numPr>
              <w:spacing w:before="120" w:line="260" w:lineRule="atLeast"/>
              <w:ind w:left="1440"/>
              <w:contextualSpacing w:val="0"/>
              <w:rPr>
                <w:rFonts w:cs="Arial"/>
                <w:bCs/>
                <w:color w:val="000000"/>
                <w:szCs w:val="24"/>
              </w:rPr>
            </w:pPr>
            <w:r w:rsidRPr="009827AC">
              <w:rPr>
                <w:rFonts w:cs="Arial"/>
                <w:bCs/>
                <w:color w:val="000000"/>
                <w:szCs w:val="24"/>
              </w:rPr>
              <w:t xml:space="preserve">does not include a pharmacy. </w:t>
            </w:r>
          </w:p>
          <w:p w14:paraId="7FD5D7B3" w14:textId="77777777" w:rsidR="009A2C73" w:rsidRPr="009827AC" w:rsidRDefault="009A2C73" w:rsidP="003308BA">
            <w:pPr>
              <w:spacing w:before="120" w:line="256" w:lineRule="auto"/>
              <w:rPr>
                <w:rFonts w:cs="Arial"/>
                <w:b/>
                <w:color w:val="000000"/>
                <w:szCs w:val="24"/>
              </w:rPr>
            </w:pPr>
            <w:r w:rsidRPr="009827AC">
              <w:rPr>
                <w:rFonts w:cs="Arial"/>
                <w:b/>
                <w:color w:val="000000"/>
                <w:szCs w:val="24"/>
              </w:rPr>
              <w:t xml:space="preserve">Section 14 Meaning of </w:t>
            </w:r>
            <w:r w:rsidRPr="009827AC">
              <w:rPr>
                <w:rFonts w:cs="Arial"/>
                <w:b/>
                <w:i/>
                <w:color w:val="000000"/>
                <w:szCs w:val="24"/>
              </w:rPr>
              <w:t>safe access zone</w:t>
            </w:r>
            <w:r w:rsidRPr="009827AC">
              <w:rPr>
                <w:rFonts w:cs="Arial"/>
                <w:b/>
                <w:color w:val="000000"/>
                <w:szCs w:val="24"/>
              </w:rPr>
              <w:t xml:space="preserve"> </w:t>
            </w:r>
          </w:p>
          <w:p w14:paraId="49C0EFA7" w14:textId="77777777" w:rsidR="009A2C73" w:rsidRPr="009827AC" w:rsidRDefault="009A2C73" w:rsidP="00A736A6">
            <w:pPr>
              <w:numPr>
                <w:ilvl w:val="0"/>
                <w:numId w:val="5"/>
              </w:numPr>
              <w:spacing w:before="120" w:line="256" w:lineRule="auto"/>
              <w:rPr>
                <w:rFonts w:cs="Arial"/>
                <w:szCs w:val="24"/>
              </w:rPr>
            </w:pPr>
            <w:r w:rsidRPr="009827AC">
              <w:rPr>
                <w:rFonts w:cs="Arial"/>
                <w:color w:val="000000"/>
                <w:szCs w:val="24"/>
              </w:rPr>
              <w:t xml:space="preserve">A place is in the safe access zone for termination services premises if the place is – </w:t>
            </w:r>
          </w:p>
          <w:p w14:paraId="09B6BCCD" w14:textId="77777777" w:rsidR="009A2C73" w:rsidRPr="009827AC" w:rsidRDefault="009A2C73" w:rsidP="00A736A6">
            <w:pPr>
              <w:numPr>
                <w:ilvl w:val="1"/>
                <w:numId w:val="5"/>
              </w:numPr>
              <w:spacing w:before="120" w:line="256" w:lineRule="auto"/>
              <w:rPr>
                <w:rFonts w:cs="Arial"/>
                <w:szCs w:val="24"/>
              </w:rPr>
            </w:pPr>
            <w:r w:rsidRPr="009827AC">
              <w:rPr>
                <w:rFonts w:cs="Arial"/>
                <w:b/>
                <w:color w:val="000000"/>
                <w:szCs w:val="24"/>
              </w:rPr>
              <w:t>in the premises</w:t>
            </w:r>
            <w:r w:rsidRPr="009827AC">
              <w:rPr>
                <w:rFonts w:cs="Arial"/>
                <w:color w:val="000000"/>
                <w:szCs w:val="24"/>
              </w:rPr>
              <w:t>; or</w:t>
            </w:r>
          </w:p>
          <w:p w14:paraId="4275C3DD" w14:textId="77777777" w:rsidR="009A2C73" w:rsidRPr="009827AC" w:rsidRDefault="009A2C73" w:rsidP="00A736A6">
            <w:pPr>
              <w:numPr>
                <w:ilvl w:val="1"/>
                <w:numId w:val="5"/>
              </w:numPr>
              <w:spacing w:before="120" w:line="256" w:lineRule="auto"/>
              <w:rPr>
                <w:rFonts w:cs="Arial"/>
                <w:szCs w:val="24"/>
              </w:rPr>
            </w:pPr>
            <w:r w:rsidRPr="009827AC">
              <w:rPr>
                <w:rFonts w:cs="Arial"/>
                <w:b/>
                <w:color w:val="000000"/>
                <w:szCs w:val="24"/>
              </w:rPr>
              <w:t>not more than the prescribed distance from an entrance to the premises</w:t>
            </w:r>
            <w:r w:rsidRPr="009827AC">
              <w:rPr>
                <w:rFonts w:cs="Arial"/>
                <w:color w:val="000000"/>
                <w:szCs w:val="24"/>
              </w:rPr>
              <w:t xml:space="preserve">. </w:t>
            </w:r>
          </w:p>
          <w:p w14:paraId="3AE7C263" w14:textId="77777777" w:rsidR="009A2C73" w:rsidRPr="009827AC" w:rsidRDefault="009A2C73" w:rsidP="00A736A6">
            <w:pPr>
              <w:numPr>
                <w:ilvl w:val="0"/>
                <w:numId w:val="5"/>
              </w:numPr>
              <w:spacing w:before="120" w:line="256" w:lineRule="auto"/>
              <w:rPr>
                <w:rFonts w:cs="Arial"/>
                <w:szCs w:val="24"/>
              </w:rPr>
            </w:pPr>
            <w:r w:rsidRPr="009827AC">
              <w:rPr>
                <w:rFonts w:cs="Arial"/>
                <w:color w:val="000000"/>
                <w:szCs w:val="24"/>
              </w:rPr>
              <w:t xml:space="preserve">Unless a distance is prescribed under subsection (3), the prescribed distance for subsection (1)(b) is </w:t>
            </w:r>
            <w:r w:rsidRPr="009827AC">
              <w:rPr>
                <w:rFonts w:cs="Arial"/>
                <w:b/>
                <w:color w:val="000000"/>
                <w:szCs w:val="24"/>
              </w:rPr>
              <w:t>150m</w:t>
            </w:r>
            <w:r w:rsidRPr="009827AC">
              <w:rPr>
                <w:rFonts w:cs="Arial"/>
                <w:color w:val="000000"/>
                <w:szCs w:val="24"/>
              </w:rPr>
              <w:t xml:space="preserve">. </w:t>
            </w:r>
          </w:p>
          <w:p w14:paraId="68192648" w14:textId="77777777" w:rsidR="009A2C73" w:rsidRPr="009827AC" w:rsidRDefault="009A2C73" w:rsidP="00A736A6">
            <w:pPr>
              <w:numPr>
                <w:ilvl w:val="0"/>
                <w:numId w:val="5"/>
              </w:numPr>
              <w:spacing w:before="120" w:line="256" w:lineRule="auto"/>
              <w:rPr>
                <w:rFonts w:cs="Arial"/>
                <w:szCs w:val="24"/>
              </w:rPr>
            </w:pPr>
            <w:r w:rsidRPr="009827AC">
              <w:rPr>
                <w:rFonts w:cs="Arial"/>
                <w:color w:val="000000"/>
                <w:szCs w:val="24"/>
              </w:rPr>
              <w:t xml:space="preserve">A regulation may prescribe a distance for subsection (1)(b) for state termination services premises. </w:t>
            </w:r>
          </w:p>
          <w:p w14:paraId="1D3804C2" w14:textId="1960F1D8" w:rsidR="009A2C73" w:rsidRPr="00086D74" w:rsidRDefault="009A2C73" w:rsidP="00086D74">
            <w:pPr>
              <w:numPr>
                <w:ilvl w:val="0"/>
                <w:numId w:val="5"/>
              </w:numPr>
              <w:spacing w:before="120" w:after="360" w:line="256" w:lineRule="auto"/>
              <w:rPr>
                <w:rFonts w:cs="Arial"/>
                <w:szCs w:val="24"/>
              </w:rPr>
            </w:pPr>
            <w:r w:rsidRPr="009827AC">
              <w:rPr>
                <w:rFonts w:cs="Arial"/>
                <w:color w:val="000000"/>
                <w:szCs w:val="24"/>
              </w:rPr>
              <w:lastRenderedPageBreak/>
              <w:t xml:space="preserve">The </w:t>
            </w:r>
            <w:r w:rsidRPr="009827AC">
              <w:rPr>
                <w:rFonts w:cs="Arial"/>
                <w:b/>
                <w:color w:val="000000"/>
                <w:szCs w:val="24"/>
              </w:rPr>
              <w:t>Minister may recommend</w:t>
            </w:r>
            <w:r w:rsidRPr="009827AC">
              <w:rPr>
                <w:rFonts w:cs="Arial"/>
                <w:color w:val="000000"/>
                <w:szCs w:val="24"/>
              </w:rPr>
              <w:t xml:space="preserve"> to the Governor in Council the making of  a regulation under subsection (3) only </w:t>
            </w:r>
            <w:r w:rsidRPr="009827AC">
              <w:rPr>
                <w:rFonts w:cs="Arial"/>
                <w:b/>
                <w:color w:val="000000"/>
                <w:szCs w:val="24"/>
              </w:rPr>
              <w:t>if satisfied</w:t>
            </w:r>
            <w:r w:rsidRPr="009827AC">
              <w:rPr>
                <w:rFonts w:cs="Arial"/>
                <w:color w:val="000000"/>
                <w:szCs w:val="24"/>
              </w:rPr>
              <w:t xml:space="preserve"> that, having regard to the location of the premises, </w:t>
            </w:r>
            <w:r w:rsidRPr="009827AC">
              <w:rPr>
                <w:rFonts w:cs="Arial"/>
                <w:b/>
                <w:color w:val="000000"/>
                <w:szCs w:val="24"/>
              </w:rPr>
              <w:t>a prescribed distance of 150m is insufficient, or greater than necessary, to achieve the purpose of this part</w:t>
            </w:r>
            <w:r w:rsidRPr="009827AC">
              <w:rPr>
                <w:rFonts w:cs="Arial"/>
                <w:color w:val="000000"/>
                <w:szCs w:val="24"/>
              </w:rPr>
              <w:t xml:space="preserve"> in relation to the premises. </w:t>
            </w:r>
          </w:p>
          <w:p w14:paraId="091B4319" w14:textId="77777777" w:rsidR="009A2C73" w:rsidRPr="009827AC" w:rsidRDefault="009A2C73" w:rsidP="003308BA">
            <w:pPr>
              <w:spacing w:before="120" w:line="256" w:lineRule="auto"/>
              <w:rPr>
                <w:rFonts w:cs="Arial"/>
                <w:b/>
                <w:color w:val="000000"/>
                <w:szCs w:val="24"/>
              </w:rPr>
            </w:pPr>
            <w:r w:rsidRPr="009827AC">
              <w:rPr>
                <w:rFonts w:cs="Arial"/>
                <w:b/>
                <w:color w:val="000000"/>
                <w:szCs w:val="24"/>
              </w:rPr>
              <w:t xml:space="preserve">Section 15 Prohibited conduct in safe access zones </w:t>
            </w:r>
          </w:p>
          <w:p w14:paraId="75E9C788" w14:textId="77777777" w:rsidR="009A2C73" w:rsidRPr="009827AC" w:rsidRDefault="009A2C73" w:rsidP="00A736A6">
            <w:pPr>
              <w:numPr>
                <w:ilvl w:val="0"/>
                <w:numId w:val="6"/>
              </w:numPr>
              <w:spacing w:before="120" w:line="256" w:lineRule="auto"/>
              <w:rPr>
                <w:rFonts w:cs="Arial"/>
                <w:szCs w:val="24"/>
              </w:rPr>
            </w:pPr>
            <w:r w:rsidRPr="009827AC">
              <w:rPr>
                <w:rFonts w:cs="Arial"/>
                <w:color w:val="000000"/>
                <w:szCs w:val="24"/>
              </w:rPr>
              <w:t xml:space="preserve">A person’s conduct in the safe access zone for termination services premises is </w:t>
            </w:r>
            <w:r w:rsidRPr="009827AC">
              <w:rPr>
                <w:rFonts w:cs="Arial"/>
                <w:b/>
                <w:i/>
                <w:color w:val="000000"/>
                <w:szCs w:val="24"/>
              </w:rPr>
              <w:t>prohibited conduct</w:t>
            </w:r>
            <w:r w:rsidRPr="009827AC">
              <w:rPr>
                <w:rFonts w:cs="Arial"/>
                <w:color w:val="000000"/>
                <w:szCs w:val="24"/>
              </w:rPr>
              <w:t xml:space="preserve"> if the conduct – </w:t>
            </w:r>
          </w:p>
          <w:p w14:paraId="2498A81D" w14:textId="77777777" w:rsidR="009A2C73" w:rsidRPr="009827AC" w:rsidRDefault="009A2C73" w:rsidP="00A736A6">
            <w:pPr>
              <w:numPr>
                <w:ilvl w:val="1"/>
                <w:numId w:val="6"/>
              </w:numPr>
              <w:spacing w:before="120" w:line="256" w:lineRule="auto"/>
              <w:rPr>
                <w:rFonts w:cs="Arial"/>
                <w:szCs w:val="24"/>
              </w:rPr>
            </w:pPr>
            <w:r w:rsidRPr="009827AC">
              <w:rPr>
                <w:rFonts w:cs="Arial"/>
                <w:color w:val="000000"/>
                <w:szCs w:val="24"/>
              </w:rPr>
              <w:t xml:space="preserve">Relates to terminations or could be reasonably perceived as relating to terminations; and </w:t>
            </w:r>
          </w:p>
          <w:p w14:paraId="0F76362E" w14:textId="77777777" w:rsidR="009A2C73" w:rsidRPr="009827AC" w:rsidRDefault="009A2C73" w:rsidP="00A736A6">
            <w:pPr>
              <w:numPr>
                <w:ilvl w:val="1"/>
                <w:numId w:val="6"/>
              </w:numPr>
              <w:spacing w:before="120" w:line="256" w:lineRule="auto"/>
              <w:rPr>
                <w:rFonts w:cs="Arial"/>
                <w:szCs w:val="24"/>
              </w:rPr>
            </w:pPr>
            <w:r w:rsidRPr="009827AC">
              <w:rPr>
                <w:rFonts w:cs="Arial"/>
                <w:color w:val="000000"/>
                <w:szCs w:val="24"/>
              </w:rPr>
              <w:t xml:space="preserve">Would be visible or audible to another person in, or entering or leaving, the premises; and </w:t>
            </w:r>
          </w:p>
          <w:p w14:paraId="45094DCA" w14:textId="77777777" w:rsidR="009A2C73" w:rsidRPr="009827AC" w:rsidRDefault="009A2C73" w:rsidP="00A736A6">
            <w:pPr>
              <w:numPr>
                <w:ilvl w:val="1"/>
                <w:numId w:val="6"/>
              </w:numPr>
              <w:spacing w:before="120" w:line="256" w:lineRule="auto"/>
              <w:rPr>
                <w:rFonts w:cs="Arial"/>
                <w:szCs w:val="24"/>
              </w:rPr>
            </w:pPr>
            <w:r w:rsidRPr="009827AC">
              <w:rPr>
                <w:rFonts w:cs="Arial"/>
                <w:color w:val="000000"/>
                <w:szCs w:val="24"/>
              </w:rPr>
              <w:t xml:space="preserve">Would be reasonably likely to deter a person mentioned in paragraph (b) from – </w:t>
            </w:r>
          </w:p>
          <w:p w14:paraId="10FA1860" w14:textId="77777777" w:rsidR="009A2C73" w:rsidRPr="009827AC" w:rsidRDefault="009A2C73" w:rsidP="00A736A6">
            <w:pPr>
              <w:numPr>
                <w:ilvl w:val="2"/>
                <w:numId w:val="6"/>
              </w:numPr>
              <w:spacing w:before="120" w:line="256" w:lineRule="auto"/>
              <w:rPr>
                <w:rFonts w:cs="Arial"/>
                <w:szCs w:val="24"/>
              </w:rPr>
            </w:pPr>
            <w:r w:rsidRPr="009827AC">
              <w:rPr>
                <w:rFonts w:cs="Arial"/>
                <w:color w:val="000000"/>
                <w:szCs w:val="24"/>
              </w:rPr>
              <w:t>Entering or leaving the premises; or</w:t>
            </w:r>
          </w:p>
          <w:p w14:paraId="6585D41E" w14:textId="77777777" w:rsidR="009A2C73" w:rsidRPr="009827AC" w:rsidRDefault="009A2C73" w:rsidP="00A736A6">
            <w:pPr>
              <w:numPr>
                <w:ilvl w:val="2"/>
                <w:numId w:val="6"/>
              </w:numPr>
              <w:spacing w:before="120" w:line="256" w:lineRule="auto"/>
              <w:rPr>
                <w:rFonts w:cs="Arial"/>
                <w:szCs w:val="24"/>
              </w:rPr>
            </w:pPr>
            <w:r w:rsidRPr="009827AC">
              <w:rPr>
                <w:rFonts w:cs="Arial"/>
                <w:color w:val="000000"/>
                <w:szCs w:val="24"/>
              </w:rPr>
              <w:t>Requesting or undergoing a termination; or</w:t>
            </w:r>
          </w:p>
          <w:p w14:paraId="5A277A68" w14:textId="77777777" w:rsidR="009A2C73" w:rsidRPr="009827AC" w:rsidRDefault="009A2C73" w:rsidP="00A736A6">
            <w:pPr>
              <w:numPr>
                <w:ilvl w:val="2"/>
                <w:numId w:val="6"/>
              </w:numPr>
              <w:spacing w:before="120" w:line="256" w:lineRule="auto"/>
              <w:rPr>
                <w:rFonts w:cs="Arial"/>
                <w:szCs w:val="24"/>
              </w:rPr>
            </w:pPr>
            <w:r w:rsidRPr="009827AC">
              <w:rPr>
                <w:rFonts w:cs="Arial"/>
                <w:color w:val="000000"/>
                <w:szCs w:val="24"/>
              </w:rPr>
              <w:t xml:space="preserve">Performing, or assisting in the performance of, a termination. </w:t>
            </w:r>
          </w:p>
          <w:p w14:paraId="378FDD1F" w14:textId="77777777" w:rsidR="009A2C73" w:rsidRPr="009827AC" w:rsidRDefault="009A2C73" w:rsidP="00A736A6">
            <w:pPr>
              <w:numPr>
                <w:ilvl w:val="0"/>
                <w:numId w:val="6"/>
              </w:numPr>
              <w:spacing w:before="120" w:line="256" w:lineRule="auto"/>
              <w:rPr>
                <w:rFonts w:cs="Arial"/>
                <w:szCs w:val="24"/>
              </w:rPr>
            </w:pPr>
            <w:r w:rsidRPr="009827AC">
              <w:rPr>
                <w:rFonts w:cs="Arial"/>
                <w:color w:val="000000"/>
                <w:szCs w:val="24"/>
              </w:rPr>
              <w:t xml:space="preserve">A person’s conduct may be prohibited conduct whether or not another person sees or hears the conduct or is deterred from taking an action mentioned in subsection (1)(c)(i) to (iii). </w:t>
            </w:r>
          </w:p>
          <w:p w14:paraId="2522B2F9" w14:textId="77777777" w:rsidR="009A2C73" w:rsidRPr="009827AC" w:rsidRDefault="009A2C73" w:rsidP="00A736A6">
            <w:pPr>
              <w:numPr>
                <w:ilvl w:val="0"/>
                <w:numId w:val="6"/>
              </w:numPr>
              <w:spacing w:before="120" w:line="256" w:lineRule="auto"/>
              <w:rPr>
                <w:rFonts w:cs="Arial"/>
                <w:szCs w:val="24"/>
              </w:rPr>
            </w:pPr>
            <w:r w:rsidRPr="009827AC">
              <w:rPr>
                <w:rFonts w:cs="Arial"/>
                <w:color w:val="000000"/>
                <w:szCs w:val="24"/>
              </w:rPr>
              <w:t xml:space="preserve">A person must not engage in prohibited conduct in the safe access zone for termination services premises. </w:t>
            </w:r>
          </w:p>
          <w:p w14:paraId="3F38C396" w14:textId="77777777" w:rsidR="009A2C73" w:rsidRPr="009827AC" w:rsidRDefault="009A2C73" w:rsidP="00086D74">
            <w:pPr>
              <w:numPr>
                <w:ilvl w:val="0"/>
                <w:numId w:val="6"/>
              </w:numPr>
              <w:spacing w:before="120" w:line="256" w:lineRule="auto"/>
              <w:rPr>
                <w:rFonts w:cs="Arial"/>
                <w:szCs w:val="24"/>
              </w:rPr>
            </w:pPr>
            <w:r w:rsidRPr="009827AC">
              <w:rPr>
                <w:rFonts w:cs="Arial"/>
                <w:color w:val="000000"/>
                <w:szCs w:val="24"/>
              </w:rPr>
              <w:t>Subsection (3) does not apply to a person employed to provide a service at the termination services premises.</w:t>
            </w:r>
          </w:p>
          <w:p w14:paraId="7FB4361E" w14:textId="77777777" w:rsidR="009A2C73" w:rsidRPr="009827AC" w:rsidRDefault="009A2C73" w:rsidP="003308BA">
            <w:pPr>
              <w:spacing w:before="120" w:line="256" w:lineRule="auto"/>
              <w:ind w:left="360"/>
              <w:rPr>
                <w:rFonts w:cs="Arial"/>
                <w:szCs w:val="24"/>
              </w:rPr>
            </w:pPr>
          </w:p>
        </w:tc>
      </w:tr>
    </w:tbl>
    <w:p w14:paraId="6AE518E9" w14:textId="77777777" w:rsidR="00C56345" w:rsidRDefault="009A2C73" w:rsidP="00086D74">
      <w:pPr>
        <w:spacing w:before="120"/>
        <w:rPr>
          <w:rFonts w:cs="Arial"/>
          <w:szCs w:val="24"/>
        </w:rPr>
      </w:pPr>
      <w:r w:rsidRPr="009827AC">
        <w:rPr>
          <w:rFonts w:cs="Arial"/>
          <w:szCs w:val="24"/>
        </w:rPr>
        <w:lastRenderedPageBreak/>
        <w:t xml:space="preserve">The enactment of the </w:t>
      </w:r>
      <w:r w:rsidRPr="009827AC">
        <w:rPr>
          <w:rFonts w:cs="Arial"/>
          <w:i/>
          <w:szCs w:val="24"/>
        </w:rPr>
        <w:t xml:space="preserve">Termination of Pregnancy Act 2018 </w:t>
      </w:r>
      <w:r w:rsidRPr="009827AC">
        <w:rPr>
          <w:rFonts w:cs="Arial"/>
          <w:iCs/>
          <w:szCs w:val="24"/>
        </w:rPr>
        <w:t xml:space="preserve">(Qld) </w:t>
      </w:r>
      <w:r w:rsidRPr="009827AC">
        <w:rPr>
          <w:rFonts w:cs="Arial"/>
          <w:szCs w:val="24"/>
        </w:rPr>
        <w:t>created safe access zones around termination service premises in Queensland. The Act defines the safe access zone for termination service premises as being in the premises and not more than 150 metres from an entrance to the premises.</w:t>
      </w:r>
      <w:r w:rsidRPr="009827AC">
        <w:rPr>
          <w:rFonts w:cs="Arial"/>
          <w:szCs w:val="24"/>
          <w:vertAlign w:val="superscript"/>
        </w:rPr>
        <w:footnoteReference w:id="6"/>
      </w:r>
      <w:r w:rsidRPr="009827AC">
        <w:rPr>
          <w:rFonts w:cs="Arial"/>
          <w:szCs w:val="24"/>
        </w:rPr>
        <w:t xml:space="preserve"> The Act provides that ‘prohibited conduct’ must not be engaged in within a safe access zone. ‘Prohibited conduct’ is not defined by reference to specific types of conduct (e.g. protesting). Rather, any conduct that meets the criteria in s 15(1)(a)-(c) is prohibited conduct. </w:t>
      </w:r>
    </w:p>
    <w:p w14:paraId="248E5934" w14:textId="5CC41EF9" w:rsidR="009A2C73" w:rsidRPr="009827AC" w:rsidRDefault="009A2C73" w:rsidP="003308BA">
      <w:pPr>
        <w:spacing w:before="120"/>
        <w:rPr>
          <w:rFonts w:cs="Arial"/>
          <w:szCs w:val="24"/>
        </w:rPr>
      </w:pPr>
      <w:r w:rsidRPr="009827AC">
        <w:rPr>
          <w:rFonts w:cs="Arial"/>
          <w:szCs w:val="24"/>
        </w:rPr>
        <w:t>Broadly, prohibited conduct is any conduct that: relates to terminations; would be visible to a person entering or leaving the premises; and, would be reasonably likely to deter a person from entering or leaving the premises, requesting or undergoing a termination, or performing a termination.</w:t>
      </w:r>
    </w:p>
    <w:p w14:paraId="0400DB03" w14:textId="77777777" w:rsidR="009A2C73" w:rsidRPr="009827AC" w:rsidRDefault="009A2C73" w:rsidP="003308BA">
      <w:pPr>
        <w:spacing w:before="120"/>
        <w:rPr>
          <w:rFonts w:cs="Arial"/>
          <w:szCs w:val="24"/>
        </w:rPr>
      </w:pPr>
      <w:r w:rsidRPr="009827AC">
        <w:rPr>
          <w:rFonts w:cs="Arial"/>
          <w:szCs w:val="24"/>
        </w:rPr>
        <w:lastRenderedPageBreak/>
        <w:t xml:space="preserve">The Act creates two new criminal offences. It creates an offence of engaging in ‘prohibited conduct’ in a safe access zone and offences for a person to make, publish or distribute a restricted recording of another person without the other person’s consent and without reasonable excuse. Each of these offences carry a maximum penalty of 20 penalty units or one year’s imprisonment. This penalty is approximately double the penalty for a public nuisance under the </w:t>
      </w:r>
      <w:r w:rsidRPr="009827AC">
        <w:rPr>
          <w:rFonts w:cs="Arial"/>
          <w:i/>
          <w:szCs w:val="24"/>
        </w:rPr>
        <w:t>Summary Offences Act 2005</w:t>
      </w:r>
      <w:r w:rsidRPr="009827AC">
        <w:rPr>
          <w:rFonts w:cs="Arial"/>
          <w:szCs w:val="24"/>
        </w:rPr>
        <w:t>.</w:t>
      </w:r>
      <w:r w:rsidRPr="009827AC">
        <w:rPr>
          <w:rFonts w:cs="Arial"/>
          <w:szCs w:val="24"/>
          <w:vertAlign w:val="superscript"/>
        </w:rPr>
        <w:footnoteReference w:id="7"/>
      </w:r>
    </w:p>
    <w:p w14:paraId="2FDEC1A1"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The legislation provides flexibility to vary the automatic safe access zone of 150 metres around termination services premises, allowing the particular location or features of the premises to be taken into account. The ability to vary the extent of a safe access zone is unique to Queensland.</w:t>
      </w:r>
    </w:p>
    <w:p w14:paraId="0FB71888" w14:textId="77777777" w:rsidR="009A2C73" w:rsidRPr="009A2C73" w:rsidRDefault="009A2C73" w:rsidP="003308BA">
      <w:pPr>
        <w:pStyle w:val="ListNumber0"/>
        <w:numPr>
          <w:ilvl w:val="0"/>
          <w:numId w:val="0"/>
        </w:numPr>
        <w:tabs>
          <w:tab w:val="left" w:pos="720"/>
        </w:tabs>
        <w:spacing w:line="276" w:lineRule="auto"/>
        <w:rPr>
          <w:rFonts w:ascii="Arial" w:hAnsi="Arial" w:cs="Arial"/>
          <w:sz w:val="22"/>
        </w:rPr>
      </w:pPr>
    </w:p>
    <w:p w14:paraId="7E34C11D" w14:textId="65B3DA66" w:rsidR="009A2C73" w:rsidRPr="009A2C73" w:rsidRDefault="007254D1" w:rsidP="003308BA">
      <w:pPr>
        <w:pStyle w:val="Heading2"/>
      </w:pPr>
      <w:bookmarkStart w:id="50" w:name="_Toc47512449"/>
      <w:bookmarkStart w:id="51" w:name="_Toc47278191"/>
      <w:bookmarkStart w:id="52" w:name="_Toc49947626"/>
      <w:r>
        <w:t>4</w:t>
      </w:r>
      <w:r w:rsidR="009827AC">
        <w:t xml:space="preserve">.2 </w:t>
      </w:r>
      <w:r w:rsidR="009A2C73" w:rsidRPr="009A2C73">
        <w:t>New South Wales</w:t>
      </w:r>
      <w:bookmarkEnd w:id="50"/>
      <w:bookmarkEnd w:id="51"/>
      <w:bookmarkEnd w:id="52"/>
    </w:p>
    <w:tbl>
      <w:tblPr>
        <w:tblStyle w:val="TableMSA"/>
        <w:tblW w:w="0" w:type="dxa"/>
        <w:tblInd w:w="0" w:type="dxa"/>
        <w:tblLayout w:type="fixed"/>
        <w:tblLook w:val="04A0" w:firstRow="1" w:lastRow="0" w:firstColumn="1" w:lastColumn="0" w:noHBand="0" w:noVBand="1"/>
      </w:tblPr>
      <w:tblGrid>
        <w:gridCol w:w="2547"/>
        <w:gridCol w:w="7081"/>
      </w:tblGrid>
      <w:tr w:rsidR="009A2C73" w:rsidRPr="005B015B" w14:paraId="0DFB5390" w14:textId="77777777" w:rsidTr="009A2C73">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48E18014" w14:textId="77777777" w:rsidR="009A2C73" w:rsidRPr="005B015B" w:rsidRDefault="009A2C73" w:rsidP="003308BA">
            <w:pPr>
              <w:spacing w:before="120"/>
              <w:rPr>
                <w:rFonts w:cs="Arial"/>
                <w:b/>
                <w:bCs/>
                <w:color w:val="000000"/>
                <w:szCs w:val="24"/>
              </w:rPr>
            </w:pPr>
            <w:r w:rsidRPr="005B015B">
              <w:rPr>
                <w:rFonts w:cs="Arial"/>
                <w:b/>
                <w:bCs/>
                <w:color w:val="000000"/>
                <w:szCs w:val="24"/>
              </w:rPr>
              <w:t xml:space="preserve">New South Wales </w:t>
            </w:r>
          </w:p>
        </w:tc>
      </w:tr>
      <w:tr w:rsidR="009A2C73" w:rsidRPr="009A2C73" w14:paraId="3AE4E233" w14:textId="77777777" w:rsidTr="009A2C73">
        <w:tc>
          <w:tcPr>
            <w:tcW w:w="2547" w:type="dxa"/>
            <w:tcBorders>
              <w:top w:val="single" w:sz="4" w:space="0" w:color="5B9BD5" w:themeColor="accent1"/>
              <w:left w:val="nil"/>
              <w:bottom w:val="single" w:sz="4" w:space="0" w:color="5B9BD5" w:themeColor="accent1"/>
              <w:right w:val="nil"/>
            </w:tcBorders>
            <w:hideMark/>
          </w:tcPr>
          <w:p w14:paraId="7DC17C0C" w14:textId="77777777" w:rsidR="009A2C73" w:rsidRPr="009A2C73" w:rsidRDefault="009A2C73" w:rsidP="003308BA">
            <w:pPr>
              <w:spacing w:before="120"/>
              <w:rPr>
                <w:rFonts w:cs="Arial"/>
                <w:color w:val="000000"/>
              </w:rPr>
            </w:pPr>
            <w:r w:rsidRPr="009A2C73">
              <w:rPr>
                <w:rFonts w:cs="Arial"/>
                <w:color w:val="000000"/>
              </w:rPr>
              <w:t xml:space="preserve">Legislation </w:t>
            </w:r>
          </w:p>
        </w:tc>
        <w:tc>
          <w:tcPr>
            <w:tcW w:w="7081" w:type="dxa"/>
            <w:tcBorders>
              <w:top w:val="single" w:sz="4" w:space="0" w:color="5B9BD5" w:themeColor="accent1"/>
              <w:left w:val="nil"/>
              <w:bottom w:val="single" w:sz="4" w:space="0" w:color="5B9BD5" w:themeColor="accent1"/>
              <w:right w:val="nil"/>
            </w:tcBorders>
            <w:hideMark/>
          </w:tcPr>
          <w:p w14:paraId="02C0D62B" w14:textId="77777777" w:rsidR="009A2C73" w:rsidRPr="009A2C73" w:rsidRDefault="009A2C73" w:rsidP="003308BA">
            <w:pPr>
              <w:spacing w:before="120"/>
              <w:rPr>
                <w:rFonts w:cs="Arial"/>
                <w:color w:val="000000"/>
              </w:rPr>
            </w:pPr>
            <w:r w:rsidRPr="009A2C73">
              <w:rPr>
                <w:rFonts w:cs="Arial"/>
                <w:i/>
                <w:color w:val="000000"/>
              </w:rPr>
              <w:t>Public Health Act 2010</w:t>
            </w:r>
            <w:r w:rsidRPr="009A2C73">
              <w:rPr>
                <w:rFonts w:cs="Arial"/>
                <w:color w:val="000000"/>
              </w:rPr>
              <w:t xml:space="preserve"> (NSW) Part 6A</w:t>
            </w:r>
          </w:p>
        </w:tc>
      </w:tr>
      <w:tr w:rsidR="009A2C73" w:rsidRPr="009A2C73" w14:paraId="038AE8F5" w14:textId="77777777" w:rsidTr="009A2C73">
        <w:tc>
          <w:tcPr>
            <w:tcW w:w="2547" w:type="dxa"/>
            <w:tcBorders>
              <w:top w:val="single" w:sz="4" w:space="0" w:color="5B9BD5" w:themeColor="accent1"/>
              <w:left w:val="nil"/>
              <w:bottom w:val="single" w:sz="4" w:space="0" w:color="5B9BD5" w:themeColor="accent1"/>
              <w:right w:val="nil"/>
            </w:tcBorders>
            <w:hideMark/>
          </w:tcPr>
          <w:p w14:paraId="79C6894E" w14:textId="77777777" w:rsidR="009A2C73" w:rsidRPr="009A2C73" w:rsidRDefault="009A2C73" w:rsidP="003308BA">
            <w:pPr>
              <w:spacing w:before="120"/>
              <w:rPr>
                <w:rFonts w:cs="Arial"/>
                <w:color w:val="000000"/>
              </w:rPr>
            </w:pPr>
            <w:r w:rsidRPr="009A2C73">
              <w:rPr>
                <w:rFonts w:cs="Arial"/>
                <w:color w:val="000000"/>
              </w:rPr>
              <w:t>Creation</w:t>
            </w:r>
          </w:p>
        </w:tc>
        <w:tc>
          <w:tcPr>
            <w:tcW w:w="7081" w:type="dxa"/>
            <w:tcBorders>
              <w:top w:val="single" w:sz="4" w:space="0" w:color="5B9BD5" w:themeColor="accent1"/>
              <w:left w:val="nil"/>
              <w:bottom w:val="single" w:sz="4" w:space="0" w:color="5B9BD5" w:themeColor="accent1"/>
              <w:right w:val="nil"/>
            </w:tcBorders>
            <w:hideMark/>
          </w:tcPr>
          <w:p w14:paraId="508E70D1" w14:textId="4E59C700" w:rsidR="009A2C73" w:rsidRPr="009A2C73" w:rsidRDefault="009A2C73" w:rsidP="003308BA">
            <w:pPr>
              <w:spacing w:before="120"/>
              <w:rPr>
                <w:rFonts w:cs="Arial"/>
                <w:color w:val="000000"/>
              </w:rPr>
            </w:pPr>
            <w:r w:rsidRPr="009A2C73">
              <w:rPr>
                <w:rFonts w:cs="Arial"/>
                <w:color w:val="000000"/>
              </w:rPr>
              <w:t xml:space="preserve">Automatic – all premises at which at which abortion are </w:t>
            </w:r>
            <w:r w:rsidR="00C56345">
              <w:rPr>
                <w:rFonts w:cs="Arial"/>
                <w:color w:val="000000"/>
              </w:rPr>
              <w:br/>
            </w:r>
            <w:r w:rsidRPr="009A2C73">
              <w:rPr>
                <w:rFonts w:cs="Arial"/>
                <w:color w:val="000000"/>
              </w:rPr>
              <w:t xml:space="preserve">provided; ministerial declaration not required. </w:t>
            </w:r>
          </w:p>
        </w:tc>
      </w:tr>
      <w:tr w:rsidR="009A2C73" w:rsidRPr="009A2C73" w14:paraId="7A97CA1D" w14:textId="77777777" w:rsidTr="009A2C73">
        <w:tc>
          <w:tcPr>
            <w:tcW w:w="2547" w:type="dxa"/>
            <w:tcBorders>
              <w:top w:val="single" w:sz="4" w:space="0" w:color="5B9BD5" w:themeColor="accent1"/>
              <w:left w:val="nil"/>
              <w:bottom w:val="single" w:sz="4" w:space="0" w:color="5B9BD5" w:themeColor="accent1"/>
              <w:right w:val="nil"/>
            </w:tcBorders>
            <w:hideMark/>
          </w:tcPr>
          <w:p w14:paraId="0317A91E" w14:textId="77777777" w:rsidR="009A2C73" w:rsidRPr="009A2C73" w:rsidRDefault="009A2C73" w:rsidP="003308BA">
            <w:pPr>
              <w:spacing w:before="120"/>
              <w:rPr>
                <w:rFonts w:cs="Arial"/>
                <w:color w:val="000000"/>
              </w:rPr>
            </w:pPr>
            <w:r w:rsidRPr="009A2C73">
              <w:rPr>
                <w:rFonts w:cs="Arial"/>
                <w:color w:val="000000"/>
              </w:rPr>
              <w:t>Size</w:t>
            </w:r>
          </w:p>
        </w:tc>
        <w:tc>
          <w:tcPr>
            <w:tcW w:w="7081" w:type="dxa"/>
            <w:tcBorders>
              <w:top w:val="single" w:sz="4" w:space="0" w:color="5B9BD5" w:themeColor="accent1"/>
              <w:left w:val="nil"/>
              <w:bottom w:val="single" w:sz="4" w:space="0" w:color="5B9BD5" w:themeColor="accent1"/>
              <w:right w:val="nil"/>
            </w:tcBorders>
            <w:hideMark/>
          </w:tcPr>
          <w:p w14:paraId="3DBF9A86" w14:textId="77777777" w:rsidR="009A2C73" w:rsidRPr="009A2C73" w:rsidRDefault="009A2C73" w:rsidP="003308BA">
            <w:pPr>
              <w:spacing w:before="120"/>
              <w:rPr>
                <w:rFonts w:cs="Arial"/>
                <w:color w:val="000000"/>
              </w:rPr>
            </w:pPr>
            <w:r w:rsidRPr="009A2C73">
              <w:rPr>
                <w:rFonts w:cs="Arial"/>
                <w:color w:val="000000"/>
              </w:rPr>
              <w:t>150m</w:t>
            </w:r>
          </w:p>
        </w:tc>
      </w:tr>
      <w:tr w:rsidR="009A2C73" w:rsidRPr="009A2C73" w14:paraId="108095C0" w14:textId="77777777" w:rsidTr="009A2C73">
        <w:tc>
          <w:tcPr>
            <w:tcW w:w="2547" w:type="dxa"/>
            <w:tcBorders>
              <w:top w:val="single" w:sz="4" w:space="0" w:color="5B9BD5" w:themeColor="accent1"/>
              <w:left w:val="nil"/>
              <w:bottom w:val="single" w:sz="4" w:space="0" w:color="5B9BD5" w:themeColor="accent1"/>
              <w:right w:val="nil"/>
            </w:tcBorders>
            <w:hideMark/>
          </w:tcPr>
          <w:p w14:paraId="2C31BDA9" w14:textId="77777777" w:rsidR="009A2C73" w:rsidRPr="009A2C73" w:rsidRDefault="009A2C73" w:rsidP="003308BA">
            <w:pPr>
              <w:spacing w:before="120"/>
              <w:rPr>
                <w:rFonts w:cs="Arial"/>
                <w:color w:val="000000"/>
              </w:rPr>
            </w:pPr>
            <w:r w:rsidRPr="009A2C73">
              <w:rPr>
                <w:rFonts w:cs="Arial"/>
                <w:color w:val="000000"/>
              </w:rPr>
              <w:t xml:space="preserve">Measured from </w:t>
            </w:r>
          </w:p>
        </w:tc>
        <w:tc>
          <w:tcPr>
            <w:tcW w:w="7081" w:type="dxa"/>
            <w:tcBorders>
              <w:top w:val="single" w:sz="4" w:space="0" w:color="5B9BD5" w:themeColor="accent1"/>
              <w:left w:val="nil"/>
              <w:bottom w:val="single" w:sz="4" w:space="0" w:color="5B9BD5" w:themeColor="accent1"/>
              <w:right w:val="nil"/>
            </w:tcBorders>
            <w:hideMark/>
          </w:tcPr>
          <w:p w14:paraId="0B45D171" w14:textId="77777777" w:rsidR="009A2C73" w:rsidRPr="009A2C73" w:rsidRDefault="009A2C73" w:rsidP="003308BA">
            <w:pPr>
              <w:spacing w:before="120"/>
              <w:rPr>
                <w:rFonts w:cs="Arial"/>
                <w:color w:val="000000"/>
              </w:rPr>
            </w:pPr>
            <w:r w:rsidRPr="009A2C73">
              <w:rPr>
                <w:rFonts w:cs="Arial"/>
                <w:color w:val="000000"/>
              </w:rPr>
              <w:t xml:space="preserve">(i) any part of the premises of clinic, or (ii) a pedestrian access point to a building that houses a clinic. </w:t>
            </w:r>
          </w:p>
        </w:tc>
      </w:tr>
      <w:tr w:rsidR="009A2C73" w:rsidRPr="009A2C73" w14:paraId="4AD48211" w14:textId="77777777" w:rsidTr="009A2C73">
        <w:tc>
          <w:tcPr>
            <w:tcW w:w="2547" w:type="dxa"/>
            <w:tcBorders>
              <w:top w:val="single" w:sz="4" w:space="0" w:color="5B9BD5" w:themeColor="accent1"/>
              <w:left w:val="nil"/>
              <w:bottom w:val="single" w:sz="4" w:space="0" w:color="5B9BD5" w:themeColor="accent1"/>
              <w:right w:val="nil"/>
            </w:tcBorders>
            <w:hideMark/>
          </w:tcPr>
          <w:p w14:paraId="2FFD94FB" w14:textId="77777777" w:rsidR="009A2C73" w:rsidRPr="009A2C73" w:rsidRDefault="009A2C73" w:rsidP="003308BA">
            <w:pPr>
              <w:spacing w:before="120"/>
              <w:rPr>
                <w:rFonts w:cs="Arial"/>
                <w:color w:val="000000"/>
              </w:rPr>
            </w:pPr>
            <w:r w:rsidRPr="009A2C73">
              <w:rPr>
                <w:rFonts w:cs="Arial"/>
                <w:color w:val="000000"/>
              </w:rPr>
              <w:t>Hours of effect</w:t>
            </w:r>
          </w:p>
        </w:tc>
        <w:tc>
          <w:tcPr>
            <w:tcW w:w="7081" w:type="dxa"/>
            <w:tcBorders>
              <w:top w:val="single" w:sz="4" w:space="0" w:color="5B9BD5" w:themeColor="accent1"/>
              <w:left w:val="nil"/>
              <w:bottom w:val="single" w:sz="4" w:space="0" w:color="5B9BD5" w:themeColor="accent1"/>
              <w:right w:val="nil"/>
            </w:tcBorders>
            <w:hideMark/>
          </w:tcPr>
          <w:p w14:paraId="2E493DCC" w14:textId="77777777" w:rsidR="009A2C73" w:rsidRPr="009A2C73" w:rsidRDefault="009A2C73" w:rsidP="003308BA">
            <w:pPr>
              <w:spacing w:before="120"/>
              <w:rPr>
                <w:rFonts w:cs="Arial"/>
                <w:color w:val="000000"/>
              </w:rPr>
            </w:pPr>
            <w:r w:rsidRPr="009A2C73">
              <w:rPr>
                <w:rFonts w:cs="Arial"/>
                <w:color w:val="000000"/>
              </w:rPr>
              <w:t>Implied: when patients/staff are present (except blocking road)</w:t>
            </w:r>
          </w:p>
        </w:tc>
      </w:tr>
      <w:tr w:rsidR="009A2C73" w:rsidRPr="009A2C73" w14:paraId="116CDD0E" w14:textId="77777777" w:rsidTr="009A2C73">
        <w:tc>
          <w:tcPr>
            <w:tcW w:w="2547" w:type="dxa"/>
            <w:tcBorders>
              <w:top w:val="single" w:sz="4" w:space="0" w:color="5B9BD5" w:themeColor="accent1"/>
              <w:left w:val="nil"/>
              <w:bottom w:val="single" w:sz="18" w:space="0" w:color="5B9BD5" w:themeColor="accent1"/>
              <w:right w:val="nil"/>
            </w:tcBorders>
            <w:hideMark/>
          </w:tcPr>
          <w:p w14:paraId="558EA08A" w14:textId="77777777" w:rsidR="009A2C73" w:rsidRPr="009A2C73" w:rsidRDefault="009A2C73" w:rsidP="003308BA">
            <w:pPr>
              <w:spacing w:before="120"/>
              <w:rPr>
                <w:rFonts w:cs="Arial"/>
                <w:color w:val="000000"/>
              </w:rPr>
            </w:pPr>
            <w:r w:rsidRPr="009A2C73">
              <w:rPr>
                <w:rFonts w:cs="Arial"/>
                <w:color w:val="000000"/>
              </w:rPr>
              <w:t xml:space="preserve">Prohibited Behaviours </w:t>
            </w:r>
          </w:p>
        </w:tc>
        <w:tc>
          <w:tcPr>
            <w:tcW w:w="7081" w:type="dxa"/>
            <w:tcBorders>
              <w:top w:val="single" w:sz="4" w:space="0" w:color="5B9BD5" w:themeColor="accent1"/>
              <w:left w:val="nil"/>
              <w:bottom w:val="single" w:sz="18" w:space="0" w:color="5B9BD5" w:themeColor="accent1"/>
              <w:right w:val="nil"/>
            </w:tcBorders>
            <w:hideMark/>
          </w:tcPr>
          <w:p w14:paraId="5BB1AA38" w14:textId="77777777" w:rsidR="009A2C73" w:rsidRPr="009A2C73" w:rsidRDefault="009A2C73" w:rsidP="003308BA">
            <w:pPr>
              <w:spacing w:before="120"/>
              <w:rPr>
                <w:rFonts w:cs="Arial"/>
                <w:color w:val="000000"/>
              </w:rPr>
            </w:pPr>
            <w:r w:rsidRPr="009A2C73">
              <w:rPr>
                <w:rFonts w:cs="Arial"/>
                <w:color w:val="000000"/>
              </w:rPr>
              <w:t>Intimidating, besetting, threatening, hindering</w:t>
            </w:r>
            <w:r w:rsidRPr="009A2C73">
              <w:rPr>
                <w:rFonts w:cs="Arial"/>
              </w:rPr>
              <w:t xml:space="preserve">, </w:t>
            </w:r>
            <w:r w:rsidRPr="009A2C73">
              <w:rPr>
                <w:rFonts w:cs="Arial"/>
                <w:color w:val="000000"/>
              </w:rPr>
              <w:t xml:space="preserve">obstructing or impeding a person accessing facility. </w:t>
            </w:r>
          </w:p>
          <w:p w14:paraId="49DC0940" w14:textId="77777777" w:rsidR="009A2C73" w:rsidRPr="009A2C73" w:rsidRDefault="009A2C73" w:rsidP="003308BA">
            <w:pPr>
              <w:spacing w:before="120"/>
              <w:rPr>
                <w:rFonts w:cs="Arial"/>
                <w:color w:val="000000"/>
              </w:rPr>
            </w:pPr>
            <w:r w:rsidRPr="009A2C73">
              <w:rPr>
                <w:rFonts w:cs="Arial"/>
                <w:color w:val="000000"/>
              </w:rPr>
              <w:t xml:space="preserve">Obstructing or blocking footpath or road leading to facility. </w:t>
            </w:r>
          </w:p>
          <w:p w14:paraId="195BAD1A" w14:textId="05AB6FF6" w:rsidR="009A2C73" w:rsidRPr="009A2C73" w:rsidRDefault="009A2C73" w:rsidP="003308BA">
            <w:pPr>
              <w:spacing w:before="120"/>
              <w:rPr>
                <w:rFonts w:cs="Arial"/>
                <w:color w:val="000000"/>
              </w:rPr>
            </w:pPr>
            <w:r w:rsidRPr="009A2C73">
              <w:rPr>
                <w:rFonts w:cs="Arial"/>
                <w:color w:val="000000"/>
              </w:rPr>
              <w:t xml:space="preserve">Communication relating to abortion able to be seen or heard </w:t>
            </w:r>
            <w:r w:rsidR="00C56345">
              <w:rPr>
                <w:rFonts w:cs="Arial"/>
                <w:color w:val="000000"/>
              </w:rPr>
              <w:br/>
            </w:r>
            <w:r w:rsidRPr="009A2C73">
              <w:rPr>
                <w:rFonts w:cs="Arial"/>
                <w:color w:val="000000"/>
              </w:rPr>
              <w:t xml:space="preserve">by a person accessing facility that is likely to cause distress </w:t>
            </w:r>
            <w:r w:rsidR="00C56345">
              <w:rPr>
                <w:rFonts w:cs="Arial"/>
                <w:color w:val="000000"/>
              </w:rPr>
              <w:br/>
            </w:r>
            <w:r w:rsidRPr="009A2C73">
              <w:rPr>
                <w:rFonts w:cs="Arial"/>
                <w:color w:val="000000"/>
              </w:rPr>
              <w:t xml:space="preserve">or anxiety. </w:t>
            </w:r>
          </w:p>
          <w:p w14:paraId="6D0C718B" w14:textId="1F9DD970" w:rsidR="009A2C73" w:rsidRPr="009A2C73" w:rsidRDefault="009A2C73" w:rsidP="003308BA">
            <w:pPr>
              <w:spacing w:before="120"/>
              <w:rPr>
                <w:rFonts w:cs="Arial"/>
                <w:color w:val="000000"/>
              </w:rPr>
            </w:pPr>
            <w:r w:rsidRPr="009A2C73">
              <w:rPr>
                <w:rFonts w:cs="Arial"/>
                <w:color w:val="000000"/>
              </w:rPr>
              <w:t xml:space="preserve">Capturing visual data of a person, or publishing or distributing </w:t>
            </w:r>
            <w:r w:rsidR="00C56345">
              <w:rPr>
                <w:rFonts w:cs="Arial"/>
                <w:color w:val="000000"/>
              </w:rPr>
              <w:br/>
            </w:r>
            <w:r w:rsidRPr="009A2C73">
              <w:rPr>
                <w:rFonts w:cs="Arial"/>
                <w:color w:val="000000"/>
              </w:rPr>
              <w:t xml:space="preserve">a recording of a person that is likely to identify them.  </w:t>
            </w:r>
          </w:p>
        </w:tc>
      </w:tr>
    </w:tbl>
    <w:p w14:paraId="186929CC" w14:textId="77777777" w:rsidR="009A2C73" w:rsidRPr="009A2C73" w:rsidRDefault="009A2C73" w:rsidP="003308BA">
      <w:pPr>
        <w:spacing w:before="120"/>
        <w:rPr>
          <w:rFonts w:cs="Arial"/>
          <w:b/>
          <w:color w:val="000000"/>
          <w:sz w:val="22"/>
        </w:rPr>
      </w:pPr>
    </w:p>
    <w:p w14:paraId="15752412" w14:textId="77777777" w:rsidR="009A2C73" w:rsidRPr="009827AC" w:rsidRDefault="009A2C73" w:rsidP="003308BA">
      <w:pPr>
        <w:spacing w:before="120"/>
        <w:rPr>
          <w:rFonts w:cs="Arial"/>
          <w:b/>
          <w:color w:val="000000"/>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3"/>
      </w:tblGrid>
      <w:tr w:rsidR="009A2C73" w:rsidRPr="009827AC" w14:paraId="0BFDD93E" w14:textId="77777777" w:rsidTr="009A2C73">
        <w:trPr>
          <w:trHeight w:val="32"/>
          <w:jc w:val="center"/>
        </w:trPr>
        <w:tc>
          <w:tcPr>
            <w:tcW w:w="10213" w:type="dxa"/>
            <w:tcBorders>
              <w:top w:val="single" w:sz="4" w:space="0" w:color="000000"/>
              <w:left w:val="single" w:sz="4" w:space="0" w:color="000000"/>
              <w:bottom w:val="single" w:sz="4" w:space="0" w:color="000000"/>
              <w:right w:val="single" w:sz="4" w:space="0" w:color="000000"/>
            </w:tcBorders>
          </w:tcPr>
          <w:p w14:paraId="693FBE28" w14:textId="77777777" w:rsidR="009A2C73" w:rsidRPr="009827AC" w:rsidRDefault="009A2C73" w:rsidP="003308BA">
            <w:pPr>
              <w:spacing w:before="120" w:line="256" w:lineRule="auto"/>
              <w:rPr>
                <w:rFonts w:cs="Arial"/>
                <w:b/>
                <w:color w:val="000000"/>
                <w:szCs w:val="24"/>
              </w:rPr>
            </w:pPr>
            <w:r w:rsidRPr="009827AC">
              <w:rPr>
                <w:rFonts w:cs="Arial"/>
                <w:b/>
                <w:color w:val="000000"/>
                <w:szCs w:val="24"/>
              </w:rPr>
              <w:lastRenderedPageBreak/>
              <w:t xml:space="preserve">Section 98A Definitions </w:t>
            </w:r>
          </w:p>
          <w:p w14:paraId="4D6EFEE3" w14:textId="77777777" w:rsidR="009A2C73" w:rsidRPr="009827AC" w:rsidRDefault="009A2C73" w:rsidP="003308BA">
            <w:pPr>
              <w:spacing w:before="120" w:line="256" w:lineRule="auto"/>
              <w:ind w:left="329"/>
              <w:rPr>
                <w:rFonts w:cs="Arial"/>
                <w:color w:val="000000"/>
                <w:szCs w:val="24"/>
              </w:rPr>
            </w:pPr>
            <w:r w:rsidRPr="009827AC">
              <w:rPr>
                <w:rFonts w:cs="Arial"/>
                <w:color w:val="000000"/>
                <w:szCs w:val="24"/>
              </w:rPr>
              <w:t xml:space="preserve">In this Part – </w:t>
            </w:r>
          </w:p>
          <w:p w14:paraId="36353C0F" w14:textId="77777777" w:rsidR="009A2C73" w:rsidRPr="009827AC" w:rsidRDefault="009A2C73" w:rsidP="003308BA">
            <w:pPr>
              <w:spacing w:before="120" w:line="256" w:lineRule="auto"/>
              <w:ind w:left="329"/>
              <w:rPr>
                <w:rFonts w:cs="Arial"/>
                <w:bCs/>
                <w:iCs/>
                <w:color w:val="000000"/>
                <w:szCs w:val="24"/>
              </w:rPr>
            </w:pPr>
            <w:r w:rsidRPr="009827AC">
              <w:rPr>
                <w:rFonts w:cs="Arial"/>
                <w:b/>
                <w:i/>
                <w:color w:val="000000"/>
                <w:szCs w:val="24"/>
              </w:rPr>
              <w:t xml:space="preserve">reproductive health clinic </w:t>
            </w:r>
            <w:r w:rsidRPr="009827AC">
              <w:rPr>
                <w:rFonts w:cs="Arial"/>
                <w:bCs/>
                <w:iCs/>
                <w:color w:val="000000"/>
                <w:szCs w:val="24"/>
              </w:rPr>
              <w:t xml:space="preserve">means any premises at which medical services relating to aspects of human reproduction or maternal health are provided, but does not include a pharmacy. </w:t>
            </w:r>
          </w:p>
          <w:p w14:paraId="334DCD03" w14:textId="77777777" w:rsidR="009A2C73" w:rsidRPr="009827AC" w:rsidRDefault="009A2C73" w:rsidP="003308BA">
            <w:pPr>
              <w:spacing w:before="120" w:line="256" w:lineRule="auto"/>
              <w:ind w:left="329"/>
              <w:rPr>
                <w:rFonts w:cs="Arial"/>
                <w:color w:val="000000"/>
                <w:szCs w:val="24"/>
              </w:rPr>
            </w:pPr>
            <w:r w:rsidRPr="009827AC">
              <w:rPr>
                <w:rFonts w:cs="Arial"/>
                <w:b/>
                <w:i/>
                <w:color w:val="000000"/>
                <w:szCs w:val="24"/>
              </w:rPr>
              <w:t>safe access zone</w:t>
            </w:r>
            <w:r w:rsidRPr="009827AC">
              <w:rPr>
                <w:rFonts w:cs="Arial"/>
                <w:color w:val="000000"/>
                <w:szCs w:val="24"/>
              </w:rPr>
              <w:t xml:space="preserve"> means – </w:t>
            </w:r>
          </w:p>
          <w:p w14:paraId="4ABEC375" w14:textId="77777777" w:rsidR="009A2C73" w:rsidRPr="009827AC" w:rsidRDefault="009A2C73" w:rsidP="00A736A6">
            <w:pPr>
              <w:numPr>
                <w:ilvl w:val="1"/>
                <w:numId w:val="6"/>
              </w:numPr>
              <w:spacing w:before="120" w:line="256" w:lineRule="auto"/>
              <w:ind w:left="1180"/>
              <w:rPr>
                <w:rFonts w:cs="Arial"/>
                <w:szCs w:val="24"/>
              </w:rPr>
            </w:pPr>
            <w:r w:rsidRPr="009827AC">
              <w:rPr>
                <w:rFonts w:cs="Arial"/>
                <w:color w:val="000000"/>
                <w:szCs w:val="24"/>
              </w:rPr>
              <w:t xml:space="preserve">The premises of a reproductive health clinic at which abortions are provided, and </w:t>
            </w:r>
          </w:p>
          <w:p w14:paraId="135D3167" w14:textId="77777777" w:rsidR="009A2C73" w:rsidRPr="009827AC" w:rsidRDefault="009A2C73" w:rsidP="00A736A6">
            <w:pPr>
              <w:numPr>
                <w:ilvl w:val="1"/>
                <w:numId w:val="6"/>
              </w:numPr>
              <w:spacing w:before="120" w:line="256" w:lineRule="auto"/>
              <w:ind w:left="1180"/>
              <w:rPr>
                <w:rFonts w:cs="Arial"/>
                <w:szCs w:val="24"/>
              </w:rPr>
            </w:pPr>
            <w:r w:rsidRPr="009827AC">
              <w:rPr>
                <w:rFonts w:cs="Arial"/>
                <w:color w:val="000000"/>
                <w:szCs w:val="24"/>
              </w:rPr>
              <w:t xml:space="preserve">The area within </w:t>
            </w:r>
            <w:r w:rsidRPr="009827AC">
              <w:rPr>
                <w:rFonts w:cs="Arial"/>
                <w:b/>
                <w:color w:val="000000"/>
                <w:szCs w:val="24"/>
              </w:rPr>
              <w:t>150 metres</w:t>
            </w:r>
            <w:r w:rsidRPr="009827AC">
              <w:rPr>
                <w:rFonts w:cs="Arial"/>
                <w:color w:val="000000"/>
                <w:szCs w:val="24"/>
              </w:rPr>
              <w:t xml:space="preserve"> of –</w:t>
            </w:r>
          </w:p>
          <w:p w14:paraId="793D0459" w14:textId="77777777" w:rsidR="009A2C73" w:rsidRPr="009827AC" w:rsidRDefault="009A2C73" w:rsidP="00A736A6">
            <w:pPr>
              <w:numPr>
                <w:ilvl w:val="2"/>
                <w:numId w:val="6"/>
              </w:numPr>
              <w:spacing w:before="120" w:line="256" w:lineRule="auto"/>
              <w:ind w:left="1889"/>
              <w:rPr>
                <w:rFonts w:cs="Arial"/>
                <w:szCs w:val="24"/>
              </w:rPr>
            </w:pPr>
            <w:r w:rsidRPr="009827AC">
              <w:rPr>
                <w:rFonts w:cs="Arial"/>
                <w:color w:val="000000"/>
                <w:szCs w:val="24"/>
              </w:rPr>
              <w:t>any part of the premises of a reproductive health clinic at which abortions are provided, or</w:t>
            </w:r>
          </w:p>
          <w:p w14:paraId="34DCB28F" w14:textId="77777777" w:rsidR="009A2C73" w:rsidRPr="009827AC" w:rsidRDefault="009A2C73" w:rsidP="00A736A6">
            <w:pPr>
              <w:numPr>
                <w:ilvl w:val="2"/>
                <w:numId w:val="6"/>
              </w:numPr>
              <w:spacing w:before="120" w:line="256" w:lineRule="auto"/>
              <w:ind w:left="1889"/>
              <w:rPr>
                <w:rFonts w:cs="Arial"/>
                <w:szCs w:val="24"/>
              </w:rPr>
            </w:pPr>
            <w:r w:rsidRPr="009827AC">
              <w:rPr>
                <w:rFonts w:cs="Arial"/>
                <w:color w:val="000000"/>
                <w:szCs w:val="24"/>
              </w:rPr>
              <w:t xml:space="preserve">a pedestrian access point to a building that houses a reproductive health clinic at which abortions are provided. </w:t>
            </w:r>
          </w:p>
          <w:p w14:paraId="11BAE4E7" w14:textId="77777777" w:rsidR="009A2C73" w:rsidRPr="009827AC" w:rsidRDefault="009A2C73" w:rsidP="003308BA">
            <w:pPr>
              <w:spacing w:before="120" w:line="256" w:lineRule="auto"/>
              <w:ind w:left="2160"/>
              <w:rPr>
                <w:rFonts w:cs="Arial"/>
                <w:szCs w:val="24"/>
              </w:rPr>
            </w:pPr>
          </w:p>
          <w:p w14:paraId="49EC3A4C" w14:textId="77777777" w:rsidR="009A2C73" w:rsidRPr="009827AC" w:rsidRDefault="009A2C73" w:rsidP="003308BA">
            <w:pPr>
              <w:spacing w:before="120" w:line="256" w:lineRule="auto"/>
              <w:rPr>
                <w:rFonts w:cs="Arial"/>
                <w:b/>
                <w:szCs w:val="24"/>
              </w:rPr>
            </w:pPr>
            <w:r w:rsidRPr="009827AC">
              <w:rPr>
                <w:rFonts w:cs="Arial"/>
                <w:b/>
                <w:szCs w:val="24"/>
              </w:rPr>
              <w:t>Section 98C Interfering with access of persons to reproductive health clinics</w:t>
            </w:r>
          </w:p>
          <w:p w14:paraId="06856149" w14:textId="77777777" w:rsidR="009A2C73" w:rsidRPr="009827AC" w:rsidRDefault="009A2C73" w:rsidP="00A736A6">
            <w:pPr>
              <w:numPr>
                <w:ilvl w:val="0"/>
                <w:numId w:val="7"/>
              </w:numPr>
              <w:spacing w:before="120" w:line="256" w:lineRule="auto"/>
              <w:rPr>
                <w:rFonts w:cs="Arial"/>
                <w:szCs w:val="24"/>
              </w:rPr>
            </w:pPr>
            <w:r w:rsidRPr="009827AC">
              <w:rPr>
                <w:rFonts w:cs="Arial"/>
                <w:szCs w:val="24"/>
              </w:rPr>
              <w:t xml:space="preserve">In this section - </w:t>
            </w:r>
          </w:p>
          <w:p w14:paraId="45F1E1AB" w14:textId="77777777" w:rsidR="009A2C73" w:rsidRPr="009827AC" w:rsidRDefault="009A2C73" w:rsidP="003308BA">
            <w:pPr>
              <w:spacing w:before="120" w:line="256" w:lineRule="auto"/>
              <w:ind w:left="720"/>
              <w:rPr>
                <w:rFonts w:cs="Arial"/>
                <w:szCs w:val="24"/>
              </w:rPr>
            </w:pPr>
            <w:r w:rsidRPr="009827AC">
              <w:rPr>
                <w:rFonts w:cs="Arial"/>
                <w:b/>
                <w:i/>
                <w:szCs w:val="24"/>
              </w:rPr>
              <w:t>interfere with</w:t>
            </w:r>
            <w:r w:rsidRPr="009827AC">
              <w:rPr>
                <w:rFonts w:cs="Arial"/>
                <w:szCs w:val="24"/>
              </w:rPr>
              <w:t xml:space="preserve"> includes harass, intimidate, beset, threaten, hinder, obstruct or impede by any means. </w:t>
            </w:r>
          </w:p>
          <w:p w14:paraId="6B6B4724" w14:textId="77777777" w:rsidR="009A2C73" w:rsidRPr="009827AC" w:rsidRDefault="009A2C73" w:rsidP="00A736A6">
            <w:pPr>
              <w:numPr>
                <w:ilvl w:val="0"/>
                <w:numId w:val="7"/>
              </w:numPr>
              <w:spacing w:before="120" w:line="256" w:lineRule="auto"/>
              <w:rPr>
                <w:rFonts w:cs="Arial"/>
                <w:szCs w:val="24"/>
              </w:rPr>
            </w:pPr>
            <w:r w:rsidRPr="009827AC">
              <w:rPr>
                <w:rFonts w:cs="Arial"/>
                <w:szCs w:val="24"/>
              </w:rPr>
              <w:t xml:space="preserve">A person who is in a safe access zone </w:t>
            </w:r>
            <w:r w:rsidRPr="009827AC">
              <w:rPr>
                <w:rFonts w:cs="Arial"/>
                <w:b/>
                <w:szCs w:val="24"/>
              </w:rPr>
              <w:t>must not interfere</w:t>
            </w:r>
            <w:r w:rsidRPr="009827AC">
              <w:rPr>
                <w:rFonts w:cs="Arial"/>
                <w:szCs w:val="24"/>
              </w:rPr>
              <w:t xml:space="preserve"> with any person </w:t>
            </w:r>
            <w:r w:rsidRPr="009827AC">
              <w:rPr>
                <w:rFonts w:cs="Arial"/>
                <w:b/>
                <w:szCs w:val="24"/>
              </w:rPr>
              <w:t>accessing, leaving, or attempting to access or leave</w:t>
            </w:r>
            <w:r w:rsidRPr="009827AC">
              <w:rPr>
                <w:rFonts w:cs="Arial"/>
                <w:szCs w:val="24"/>
              </w:rPr>
              <w:t xml:space="preserve">, any reproductive health clinic at which abortions are provided. </w:t>
            </w:r>
          </w:p>
          <w:p w14:paraId="0D95311C" w14:textId="77777777" w:rsidR="009A2C73" w:rsidRPr="009827AC" w:rsidRDefault="009A2C73" w:rsidP="003308BA">
            <w:pPr>
              <w:spacing w:before="120" w:line="256" w:lineRule="auto"/>
              <w:ind w:left="720"/>
              <w:rPr>
                <w:rFonts w:cs="Arial"/>
                <w:szCs w:val="24"/>
              </w:rPr>
            </w:pPr>
          </w:p>
          <w:p w14:paraId="2F89AA8F" w14:textId="77777777" w:rsidR="009A2C73" w:rsidRPr="009827AC" w:rsidRDefault="009A2C73" w:rsidP="003308BA">
            <w:pPr>
              <w:spacing w:before="120" w:line="256" w:lineRule="auto"/>
              <w:rPr>
                <w:rFonts w:cs="Arial"/>
                <w:b/>
                <w:szCs w:val="24"/>
              </w:rPr>
            </w:pPr>
            <w:r w:rsidRPr="009827AC">
              <w:rPr>
                <w:rFonts w:cs="Arial"/>
                <w:b/>
                <w:szCs w:val="24"/>
              </w:rPr>
              <w:t xml:space="preserve">Section 98D Causing actual or potential distress or anxiety to persons in safe access zones </w:t>
            </w:r>
          </w:p>
          <w:p w14:paraId="4F60E9F1" w14:textId="77777777" w:rsidR="009A2C73" w:rsidRPr="009827AC" w:rsidRDefault="009A2C73" w:rsidP="00A736A6">
            <w:pPr>
              <w:numPr>
                <w:ilvl w:val="0"/>
                <w:numId w:val="8"/>
              </w:numPr>
              <w:spacing w:before="120" w:after="200" w:line="256" w:lineRule="auto"/>
              <w:rPr>
                <w:rFonts w:cs="Arial"/>
                <w:szCs w:val="24"/>
              </w:rPr>
            </w:pPr>
            <w:r w:rsidRPr="009827AC">
              <w:rPr>
                <w:rFonts w:cs="Arial"/>
                <w:szCs w:val="24"/>
              </w:rPr>
              <w:t xml:space="preserve">A person who is in a safe access zone </w:t>
            </w:r>
            <w:r w:rsidRPr="009827AC">
              <w:rPr>
                <w:rFonts w:cs="Arial"/>
                <w:b/>
                <w:szCs w:val="24"/>
              </w:rPr>
              <w:t>must not make a communication that relates to abortions</w:t>
            </w:r>
            <w:r w:rsidRPr="009827AC">
              <w:rPr>
                <w:rFonts w:cs="Arial"/>
                <w:szCs w:val="24"/>
              </w:rPr>
              <w:t>, by any means, in a manner –</w:t>
            </w:r>
          </w:p>
          <w:p w14:paraId="53FBB304" w14:textId="77777777" w:rsidR="009A2C73" w:rsidRPr="009827AC" w:rsidRDefault="009A2C73" w:rsidP="00A736A6">
            <w:pPr>
              <w:numPr>
                <w:ilvl w:val="1"/>
                <w:numId w:val="8"/>
              </w:numPr>
              <w:spacing w:after="200" w:line="256" w:lineRule="auto"/>
              <w:rPr>
                <w:rFonts w:cs="Arial"/>
                <w:szCs w:val="24"/>
              </w:rPr>
            </w:pPr>
            <w:r w:rsidRPr="009827AC">
              <w:rPr>
                <w:rFonts w:cs="Arial"/>
                <w:szCs w:val="24"/>
              </w:rPr>
              <w:t xml:space="preserve">that is </w:t>
            </w:r>
            <w:r w:rsidRPr="009827AC">
              <w:rPr>
                <w:rFonts w:cs="Arial"/>
                <w:b/>
                <w:szCs w:val="24"/>
              </w:rPr>
              <w:t>able to be seen or heard by a person accessing, leaving, attempting to access or leave</w:t>
            </w:r>
            <w:r w:rsidRPr="009827AC">
              <w:rPr>
                <w:rFonts w:cs="Arial"/>
                <w:szCs w:val="24"/>
              </w:rPr>
              <w:t>, or inside, a reproductive health clinic at which abortions are provided, and</w:t>
            </w:r>
          </w:p>
          <w:p w14:paraId="7A0F92F1" w14:textId="77777777" w:rsidR="009A2C73" w:rsidRPr="009827AC" w:rsidRDefault="009A2C73" w:rsidP="00A736A6">
            <w:pPr>
              <w:numPr>
                <w:ilvl w:val="1"/>
                <w:numId w:val="8"/>
              </w:numPr>
              <w:spacing w:before="120" w:after="200" w:line="256" w:lineRule="auto"/>
              <w:rPr>
                <w:rFonts w:cs="Arial"/>
                <w:szCs w:val="24"/>
              </w:rPr>
            </w:pPr>
            <w:r w:rsidRPr="009827AC">
              <w:rPr>
                <w:rFonts w:cs="Arial"/>
                <w:szCs w:val="24"/>
              </w:rPr>
              <w:t xml:space="preserve">that is </w:t>
            </w:r>
            <w:r w:rsidRPr="009827AC">
              <w:rPr>
                <w:rFonts w:cs="Arial"/>
                <w:b/>
                <w:szCs w:val="24"/>
              </w:rPr>
              <w:t>reasonably likely to cause distress or anxiety</w:t>
            </w:r>
            <w:r w:rsidRPr="009827AC">
              <w:rPr>
                <w:rFonts w:cs="Arial"/>
                <w:szCs w:val="24"/>
              </w:rPr>
              <w:t xml:space="preserve"> to any such person. </w:t>
            </w:r>
          </w:p>
          <w:p w14:paraId="4285165F" w14:textId="77777777" w:rsidR="009A2C73" w:rsidRPr="009827AC" w:rsidRDefault="009A2C73" w:rsidP="003308BA">
            <w:pPr>
              <w:spacing w:before="120" w:line="256" w:lineRule="auto"/>
              <w:rPr>
                <w:rFonts w:cs="Arial"/>
                <w:szCs w:val="24"/>
              </w:rPr>
            </w:pPr>
          </w:p>
          <w:p w14:paraId="4658DE0E" w14:textId="77777777" w:rsidR="00086D74" w:rsidRDefault="00086D74" w:rsidP="003308BA">
            <w:pPr>
              <w:spacing w:before="120" w:line="256" w:lineRule="auto"/>
              <w:ind w:left="329"/>
              <w:rPr>
                <w:rFonts w:cs="Arial"/>
                <w:b/>
                <w:szCs w:val="24"/>
              </w:rPr>
            </w:pPr>
          </w:p>
          <w:p w14:paraId="2161ABD5" w14:textId="77777777" w:rsidR="00086D74" w:rsidRDefault="00086D74" w:rsidP="003308BA">
            <w:pPr>
              <w:spacing w:before="120" w:line="256" w:lineRule="auto"/>
              <w:ind w:left="329"/>
              <w:rPr>
                <w:rFonts w:cs="Arial"/>
                <w:b/>
                <w:szCs w:val="24"/>
              </w:rPr>
            </w:pPr>
          </w:p>
          <w:p w14:paraId="15A95927" w14:textId="77777777" w:rsidR="008D239B" w:rsidRDefault="008D239B" w:rsidP="003308BA">
            <w:pPr>
              <w:spacing w:before="120" w:line="256" w:lineRule="auto"/>
              <w:ind w:left="329"/>
              <w:rPr>
                <w:rFonts w:cs="Arial"/>
                <w:b/>
                <w:szCs w:val="24"/>
              </w:rPr>
            </w:pPr>
          </w:p>
          <w:p w14:paraId="254BFC48" w14:textId="77777777" w:rsidR="008D239B" w:rsidRDefault="008D239B" w:rsidP="003308BA">
            <w:pPr>
              <w:spacing w:before="120" w:line="256" w:lineRule="auto"/>
              <w:ind w:left="329"/>
              <w:rPr>
                <w:rFonts w:cs="Arial"/>
                <w:b/>
                <w:szCs w:val="24"/>
              </w:rPr>
            </w:pPr>
          </w:p>
          <w:p w14:paraId="06B806DE" w14:textId="1CCDFC12" w:rsidR="009A2C73" w:rsidRPr="009827AC" w:rsidRDefault="009A2C73" w:rsidP="003308BA">
            <w:pPr>
              <w:spacing w:before="120" w:line="256" w:lineRule="auto"/>
              <w:ind w:left="329"/>
              <w:rPr>
                <w:rFonts w:cs="Arial"/>
                <w:b/>
                <w:szCs w:val="24"/>
              </w:rPr>
            </w:pPr>
            <w:r w:rsidRPr="009827AC">
              <w:rPr>
                <w:rFonts w:cs="Arial"/>
                <w:b/>
                <w:szCs w:val="24"/>
              </w:rPr>
              <w:lastRenderedPageBreak/>
              <w:t xml:space="preserve">Section 98E Capturing and distributing visual data of persons in safe access zone </w:t>
            </w:r>
          </w:p>
          <w:p w14:paraId="5CEC29A5" w14:textId="77777777" w:rsidR="009A2C73" w:rsidRPr="009827AC" w:rsidRDefault="009A2C73" w:rsidP="00A736A6">
            <w:pPr>
              <w:numPr>
                <w:ilvl w:val="0"/>
                <w:numId w:val="9"/>
              </w:numPr>
              <w:spacing w:before="200" w:after="200" w:line="256" w:lineRule="auto"/>
              <w:rPr>
                <w:rFonts w:cs="Arial"/>
                <w:szCs w:val="24"/>
              </w:rPr>
            </w:pPr>
            <w:r w:rsidRPr="009827AC">
              <w:rPr>
                <w:rFonts w:cs="Arial"/>
                <w:szCs w:val="24"/>
              </w:rPr>
              <w:t>A person must not</w:t>
            </w:r>
            <w:r w:rsidRPr="009827AC">
              <w:rPr>
                <w:rFonts w:cs="Arial"/>
                <w:b/>
                <w:szCs w:val="24"/>
              </w:rPr>
              <w:t xml:space="preserve"> intentionally capture visual data of another person</w:t>
            </w:r>
            <w:r w:rsidRPr="009827AC">
              <w:rPr>
                <w:rFonts w:cs="Arial"/>
                <w:szCs w:val="24"/>
              </w:rPr>
              <w:t xml:space="preserve">, by any means, without that other person’s consent if that other person is in a safe access zone. </w:t>
            </w:r>
          </w:p>
          <w:p w14:paraId="6B068537" w14:textId="77777777" w:rsidR="009A2C73" w:rsidRPr="009827AC" w:rsidRDefault="009A2C73" w:rsidP="00A736A6">
            <w:pPr>
              <w:numPr>
                <w:ilvl w:val="0"/>
                <w:numId w:val="9"/>
              </w:numPr>
              <w:spacing w:before="200" w:after="200" w:line="256" w:lineRule="auto"/>
              <w:rPr>
                <w:rFonts w:cs="Arial"/>
                <w:szCs w:val="24"/>
              </w:rPr>
            </w:pPr>
            <w:r w:rsidRPr="009827AC">
              <w:rPr>
                <w:rFonts w:cs="Arial"/>
                <w:szCs w:val="24"/>
              </w:rPr>
              <w:t xml:space="preserve">A person must not </w:t>
            </w:r>
            <w:r w:rsidRPr="009827AC">
              <w:rPr>
                <w:rFonts w:cs="Arial"/>
                <w:b/>
                <w:szCs w:val="24"/>
              </w:rPr>
              <w:t>publish or distribute a recording of another person</w:t>
            </w:r>
            <w:r w:rsidRPr="009827AC">
              <w:rPr>
                <w:rFonts w:cs="Arial"/>
                <w:szCs w:val="24"/>
              </w:rPr>
              <w:t xml:space="preserve"> without that other person’s consent if the recording - </w:t>
            </w:r>
          </w:p>
          <w:p w14:paraId="74318CDB" w14:textId="77777777" w:rsidR="009A2C73" w:rsidRPr="009827AC" w:rsidRDefault="009A2C73" w:rsidP="00A736A6">
            <w:pPr>
              <w:numPr>
                <w:ilvl w:val="1"/>
                <w:numId w:val="9"/>
              </w:numPr>
              <w:spacing w:before="200" w:after="200" w:line="256" w:lineRule="auto"/>
              <w:rPr>
                <w:rFonts w:cs="Arial"/>
                <w:szCs w:val="24"/>
              </w:rPr>
            </w:pPr>
            <w:r w:rsidRPr="009827AC">
              <w:rPr>
                <w:rFonts w:cs="Arial"/>
                <w:szCs w:val="24"/>
              </w:rPr>
              <w:t xml:space="preserve">was made while that other person was in a safe access zone, and </w:t>
            </w:r>
          </w:p>
          <w:p w14:paraId="2BF5B3C2" w14:textId="77777777" w:rsidR="009A2C73" w:rsidRPr="009827AC" w:rsidRDefault="009A2C73" w:rsidP="00A736A6">
            <w:pPr>
              <w:numPr>
                <w:ilvl w:val="1"/>
                <w:numId w:val="9"/>
              </w:numPr>
              <w:spacing w:before="200" w:after="200" w:line="256" w:lineRule="auto"/>
              <w:rPr>
                <w:rFonts w:cs="Arial"/>
                <w:szCs w:val="24"/>
              </w:rPr>
            </w:pPr>
            <w:r w:rsidRPr="009827AC">
              <w:rPr>
                <w:rFonts w:cs="Arial"/>
                <w:szCs w:val="24"/>
              </w:rPr>
              <w:t xml:space="preserve">contains particulars likely to lead to the identification of that other person. </w:t>
            </w:r>
          </w:p>
        </w:tc>
      </w:tr>
    </w:tbl>
    <w:p w14:paraId="2483E91B" w14:textId="77777777" w:rsidR="009A2C73" w:rsidRPr="009827AC" w:rsidRDefault="009A2C73" w:rsidP="003308BA">
      <w:pPr>
        <w:spacing w:before="120"/>
        <w:rPr>
          <w:rFonts w:cs="Arial"/>
          <w:szCs w:val="24"/>
        </w:rPr>
      </w:pPr>
    </w:p>
    <w:p w14:paraId="73927285" w14:textId="77777777" w:rsidR="009A2C73" w:rsidRPr="009827AC" w:rsidRDefault="009A2C73" w:rsidP="003308BA">
      <w:pPr>
        <w:spacing w:before="120"/>
        <w:rPr>
          <w:rFonts w:cs="Arial"/>
          <w:szCs w:val="24"/>
        </w:rPr>
      </w:pPr>
      <w:r w:rsidRPr="009827AC">
        <w:rPr>
          <w:rFonts w:cs="Arial"/>
          <w:szCs w:val="24"/>
        </w:rPr>
        <w:t xml:space="preserve">Safe access zones were established in NSW in 2018 by the </w:t>
      </w:r>
      <w:r w:rsidRPr="009827AC">
        <w:rPr>
          <w:rFonts w:cs="Arial"/>
          <w:i/>
          <w:szCs w:val="24"/>
        </w:rPr>
        <w:t xml:space="preserve">Public Health Amendment (Safe Access to Reproductive Health Clinics) Act 2018 </w:t>
      </w:r>
      <w:r w:rsidRPr="009827AC">
        <w:rPr>
          <w:rFonts w:cs="Arial"/>
          <w:szCs w:val="24"/>
        </w:rPr>
        <w:t xml:space="preserve">(NSW). This Act inserted Part 6A ‘Access to certain reproductive health clinics’ into the </w:t>
      </w:r>
      <w:r w:rsidRPr="009827AC">
        <w:rPr>
          <w:rFonts w:cs="Arial"/>
          <w:i/>
          <w:szCs w:val="24"/>
        </w:rPr>
        <w:t xml:space="preserve">Public Health Act 2010 </w:t>
      </w:r>
      <w:r w:rsidRPr="009827AC">
        <w:rPr>
          <w:rFonts w:cs="Arial"/>
          <w:szCs w:val="24"/>
        </w:rPr>
        <w:t xml:space="preserve">(NSW). </w:t>
      </w:r>
    </w:p>
    <w:p w14:paraId="54403D9E" w14:textId="77777777" w:rsidR="009A2C73" w:rsidRPr="009827AC" w:rsidRDefault="009A2C73" w:rsidP="003308BA">
      <w:pPr>
        <w:spacing w:before="120"/>
        <w:rPr>
          <w:rFonts w:cs="Arial"/>
          <w:szCs w:val="24"/>
        </w:rPr>
      </w:pPr>
      <w:r w:rsidRPr="009827AC">
        <w:rPr>
          <w:rFonts w:cs="Arial"/>
          <w:szCs w:val="24"/>
        </w:rPr>
        <w:t xml:space="preserve">A safe access zone is defined to include the premises of a reproductive health clinic at which abortions are provided and within 150 metres of any part of the premises and a pedestrian access point to a building that houses a reproductive health clinic. There is no capacity to alter the 150m extent of a safe access zone. </w:t>
      </w:r>
    </w:p>
    <w:p w14:paraId="3F88C66B" w14:textId="77777777" w:rsidR="009A2C73" w:rsidRPr="009827AC" w:rsidRDefault="009A2C73" w:rsidP="003308BA">
      <w:pPr>
        <w:spacing w:before="120"/>
        <w:rPr>
          <w:rFonts w:cs="Arial"/>
          <w:szCs w:val="24"/>
        </w:rPr>
      </w:pPr>
      <w:r w:rsidRPr="009827AC">
        <w:rPr>
          <w:rFonts w:cs="Arial"/>
          <w:szCs w:val="24"/>
        </w:rPr>
        <w:t>Sections 98C, 98D and 98E outline three types of conduct which must not be engaged in in safe access zones. A person must not interfere (harass, intimidate, beset, threaten, hinder, obstruct or impede by any means) any person accessing or leaving any reproductive health clinic or obstruct a footpath or road leading to any reproductive health clinic.</w:t>
      </w:r>
      <w:r w:rsidRPr="009827AC">
        <w:rPr>
          <w:rFonts w:cs="Arial"/>
          <w:szCs w:val="24"/>
          <w:vertAlign w:val="superscript"/>
        </w:rPr>
        <w:footnoteReference w:id="8"/>
      </w:r>
      <w:r w:rsidRPr="009827AC">
        <w:rPr>
          <w:rFonts w:cs="Arial"/>
          <w:szCs w:val="24"/>
        </w:rPr>
        <w:t xml:space="preserve"> A person must not make a communication that relates to abortions that is reasonably likely to cause distress or anxiety to any person accessing, leaving or inside a reproductive health clinic.</w:t>
      </w:r>
      <w:r w:rsidRPr="009827AC">
        <w:rPr>
          <w:rFonts w:cs="Arial"/>
          <w:szCs w:val="24"/>
          <w:vertAlign w:val="superscript"/>
        </w:rPr>
        <w:footnoteReference w:id="9"/>
      </w:r>
      <w:r w:rsidRPr="009827AC">
        <w:rPr>
          <w:rFonts w:cs="Arial"/>
          <w:szCs w:val="24"/>
        </w:rPr>
        <w:t xml:space="preserve"> A person must not intentionally capture visual data of another person if that other person is in a safe access zone or publish or distribute a recording of another person if that person is in a safe access zone and the recording contains particulars that may allow identification of that person.</w:t>
      </w:r>
      <w:r w:rsidRPr="009827AC">
        <w:rPr>
          <w:rFonts w:cs="Arial"/>
          <w:szCs w:val="24"/>
          <w:vertAlign w:val="superscript"/>
        </w:rPr>
        <w:footnoteReference w:id="10"/>
      </w:r>
    </w:p>
    <w:p w14:paraId="7D30BF8C" w14:textId="77777777" w:rsidR="009A2C73" w:rsidRPr="009827AC" w:rsidRDefault="009A2C73" w:rsidP="003308BA">
      <w:pPr>
        <w:spacing w:before="120"/>
        <w:rPr>
          <w:rFonts w:cs="Arial"/>
          <w:szCs w:val="24"/>
        </w:rPr>
      </w:pPr>
      <w:r w:rsidRPr="009827AC">
        <w:rPr>
          <w:rFonts w:cs="Arial"/>
          <w:szCs w:val="24"/>
        </w:rPr>
        <w:t>The penalty for each of these offences is 50 penalty units or imprisonment for six months for a first offence, and 100 penalty units or imprisonment for 12 months for a second or subsequent offence.</w:t>
      </w:r>
      <w:r w:rsidRPr="009827AC">
        <w:rPr>
          <w:rStyle w:val="FootnoteReference"/>
          <w:rFonts w:cs="Arial"/>
          <w:szCs w:val="24"/>
        </w:rPr>
        <w:footnoteReference w:id="11"/>
      </w:r>
      <w:r w:rsidRPr="009827AC">
        <w:rPr>
          <w:rFonts w:cs="Arial"/>
          <w:szCs w:val="24"/>
        </w:rPr>
        <w:t xml:space="preserve"> </w:t>
      </w:r>
    </w:p>
    <w:p w14:paraId="52316567" w14:textId="77777777" w:rsidR="009A2C73" w:rsidRPr="009A2C73" w:rsidRDefault="009A2C73" w:rsidP="003308BA">
      <w:pPr>
        <w:spacing w:before="120"/>
        <w:rPr>
          <w:rFonts w:cs="Arial"/>
          <w:sz w:val="22"/>
        </w:rPr>
      </w:pPr>
    </w:p>
    <w:p w14:paraId="4C0C10E3" w14:textId="4F817892" w:rsidR="009A2C73" w:rsidRPr="009A2C73" w:rsidRDefault="007254D1" w:rsidP="003308BA">
      <w:pPr>
        <w:pStyle w:val="Heading2"/>
      </w:pPr>
      <w:bookmarkStart w:id="53" w:name="_Toc47512450"/>
      <w:bookmarkStart w:id="54" w:name="_Toc47278192"/>
      <w:bookmarkStart w:id="55" w:name="_Toc49947627"/>
      <w:r>
        <w:lastRenderedPageBreak/>
        <w:t>4</w:t>
      </w:r>
      <w:r w:rsidR="009827AC">
        <w:t xml:space="preserve">.3 </w:t>
      </w:r>
      <w:r w:rsidR="009A2C73" w:rsidRPr="009A2C73">
        <w:t>Australian Capital Territory</w:t>
      </w:r>
      <w:bookmarkEnd w:id="53"/>
      <w:bookmarkEnd w:id="54"/>
      <w:bookmarkEnd w:id="55"/>
    </w:p>
    <w:tbl>
      <w:tblPr>
        <w:tblStyle w:val="TableMSA"/>
        <w:tblW w:w="0" w:type="dxa"/>
        <w:tblInd w:w="0" w:type="dxa"/>
        <w:tblLayout w:type="fixed"/>
        <w:tblLook w:val="04A0" w:firstRow="1" w:lastRow="0" w:firstColumn="1" w:lastColumn="0" w:noHBand="0" w:noVBand="1"/>
      </w:tblPr>
      <w:tblGrid>
        <w:gridCol w:w="2547"/>
        <w:gridCol w:w="7081"/>
      </w:tblGrid>
      <w:tr w:rsidR="009A2C73" w:rsidRPr="009A2C73" w14:paraId="7B4DAFAC" w14:textId="77777777" w:rsidTr="009A2C73">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5F0A099" w14:textId="77777777" w:rsidR="009A2C73" w:rsidRPr="009A2C73" w:rsidRDefault="009A2C73" w:rsidP="003308BA">
            <w:pPr>
              <w:spacing w:before="120"/>
              <w:rPr>
                <w:rFonts w:cs="Arial"/>
                <w:b/>
                <w:bCs/>
                <w:color w:val="000000"/>
              </w:rPr>
            </w:pPr>
            <w:r w:rsidRPr="009A2C73">
              <w:rPr>
                <w:rFonts w:cs="Arial"/>
                <w:b/>
                <w:bCs/>
                <w:color w:val="000000"/>
              </w:rPr>
              <w:t xml:space="preserve">Australian Capital Territory </w:t>
            </w:r>
          </w:p>
        </w:tc>
      </w:tr>
      <w:tr w:rsidR="009A2C73" w:rsidRPr="009A2C73" w14:paraId="53BFC9AB" w14:textId="77777777" w:rsidTr="009A2C73">
        <w:tc>
          <w:tcPr>
            <w:tcW w:w="2547" w:type="dxa"/>
            <w:tcBorders>
              <w:top w:val="single" w:sz="4" w:space="0" w:color="5B9BD5" w:themeColor="accent1"/>
              <w:left w:val="nil"/>
              <w:bottom w:val="single" w:sz="4" w:space="0" w:color="5B9BD5" w:themeColor="accent1"/>
              <w:right w:val="nil"/>
            </w:tcBorders>
            <w:hideMark/>
          </w:tcPr>
          <w:p w14:paraId="6E594C1F" w14:textId="77777777" w:rsidR="009A2C73" w:rsidRPr="009A2C73" w:rsidRDefault="009A2C73" w:rsidP="003308BA">
            <w:pPr>
              <w:spacing w:before="120"/>
              <w:rPr>
                <w:rFonts w:cs="Arial"/>
                <w:color w:val="000000"/>
              </w:rPr>
            </w:pPr>
            <w:r w:rsidRPr="009A2C73">
              <w:rPr>
                <w:rFonts w:cs="Arial"/>
                <w:color w:val="000000"/>
              </w:rPr>
              <w:t xml:space="preserve">Legislation </w:t>
            </w:r>
          </w:p>
        </w:tc>
        <w:tc>
          <w:tcPr>
            <w:tcW w:w="7081" w:type="dxa"/>
            <w:tcBorders>
              <w:top w:val="single" w:sz="4" w:space="0" w:color="5B9BD5" w:themeColor="accent1"/>
              <w:left w:val="nil"/>
              <w:bottom w:val="single" w:sz="4" w:space="0" w:color="5B9BD5" w:themeColor="accent1"/>
              <w:right w:val="nil"/>
            </w:tcBorders>
            <w:hideMark/>
          </w:tcPr>
          <w:p w14:paraId="72CA3E2A" w14:textId="77777777" w:rsidR="009A2C73" w:rsidRPr="009A2C73" w:rsidRDefault="009A2C73" w:rsidP="003308BA">
            <w:pPr>
              <w:spacing w:before="120"/>
              <w:rPr>
                <w:rFonts w:cs="Arial"/>
                <w:color w:val="000000"/>
              </w:rPr>
            </w:pPr>
            <w:r w:rsidRPr="009A2C73">
              <w:rPr>
                <w:rFonts w:cs="Arial"/>
                <w:i/>
                <w:color w:val="000000"/>
              </w:rPr>
              <w:t>Health Act 1993</w:t>
            </w:r>
            <w:r w:rsidRPr="009A2C73">
              <w:rPr>
                <w:rFonts w:cs="Arial"/>
                <w:color w:val="000000"/>
              </w:rPr>
              <w:t xml:space="preserve"> (ACT) Part 6 Div 6.2 ss 85-87</w:t>
            </w:r>
          </w:p>
        </w:tc>
      </w:tr>
      <w:tr w:rsidR="009A2C73" w:rsidRPr="009A2C73" w14:paraId="181857DC" w14:textId="77777777" w:rsidTr="009A2C73">
        <w:tc>
          <w:tcPr>
            <w:tcW w:w="2547" w:type="dxa"/>
            <w:tcBorders>
              <w:top w:val="single" w:sz="4" w:space="0" w:color="5B9BD5" w:themeColor="accent1"/>
              <w:left w:val="nil"/>
              <w:bottom w:val="single" w:sz="4" w:space="0" w:color="5B9BD5" w:themeColor="accent1"/>
              <w:right w:val="nil"/>
            </w:tcBorders>
            <w:hideMark/>
          </w:tcPr>
          <w:p w14:paraId="7FA87B0F" w14:textId="77777777" w:rsidR="009A2C73" w:rsidRPr="009A2C73" w:rsidRDefault="009A2C73" w:rsidP="003308BA">
            <w:pPr>
              <w:spacing w:before="120"/>
              <w:rPr>
                <w:rFonts w:cs="Arial"/>
                <w:color w:val="000000"/>
              </w:rPr>
            </w:pPr>
            <w:r w:rsidRPr="009A2C73">
              <w:rPr>
                <w:rFonts w:cs="Arial"/>
                <w:color w:val="000000"/>
              </w:rPr>
              <w:t>Creation</w:t>
            </w:r>
          </w:p>
        </w:tc>
        <w:tc>
          <w:tcPr>
            <w:tcW w:w="7081" w:type="dxa"/>
            <w:tcBorders>
              <w:top w:val="single" w:sz="4" w:space="0" w:color="5B9BD5" w:themeColor="accent1"/>
              <w:left w:val="nil"/>
              <w:bottom w:val="single" w:sz="4" w:space="0" w:color="5B9BD5" w:themeColor="accent1"/>
              <w:right w:val="nil"/>
            </w:tcBorders>
            <w:hideMark/>
          </w:tcPr>
          <w:p w14:paraId="7D85FBC3" w14:textId="77777777" w:rsidR="009A2C73" w:rsidRPr="009A2C73" w:rsidRDefault="009A2C73" w:rsidP="003308BA">
            <w:pPr>
              <w:spacing w:before="120"/>
              <w:rPr>
                <w:rFonts w:cs="Arial"/>
                <w:color w:val="000000"/>
              </w:rPr>
            </w:pPr>
            <w:r w:rsidRPr="009A2C73">
              <w:rPr>
                <w:rFonts w:cs="Arial"/>
                <w:color w:val="000000"/>
              </w:rPr>
              <w:t xml:space="preserve">Ministerial declaration </w:t>
            </w:r>
          </w:p>
        </w:tc>
      </w:tr>
      <w:tr w:rsidR="009A2C73" w:rsidRPr="009A2C73" w14:paraId="4AE39A0F" w14:textId="77777777" w:rsidTr="009A2C73">
        <w:tc>
          <w:tcPr>
            <w:tcW w:w="2547" w:type="dxa"/>
            <w:tcBorders>
              <w:top w:val="single" w:sz="4" w:space="0" w:color="5B9BD5" w:themeColor="accent1"/>
              <w:left w:val="nil"/>
              <w:bottom w:val="single" w:sz="4" w:space="0" w:color="5B9BD5" w:themeColor="accent1"/>
              <w:right w:val="nil"/>
            </w:tcBorders>
            <w:hideMark/>
          </w:tcPr>
          <w:p w14:paraId="78EF5BAD" w14:textId="77777777" w:rsidR="009A2C73" w:rsidRPr="009A2C73" w:rsidRDefault="009A2C73" w:rsidP="003308BA">
            <w:pPr>
              <w:spacing w:before="120"/>
              <w:rPr>
                <w:rFonts w:cs="Arial"/>
                <w:color w:val="000000"/>
              </w:rPr>
            </w:pPr>
            <w:r w:rsidRPr="009A2C73">
              <w:rPr>
                <w:rFonts w:cs="Arial"/>
                <w:color w:val="000000"/>
              </w:rPr>
              <w:t>Size</w:t>
            </w:r>
          </w:p>
        </w:tc>
        <w:tc>
          <w:tcPr>
            <w:tcW w:w="7081" w:type="dxa"/>
            <w:tcBorders>
              <w:top w:val="single" w:sz="4" w:space="0" w:color="5B9BD5" w:themeColor="accent1"/>
              <w:left w:val="nil"/>
              <w:bottom w:val="single" w:sz="4" w:space="0" w:color="5B9BD5" w:themeColor="accent1"/>
              <w:right w:val="nil"/>
            </w:tcBorders>
            <w:hideMark/>
          </w:tcPr>
          <w:p w14:paraId="119CE400" w14:textId="77777777" w:rsidR="009A2C73" w:rsidRPr="009A2C73" w:rsidRDefault="009A2C73" w:rsidP="003308BA">
            <w:pPr>
              <w:spacing w:before="120"/>
              <w:rPr>
                <w:rFonts w:cs="Arial"/>
                <w:color w:val="000000"/>
              </w:rPr>
            </w:pPr>
            <w:r w:rsidRPr="009A2C73">
              <w:rPr>
                <w:rFonts w:cs="Arial"/>
                <w:color w:val="000000"/>
              </w:rPr>
              <w:t>&gt;50m</w:t>
            </w:r>
          </w:p>
        </w:tc>
      </w:tr>
      <w:tr w:rsidR="009A2C73" w:rsidRPr="009A2C73" w14:paraId="21F1E345" w14:textId="77777777" w:rsidTr="009A2C73">
        <w:tc>
          <w:tcPr>
            <w:tcW w:w="2547" w:type="dxa"/>
            <w:tcBorders>
              <w:top w:val="single" w:sz="4" w:space="0" w:color="5B9BD5" w:themeColor="accent1"/>
              <w:left w:val="nil"/>
              <w:bottom w:val="single" w:sz="4" w:space="0" w:color="5B9BD5" w:themeColor="accent1"/>
              <w:right w:val="nil"/>
            </w:tcBorders>
            <w:hideMark/>
          </w:tcPr>
          <w:p w14:paraId="189A04EC" w14:textId="77777777" w:rsidR="009A2C73" w:rsidRPr="009A2C73" w:rsidRDefault="009A2C73" w:rsidP="003308BA">
            <w:pPr>
              <w:spacing w:before="120"/>
              <w:rPr>
                <w:rFonts w:cs="Arial"/>
                <w:color w:val="000000"/>
              </w:rPr>
            </w:pPr>
            <w:r w:rsidRPr="009A2C73">
              <w:rPr>
                <w:rFonts w:cs="Arial"/>
                <w:color w:val="000000"/>
              </w:rPr>
              <w:t xml:space="preserve">Measured from </w:t>
            </w:r>
          </w:p>
        </w:tc>
        <w:tc>
          <w:tcPr>
            <w:tcW w:w="7081" w:type="dxa"/>
            <w:tcBorders>
              <w:top w:val="single" w:sz="4" w:space="0" w:color="5B9BD5" w:themeColor="accent1"/>
              <w:left w:val="nil"/>
              <w:bottom w:val="single" w:sz="4" w:space="0" w:color="5B9BD5" w:themeColor="accent1"/>
              <w:right w:val="nil"/>
            </w:tcBorders>
            <w:hideMark/>
          </w:tcPr>
          <w:p w14:paraId="67BB928C" w14:textId="77777777" w:rsidR="009A2C73" w:rsidRPr="009A2C73" w:rsidRDefault="009A2C73" w:rsidP="003308BA">
            <w:pPr>
              <w:spacing w:before="120"/>
              <w:rPr>
                <w:rFonts w:cs="Arial"/>
                <w:color w:val="000000"/>
              </w:rPr>
            </w:pPr>
            <w:r w:rsidRPr="009A2C73">
              <w:rPr>
                <w:rFonts w:cs="Arial"/>
                <w:color w:val="000000"/>
              </w:rPr>
              <w:t xml:space="preserve">‘The approved medical facility’ </w:t>
            </w:r>
          </w:p>
        </w:tc>
      </w:tr>
      <w:tr w:rsidR="009A2C73" w:rsidRPr="009A2C73" w14:paraId="309A8977" w14:textId="77777777" w:rsidTr="009A2C73">
        <w:tc>
          <w:tcPr>
            <w:tcW w:w="2547" w:type="dxa"/>
            <w:tcBorders>
              <w:top w:val="single" w:sz="4" w:space="0" w:color="5B9BD5" w:themeColor="accent1"/>
              <w:left w:val="nil"/>
              <w:bottom w:val="single" w:sz="4" w:space="0" w:color="5B9BD5" w:themeColor="accent1"/>
              <w:right w:val="nil"/>
            </w:tcBorders>
            <w:hideMark/>
          </w:tcPr>
          <w:p w14:paraId="57A8A2CF" w14:textId="77777777" w:rsidR="009A2C73" w:rsidRPr="009A2C73" w:rsidRDefault="009A2C73" w:rsidP="003308BA">
            <w:pPr>
              <w:spacing w:before="120"/>
              <w:rPr>
                <w:rFonts w:cs="Arial"/>
                <w:color w:val="000000"/>
              </w:rPr>
            </w:pPr>
            <w:r w:rsidRPr="009A2C73">
              <w:rPr>
                <w:rFonts w:cs="Arial"/>
                <w:color w:val="000000"/>
              </w:rPr>
              <w:t>Hours of effect</w:t>
            </w:r>
          </w:p>
        </w:tc>
        <w:tc>
          <w:tcPr>
            <w:tcW w:w="7081" w:type="dxa"/>
            <w:tcBorders>
              <w:top w:val="single" w:sz="4" w:space="0" w:color="5B9BD5" w:themeColor="accent1"/>
              <w:left w:val="nil"/>
              <w:bottom w:val="single" w:sz="4" w:space="0" w:color="5B9BD5" w:themeColor="accent1"/>
              <w:right w:val="nil"/>
            </w:tcBorders>
            <w:hideMark/>
          </w:tcPr>
          <w:p w14:paraId="7B7AC9BE" w14:textId="77777777" w:rsidR="009A2C73" w:rsidRPr="009A2C73" w:rsidRDefault="009A2C73" w:rsidP="003308BA">
            <w:pPr>
              <w:spacing w:before="120"/>
              <w:rPr>
                <w:rFonts w:cs="Arial"/>
                <w:color w:val="000000"/>
              </w:rPr>
            </w:pPr>
            <w:r w:rsidRPr="009A2C73">
              <w:rPr>
                <w:rFonts w:cs="Arial"/>
                <w:color w:val="000000"/>
              </w:rPr>
              <w:t>7am-6pm on days of operation</w:t>
            </w:r>
          </w:p>
        </w:tc>
      </w:tr>
      <w:tr w:rsidR="009A2C73" w:rsidRPr="009A2C73" w14:paraId="310933AD" w14:textId="77777777" w:rsidTr="009A2C73">
        <w:tc>
          <w:tcPr>
            <w:tcW w:w="2547" w:type="dxa"/>
            <w:tcBorders>
              <w:top w:val="single" w:sz="4" w:space="0" w:color="5B9BD5" w:themeColor="accent1"/>
              <w:left w:val="nil"/>
              <w:bottom w:val="single" w:sz="18" w:space="0" w:color="5B9BD5" w:themeColor="accent1"/>
              <w:right w:val="nil"/>
            </w:tcBorders>
            <w:hideMark/>
          </w:tcPr>
          <w:p w14:paraId="3398756B" w14:textId="77777777" w:rsidR="009A2C73" w:rsidRPr="009A2C73" w:rsidRDefault="009A2C73" w:rsidP="003308BA">
            <w:pPr>
              <w:spacing w:before="120"/>
              <w:rPr>
                <w:rFonts w:cs="Arial"/>
                <w:color w:val="000000"/>
              </w:rPr>
            </w:pPr>
            <w:r w:rsidRPr="009A2C73">
              <w:rPr>
                <w:rFonts w:cs="Arial"/>
                <w:color w:val="000000"/>
              </w:rPr>
              <w:t xml:space="preserve">Prohibited Behaviours </w:t>
            </w:r>
          </w:p>
        </w:tc>
        <w:tc>
          <w:tcPr>
            <w:tcW w:w="7081" w:type="dxa"/>
            <w:tcBorders>
              <w:top w:val="single" w:sz="4" w:space="0" w:color="5B9BD5" w:themeColor="accent1"/>
              <w:left w:val="nil"/>
              <w:bottom w:val="single" w:sz="18" w:space="0" w:color="5B9BD5" w:themeColor="accent1"/>
              <w:right w:val="nil"/>
            </w:tcBorders>
            <w:hideMark/>
          </w:tcPr>
          <w:p w14:paraId="7ADD65E1" w14:textId="77777777" w:rsidR="009A2C73" w:rsidRPr="009A2C73" w:rsidRDefault="009A2C73" w:rsidP="003308BA">
            <w:pPr>
              <w:spacing w:before="120"/>
              <w:rPr>
                <w:rFonts w:cs="Arial"/>
                <w:color w:val="000000"/>
              </w:rPr>
            </w:pPr>
            <w:r w:rsidRPr="009A2C73">
              <w:rPr>
                <w:rFonts w:cs="Arial"/>
                <w:color w:val="000000"/>
              </w:rPr>
              <w:t xml:space="preserve">Harassment, hindering, intimidation, interference with, threatening, obstruction, capturing visual data, or any act that can be seen or heard by a person, designed to stop a person from entering the facility or having or providing an abortion. </w:t>
            </w:r>
          </w:p>
          <w:p w14:paraId="1A9A6B0B" w14:textId="77777777" w:rsidR="009A2C73" w:rsidRPr="009A2C73" w:rsidRDefault="009A2C73" w:rsidP="003308BA">
            <w:pPr>
              <w:spacing w:before="120"/>
              <w:rPr>
                <w:rFonts w:cs="Arial"/>
                <w:color w:val="000000"/>
              </w:rPr>
            </w:pPr>
            <w:r w:rsidRPr="009A2C73">
              <w:rPr>
                <w:rFonts w:cs="Arial"/>
                <w:color w:val="000000"/>
              </w:rPr>
              <w:t xml:space="preserve">Protest relating to abortion.  </w:t>
            </w:r>
          </w:p>
        </w:tc>
      </w:tr>
    </w:tbl>
    <w:p w14:paraId="491053E8" w14:textId="77777777" w:rsidR="009A2C73" w:rsidRPr="009827AC" w:rsidRDefault="009A2C73" w:rsidP="003308BA">
      <w:pPr>
        <w:spacing w:before="120"/>
        <w:rPr>
          <w:rFonts w:cs="Arial"/>
          <w:szCs w:val="24"/>
        </w:rPr>
      </w:pP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9A2C73" w:rsidRPr="009827AC" w14:paraId="1954976A" w14:textId="77777777" w:rsidTr="009A2C73">
        <w:tc>
          <w:tcPr>
            <w:tcW w:w="9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FBFE1" w14:textId="77777777" w:rsidR="009A2C73" w:rsidRPr="009827AC" w:rsidRDefault="009A2C73" w:rsidP="003308BA">
            <w:pPr>
              <w:widowControl w:val="0"/>
              <w:rPr>
                <w:rFonts w:cs="Arial"/>
                <w:szCs w:val="24"/>
              </w:rPr>
            </w:pPr>
            <w:r w:rsidRPr="009827AC">
              <w:rPr>
                <w:rFonts w:cs="Arial"/>
                <w:szCs w:val="24"/>
              </w:rPr>
              <w:t xml:space="preserve"> </w:t>
            </w:r>
          </w:p>
          <w:p w14:paraId="6420D0FC" w14:textId="77777777" w:rsidR="009A2C73" w:rsidRPr="009827AC" w:rsidRDefault="009A2C73" w:rsidP="003308BA">
            <w:pPr>
              <w:widowControl w:val="0"/>
              <w:rPr>
                <w:rFonts w:cs="Arial"/>
                <w:b/>
                <w:szCs w:val="24"/>
              </w:rPr>
            </w:pPr>
            <w:r w:rsidRPr="009827AC">
              <w:rPr>
                <w:rFonts w:cs="Arial"/>
                <w:b/>
                <w:szCs w:val="24"/>
              </w:rPr>
              <w:t xml:space="preserve">Section 85 Definitions - div 6.2 </w:t>
            </w:r>
          </w:p>
          <w:p w14:paraId="59FE40DE" w14:textId="77777777" w:rsidR="009A2C73" w:rsidRPr="009827AC" w:rsidRDefault="009A2C73" w:rsidP="00A736A6">
            <w:pPr>
              <w:widowControl w:val="0"/>
              <w:numPr>
                <w:ilvl w:val="0"/>
                <w:numId w:val="10"/>
              </w:numPr>
              <w:spacing w:before="200" w:after="200"/>
              <w:rPr>
                <w:rFonts w:cs="Arial"/>
                <w:szCs w:val="24"/>
              </w:rPr>
            </w:pPr>
            <w:r w:rsidRPr="009827AC">
              <w:rPr>
                <w:rFonts w:cs="Arial"/>
                <w:szCs w:val="24"/>
              </w:rPr>
              <w:t xml:space="preserve">In this division: </w:t>
            </w:r>
          </w:p>
          <w:p w14:paraId="0A0B5F04" w14:textId="77777777" w:rsidR="009A2C73" w:rsidRPr="009827AC" w:rsidRDefault="009A2C73" w:rsidP="003308BA">
            <w:pPr>
              <w:widowControl w:val="0"/>
              <w:spacing w:before="200" w:after="200"/>
              <w:ind w:left="720"/>
              <w:rPr>
                <w:rFonts w:cs="Arial"/>
                <w:szCs w:val="24"/>
              </w:rPr>
            </w:pPr>
            <w:r w:rsidRPr="009827AC">
              <w:rPr>
                <w:rFonts w:cs="Arial"/>
                <w:b/>
                <w:i/>
                <w:szCs w:val="24"/>
              </w:rPr>
              <w:t>prohibited behaviour</w:t>
            </w:r>
            <w:r w:rsidRPr="009827AC">
              <w:rPr>
                <w:rFonts w:cs="Arial"/>
                <w:szCs w:val="24"/>
              </w:rPr>
              <w:t xml:space="preserve">, in a protected are around a protected facility, means any of the following: </w:t>
            </w:r>
          </w:p>
          <w:p w14:paraId="7148D22D" w14:textId="77777777" w:rsidR="009A2C73" w:rsidRPr="009827AC" w:rsidRDefault="009A2C73" w:rsidP="00A736A6">
            <w:pPr>
              <w:widowControl w:val="0"/>
              <w:numPr>
                <w:ilvl w:val="1"/>
                <w:numId w:val="10"/>
              </w:numPr>
              <w:spacing w:before="200" w:after="200"/>
              <w:rPr>
                <w:rFonts w:cs="Arial"/>
                <w:szCs w:val="24"/>
              </w:rPr>
            </w:pPr>
            <w:r w:rsidRPr="009827AC">
              <w:rPr>
                <w:rFonts w:cs="Arial"/>
                <w:szCs w:val="24"/>
              </w:rPr>
              <w:t xml:space="preserve">the </w:t>
            </w:r>
            <w:r w:rsidRPr="009827AC">
              <w:rPr>
                <w:rFonts w:cs="Arial"/>
                <w:b/>
                <w:szCs w:val="24"/>
              </w:rPr>
              <w:t>harassment, hindering, intimidation, interference with, threatening or obstruction of a person, including by the capturing of visual data of the person</w:t>
            </w:r>
            <w:r w:rsidRPr="009827AC">
              <w:rPr>
                <w:rFonts w:cs="Arial"/>
                <w:szCs w:val="24"/>
              </w:rPr>
              <w:t xml:space="preserve">, in the protected period </w:t>
            </w:r>
            <w:r w:rsidRPr="009827AC">
              <w:rPr>
                <w:rFonts w:cs="Arial"/>
                <w:b/>
                <w:szCs w:val="24"/>
              </w:rPr>
              <w:t>that is intended to stop the person from</w:t>
            </w:r>
            <w:r w:rsidRPr="009827AC">
              <w:rPr>
                <w:rFonts w:cs="Arial"/>
                <w:szCs w:val="24"/>
              </w:rPr>
              <w:t xml:space="preserve"> –</w:t>
            </w:r>
          </w:p>
          <w:p w14:paraId="11B3EB42" w14:textId="77777777" w:rsidR="009A2C73" w:rsidRPr="009827AC" w:rsidRDefault="009A2C73" w:rsidP="00A736A6">
            <w:pPr>
              <w:widowControl w:val="0"/>
              <w:numPr>
                <w:ilvl w:val="2"/>
                <w:numId w:val="10"/>
              </w:numPr>
              <w:spacing w:before="200" w:after="200"/>
              <w:rPr>
                <w:rFonts w:cs="Arial"/>
                <w:szCs w:val="24"/>
              </w:rPr>
            </w:pPr>
            <w:r w:rsidRPr="009827AC">
              <w:rPr>
                <w:rFonts w:cs="Arial"/>
                <w:szCs w:val="24"/>
              </w:rPr>
              <w:t>entering the protected facility; or</w:t>
            </w:r>
          </w:p>
          <w:p w14:paraId="3E54ED76" w14:textId="77777777" w:rsidR="009A2C73" w:rsidRPr="009827AC" w:rsidRDefault="009A2C73" w:rsidP="00A736A6">
            <w:pPr>
              <w:widowControl w:val="0"/>
              <w:numPr>
                <w:ilvl w:val="2"/>
                <w:numId w:val="10"/>
              </w:numPr>
              <w:spacing w:before="200" w:after="200"/>
              <w:rPr>
                <w:rFonts w:cs="Arial"/>
                <w:szCs w:val="24"/>
              </w:rPr>
            </w:pPr>
            <w:r w:rsidRPr="009827AC">
              <w:rPr>
                <w:rFonts w:cs="Arial"/>
                <w:szCs w:val="24"/>
              </w:rPr>
              <w:t>having an abortion, providing a surgical abortion or prescribing, supplying or administering an abortifacient in the protected facility;</w:t>
            </w:r>
          </w:p>
          <w:p w14:paraId="5B26A155" w14:textId="77777777" w:rsidR="009A2C73" w:rsidRPr="009827AC" w:rsidRDefault="009A2C73" w:rsidP="00A736A6">
            <w:pPr>
              <w:widowControl w:val="0"/>
              <w:numPr>
                <w:ilvl w:val="1"/>
                <w:numId w:val="10"/>
              </w:numPr>
              <w:spacing w:before="200" w:after="200"/>
              <w:rPr>
                <w:rFonts w:cs="Arial"/>
                <w:szCs w:val="24"/>
              </w:rPr>
            </w:pPr>
            <w:r w:rsidRPr="009827AC">
              <w:rPr>
                <w:rFonts w:cs="Arial"/>
                <w:b/>
                <w:szCs w:val="24"/>
              </w:rPr>
              <w:t>an act</w:t>
            </w:r>
            <w:r w:rsidRPr="009827AC">
              <w:rPr>
                <w:rFonts w:cs="Arial"/>
                <w:szCs w:val="24"/>
              </w:rPr>
              <w:t xml:space="preserve"> that - </w:t>
            </w:r>
          </w:p>
          <w:p w14:paraId="74080F12" w14:textId="77777777" w:rsidR="009A2C73" w:rsidRPr="009827AC" w:rsidRDefault="009A2C73" w:rsidP="00A736A6">
            <w:pPr>
              <w:widowControl w:val="0"/>
              <w:numPr>
                <w:ilvl w:val="2"/>
                <w:numId w:val="10"/>
              </w:numPr>
              <w:spacing w:before="200" w:after="200"/>
              <w:rPr>
                <w:rFonts w:cs="Arial"/>
                <w:szCs w:val="24"/>
              </w:rPr>
            </w:pPr>
            <w:r w:rsidRPr="009827AC">
              <w:rPr>
                <w:rFonts w:cs="Arial"/>
                <w:b/>
                <w:szCs w:val="24"/>
              </w:rPr>
              <w:t>can be seen or heard</w:t>
            </w:r>
            <w:r w:rsidRPr="009827AC">
              <w:rPr>
                <w:rFonts w:cs="Arial"/>
                <w:szCs w:val="24"/>
              </w:rPr>
              <w:t xml:space="preserve"> by anyone in the protected period; </w:t>
            </w:r>
            <w:r w:rsidRPr="009827AC">
              <w:rPr>
                <w:rFonts w:cs="Arial"/>
                <w:b/>
                <w:szCs w:val="24"/>
              </w:rPr>
              <w:t>and</w:t>
            </w:r>
          </w:p>
          <w:p w14:paraId="74371388" w14:textId="77777777" w:rsidR="009A2C73" w:rsidRPr="009827AC" w:rsidRDefault="009A2C73" w:rsidP="00A736A6">
            <w:pPr>
              <w:widowControl w:val="0"/>
              <w:numPr>
                <w:ilvl w:val="2"/>
                <w:numId w:val="10"/>
              </w:numPr>
              <w:spacing w:before="200" w:after="200"/>
              <w:rPr>
                <w:rFonts w:cs="Arial"/>
                <w:szCs w:val="24"/>
              </w:rPr>
            </w:pPr>
            <w:r w:rsidRPr="009827AC">
              <w:rPr>
                <w:rFonts w:cs="Arial"/>
                <w:b/>
                <w:szCs w:val="24"/>
              </w:rPr>
              <w:t xml:space="preserve">is intended to stop a person from </w:t>
            </w:r>
            <w:r w:rsidRPr="009827AC">
              <w:rPr>
                <w:rFonts w:cs="Arial"/>
                <w:szCs w:val="24"/>
              </w:rPr>
              <w:t>–</w:t>
            </w:r>
          </w:p>
          <w:p w14:paraId="7FF53B1E" w14:textId="77777777" w:rsidR="009A2C73" w:rsidRPr="009827AC" w:rsidRDefault="009A2C73" w:rsidP="00A736A6">
            <w:pPr>
              <w:widowControl w:val="0"/>
              <w:numPr>
                <w:ilvl w:val="3"/>
                <w:numId w:val="10"/>
              </w:numPr>
              <w:spacing w:before="200" w:after="200"/>
              <w:rPr>
                <w:rFonts w:cs="Arial"/>
                <w:szCs w:val="24"/>
              </w:rPr>
            </w:pPr>
            <w:r w:rsidRPr="009827AC">
              <w:rPr>
                <w:rFonts w:cs="Arial"/>
                <w:szCs w:val="24"/>
              </w:rPr>
              <w:lastRenderedPageBreak/>
              <w:t xml:space="preserve">entering the protected facility; or </w:t>
            </w:r>
          </w:p>
          <w:p w14:paraId="7DE9F1B2" w14:textId="77777777" w:rsidR="009A2C73" w:rsidRPr="009827AC" w:rsidRDefault="009A2C73" w:rsidP="00A736A6">
            <w:pPr>
              <w:widowControl w:val="0"/>
              <w:numPr>
                <w:ilvl w:val="3"/>
                <w:numId w:val="10"/>
              </w:numPr>
              <w:spacing w:before="200" w:after="200"/>
              <w:rPr>
                <w:rFonts w:cs="Arial"/>
                <w:szCs w:val="24"/>
              </w:rPr>
            </w:pPr>
            <w:r w:rsidRPr="009827AC">
              <w:rPr>
                <w:rFonts w:cs="Arial"/>
                <w:szCs w:val="24"/>
              </w:rPr>
              <w:t xml:space="preserve">having an abortion, providing a surgical abortion or prescribing, supplying or administering an abortifacient in the protected facility; </w:t>
            </w:r>
          </w:p>
          <w:p w14:paraId="12EA26FD" w14:textId="77777777" w:rsidR="009A2C73" w:rsidRPr="009827AC" w:rsidRDefault="009A2C73" w:rsidP="00A736A6">
            <w:pPr>
              <w:widowControl w:val="0"/>
              <w:numPr>
                <w:ilvl w:val="1"/>
                <w:numId w:val="10"/>
              </w:numPr>
              <w:spacing w:before="200" w:after="200"/>
              <w:rPr>
                <w:rFonts w:cs="Arial"/>
                <w:szCs w:val="24"/>
              </w:rPr>
            </w:pPr>
            <w:r w:rsidRPr="009827AC">
              <w:rPr>
                <w:rFonts w:cs="Arial"/>
                <w:b/>
                <w:szCs w:val="24"/>
              </w:rPr>
              <w:t>a protest</w:t>
            </w:r>
            <w:r w:rsidRPr="009827AC">
              <w:rPr>
                <w:rFonts w:cs="Arial"/>
                <w:szCs w:val="24"/>
              </w:rPr>
              <w:t xml:space="preserve">, by any means, in the protected period in relation to a person doing any of the things mentioned in paragraph (b) (ii) (A) or (B). </w:t>
            </w:r>
          </w:p>
          <w:p w14:paraId="3BE66BFC" w14:textId="77777777" w:rsidR="009A2C73" w:rsidRPr="009827AC" w:rsidRDefault="009A2C73" w:rsidP="003308BA">
            <w:pPr>
              <w:widowControl w:val="0"/>
              <w:spacing w:before="200" w:after="200"/>
              <w:ind w:left="720"/>
              <w:rPr>
                <w:rFonts w:cs="Arial"/>
                <w:szCs w:val="24"/>
              </w:rPr>
            </w:pPr>
            <w:r w:rsidRPr="009827AC">
              <w:rPr>
                <w:rFonts w:cs="Arial"/>
                <w:b/>
                <w:i/>
                <w:szCs w:val="24"/>
              </w:rPr>
              <w:t>protected area</w:t>
            </w:r>
            <w:r w:rsidRPr="009827AC">
              <w:rPr>
                <w:rFonts w:cs="Arial"/>
                <w:szCs w:val="24"/>
              </w:rPr>
              <w:t xml:space="preserve"> means </w:t>
            </w:r>
            <w:r w:rsidRPr="009827AC">
              <w:rPr>
                <w:rFonts w:cs="Arial"/>
                <w:b/>
                <w:szCs w:val="24"/>
              </w:rPr>
              <w:t>an area declared under section 86</w:t>
            </w:r>
            <w:r w:rsidRPr="009827AC">
              <w:rPr>
                <w:rFonts w:cs="Arial"/>
                <w:szCs w:val="24"/>
              </w:rPr>
              <w:t>.</w:t>
            </w:r>
          </w:p>
          <w:p w14:paraId="11C9859B" w14:textId="77777777" w:rsidR="009A2C73" w:rsidRPr="009827AC" w:rsidRDefault="009A2C73" w:rsidP="00A736A6">
            <w:pPr>
              <w:widowControl w:val="0"/>
              <w:numPr>
                <w:ilvl w:val="0"/>
                <w:numId w:val="10"/>
              </w:numPr>
              <w:spacing w:before="200" w:after="200"/>
              <w:rPr>
                <w:rFonts w:cs="Arial"/>
                <w:szCs w:val="24"/>
              </w:rPr>
            </w:pPr>
            <w:r w:rsidRPr="009827AC">
              <w:rPr>
                <w:rFonts w:cs="Arial"/>
                <w:szCs w:val="24"/>
              </w:rPr>
              <w:t xml:space="preserve">For this section, protected period, in relation to a protected facility, means the period between 7 am and 6 pm on each day the facility is open or any other period declared by the Minister. </w:t>
            </w:r>
          </w:p>
          <w:p w14:paraId="7B1743BA" w14:textId="77777777" w:rsidR="009A2C73" w:rsidRPr="009827AC" w:rsidRDefault="009A2C73" w:rsidP="003308BA">
            <w:pPr>
              <w:widowControl w:val="0"/>
              <w:ind w:left="720"/>
              <w:rPr>
                <w:rFonts w:cs="Arial"/>
                <w:szCs w:val="24"/>
              </w:rPr>
            </w:pPr>
          </w:p>
          <w:p w14:paraId="468E2E28" w14:textId="77777777" w:rsidR="009A2C73" w:rsidRPr="009827AC" w:rsidRDefault="009A2C73" w:rsidP="003308BA">
            <w:pPr>
              <w:widowControl w:val="0"/>
              <w:rPr>
                <w:rFonts w:cs="Arial"/>
                <w:b/>
                <w:szCs w:val="24"/>
              </w:rPr>
            </w:pPr>
            <w:r w:rsidRPr="009827AC">
              <w:rPr>
                <w:rFonts w:cs="Arial"/>
                <w:b/>
                <w:szCs w:val="24"/>
              </w:rPr>
              <w:t>Section 86 Declaration of protected area</w:t>
            </w:r>
          </w:p>
          <w:p w14:paraId="578D8A79" w14:textId="77777777" w:rsidR="009A2C73" w:rsidRPr="009827AC" w:rsidRDefault="009A2C73" w:rsidP="00A736A6">
            <w:pPr>
              <w:widowControl w:val="0"/>
              <w:numPr>
                <w:ilvl w:val="0"/>
                <w:numId w:val="11"/>
              </w:numPr>
              <w:spacing w:before="200" w:after="200"/>
              <w:rPr>
                <w:rFonts w:cs="Arial"/>
                <w:szCs w:val="24"/>
              </w:rPr>
            </w:pPr>
            <w:r w:rsidRPr="009827AC">
              <w:rPr>
                <w:rFonts w:cs="Arial"/>
                <w:szCs w:val="24"/>
              </w:rPr>
              <w:t xml:space="preserve">The Minister must declare an area around an approved medical facility to be a protected area. </w:t>
            </w:r>
          </w:p>
          <w:p w14:paraId="6C062AE8" w14:textId="77777777" w:rsidR="009A2C73" w:rsidRPr="009827AC" w:rsidRDefault="009A2C73" w:rsidP="00A736A6">
            <w:pPr>
              <w:widowControl w:val="0"/>
              <w:numPr>
                <w:ilvl w:val="0"/>
                <w:numId w:val="11"/>
              </w:numPr>
              <w:spacing w:before="200" w:after="200"/>
              <w:rPr>
                <w:rFonts w:cs="Arial"/>
                <w:szCs w:val="24"/>
              </w:rPr>
            </w:pPr>
            <w:r w:rsidRPr="009827AC">
              <w:rPr>
                <w:rFonts w:cs="Arial"/>
                <w:b/>
                <w:szCs w:val="24"/>
              </w:rPr>
              <w:t xml:space="preserve">The Minister </w:t>
            </w:r>
            <w:r w:rsidRPr="009827AC">
              <w:rPr>
                <w:rFonts w:cs="Arial"/>
                <w:b/>
                <w:i/>
                <w:szCs w:val="24"/>
              </w:rPr>
              <w:t xml:space="preserve">may </w:t>
            </w:r>
            <w:r w:rsidRPr="009827AC">
              <w:rPr>
                <w:rFonts w:cs="Arial"/>
                <w:b/>
                <w:szCs w:val="24"/>
              </w:rPr>
              <w:t>declare an area</w:t>
            </w:r>
            <w:r w:rsidRPr="009827AC">
              <w:rPr>
                <w:rFonts w:cs="Arial"/>
                <w:szCs w:val="24"/>
              </w:rPr>
              <w:t xml:space="preserve"> around a place where an abortifacient is prescribed, supplied or administered to be a protected area. </w:t>
            </w:r>
          </w:p>
          <w:p w14:paraId="43A8F626" w14:textId="77777777" w:rsidR="009A2C73" w:rsidRPr="009827AC" w:rsidRDefault="009A2C73" w:rsidP="00A736A6">
            <w:pPr>
              <w:widowControl w:val="0"/>
              <w:numPr>
                <w:ilvl w:val="0"/>
                <w:numId w:val="11"/>
              </w:numPr>
              <w:spacing w:before="200" w:after="200"/>
              <w:rPr>
                <w:rFonts w:cs="Arial"/>
                <w:szCs w:val="24"/>
              </w:rPr>
            </w:pPr>
            <w:r w:rsidRPr="009827AC">
              <w:rPr>
                <w:rFonts w:cs="Arial"/>
                <w:szCs w:val="24"/>
              </w:rPr>
              <w:t xml:space="preserve">In making the declaration, the Minister must be satisfied that the area declared is - </w:t>
            </w:r>
          </w:p>
          <w:p w14:paraId="43F7F0FD" w14:textId="77777777" w:rsidR="009A2C73" w:rsidRPr="009827AC" w:rsidRDefault="009A2C73" w:rsidP="00A736A6">
            <w:pPr>
              <w:widowControl w:val="0"/>
              <w:numPr>
                <w:ilvl w:val="1"/>
                <w:numId w:val="11"/>
              </w:numPr>
              <w:spacing w:before="200" w:after="200"/>
              <w:rPr>
                <w:rFonts w:cs="Arial"/>
                <w:szCs w:val="24"/>
              </w:rPr>
            </w:pPr>
            <w:r w:rsidRPr="009827AC">
              <w:rPr>
                <w:rFonts w:cs="Arial"/>
                <w:b/>
                <w:szCs w:val="24"/>
              </w:rPr>
              <w:t>not less than 50m</w:t>
            </w:r>
            <w:r w:rsidRPr="009827AC">
              <w:rPr>
                <w:rFonts w:cs="Arial"/>
                <w:szCs w:val="24"/>
              </w:rPr>
              <w:t xml:space="preserve"> at any point from the protected facility; and</w:t>
            </w:r>
          </w:p>
          <w:p w14:paraId="19E4E3F1" w14:textId="77777777" w:rsidR="009A2C73" w:rsidRPr="009827AC" w:rsidRDefault="009A2C73" w:rsidP="00A736A6">
            <w:pPr>
              <w:widowControl w:val="0"/>
              <w:numPr>
                <w:ilvl w:val="1"/>
                <w:numId w:val="11"/>
              </w:numPr>
              <w:spacing w:before="200" w:after="200"/>
              <w:rPr>
                <w:rFonts w:cs="Arial"/>
                <w:szCs w:val="24"/>
              </w:rPr>
            </w:pPr>
            <w:r w:rsidRPr="009827AC">
              <w:rPr>
                <w:rFonts w:cs="Arial"/>
                <w:szCs w:val="24"/>
              </w:rPr>
              <w:t xml:space="preserve">sufficient to </w:t>
            </w:r>
            <w:r w:rsidRPr="009827AC">
              <w:rPr>
                <w:rFonts w:cs="Arial"/>
                <w:b/>
                <w:szCs w:val="24"/>
              </w:rPr>
              <w:t>ensure the privacy and unimpeded access</w:t>
            </w:r>
            <w:r w:rsidRPr="009827AC">
              <w:rPr>
                <w:rFonts w:cs="Arial"/>
                <w:szCs w:val="24"/>
              </w:rPr>
              <w:t xml:space="preserve"> for anyone entering, trying to enter or leaving the protected facility; but</w:t>
            </w:r>
          </w:p>
          <w:p w14:paraId="7D0959B5" w14:textId="77777777" w:rsidR="009A2C73" w:rsidRPr="009827AC" w:rsidRDefault="009A2C73" w:rsidP="00A736A6">
            <w:pPr>
              <w:widowControl w:val="0"/>
              <w:numPr>
                <w:ilvl w:val="1"/>
                <w:numId w:val="11"/>
              </w:numPr>
              <w:spacing w:before="200" w:after="200"/>
              <w:rPr>
                <w:rFonts w:cs="Arial"/>
                <w:szCs w:val="24"/>
              </w:rPr>
            </w:pPr>
            <w:r w:rsidRPr="009827AC">
              <w:rPr>
                <w:rFonts w:cs="Arial"/>
                <w:b/>
                <w:szCs w:val="24"/>
              </w:rPr>
              <w:t>no bigger than necessary</w:t>
            </w:r>
            <w:r w:rsidRPr="009827AC">
              <w:rPr>
                <w:rFonts w:cs="Arial"/>
                <w:szCs w:val="24"/>
              </w:rPr>
              <w:t xml:space="preserve"> to ensure that outcome. </w:t>
            </w:r>
          </w:p>
          <w:p w14:paraId="6AC367B1" w14:textId="77777777" w:rsidR="009A2C73" w:rsidRPr="009827AC" w:rsidRDefault="009A2C73" w:rsidP="003308BA">
            <w:pPr>
              <w:widowControl w:val="0"/>
              <w:rPr>
                <w:rFonts w:cs="Arial"/>
                <w:szCs w:val="24"/>
              </w:rPr>
            </w:pPr>
          </w:p>
          <w:p w14:paraId="656DE3B7" w14:textId="77777777" w:rsidR="009A2C73" w:rsidRPr="009827AC" w:rsidRDefault="009A2C73" w:rsidP="003308BA">
            <w:pPr>
              <w:widowControl w:val="0"/>
              <w:rPr>
                <w:rFonts w:cs="Arial"/>
                <w:b/>
                <w:szCs w:val="24"/>
              </w:rPr>
            </w:pPr>
            <w:r w:rsidRPr="009827AC">
              <w:rPr>
                <w:rFonts w:cs="Arial"/>
                <w:b/>
                <w:szCs w:val="24"/>
              </w:rPr>
              <w:t>Section 87 Prohibited behaviour in or in relation to protected area</w:t>
            </w:r>
          </w:p>
          <w:p w14:paraId="43C5CB55" w14:textId="77777777" w:rsidR="009A2C73" w:rsidRPr="009827AC" w:rsidRDefault="009A2C73" w:rsidP="00A736A6">
            <w:pPr>
              <w:widowControl w:val="0"/>
              <w:numPr>
                <w:ilvl w:val="0"/>
                <w:numId w:val="12"/>
              </w:numPr>
              <w:spacing w:before="200" w:after="200"/>
              <w:rPr>
                <w:rFonts w:cs="Arial"/>
                <w:szCs w:val="24"/>
              </w:rPr>
            </w:pPr>
            <w:r w:rsidRPr="009827AC">
              <w:rPr>
                <w:rFonts w:cs="Arial"/>
                <w:szCs w:val="24"/>
              </w:rPr>
              <w:t>A person commits an offence if the person –</w:t>
            </w:r>
          </w:p>
          <w:p w14:paraId="16164C48" w14:textId="77777777" w:rsidR="009A2C73" w:rsidRPr="009827AC" w:rsidRDefault="009A2C73" w:rsidP="00A736A6">
            <w:pPr>
              <w:widowControl w:val="0"/>
              <w:numPr>
                <w:ilvl w:val="1"/>
                <w:numId w:val="12"/>
              </w:numPr>
              <w:spacing w:before="200" w:after="200"/>
              <w:rPr>
                <w:rFonts w:cs="Arial"/>
                <w:szCs w:val="24"/>
              </w:rPr>
            </w:pPr>
            <w:r w:rsidRPr="009827AC">
              <w:rPr>
                <w:rFonts w:cs="Arial"/>
                <w:szCs w:val="24"/>
              </w:rPr>
              <w:t xml:space="preserve">is in a protected area; and </w:t>
            </w:r>
          </w:p>
          <w:p w14:paraId="707915CF" w14:textId="77777777" w:rsidR="009A2C73" w:rsidRPr="009827AC" w:rsidRDefault="009A2C73" w:rsidP="00A736A6">
            <w:pPr>
              <w:widowControl w:val="0"/>
              <w:numPr>
                <w:ilvl w:val="1"/>
                <w:numId w:val="12"/>
              </w:numPr>
              <w:spacing w:before="200" w:after="200"/>
              <w:rPr>
                <w:rFonts w:cs="Arial"/>
                <w:szCs w:val="24"/>
              </w:rPr>
            </w:pPr>
            <w:r w:rsidRPr="009827AC">
              <w:rPr>
                <w:rFonts w:cs="Arial"/>
                <w:szCs w:val="24"/>
              </w:rPr>
              <w:t xml:space="preserve">engages in prohibited behaviour. </w:t>
            </w:r>
          </w:p>
          <w:p w14:paraId="7046941E" w14:textId="0488C5F0" w:rsidR="009A2C73" w:rsidRDefault="009A2C73" w:rsidP="003308BA">
            <w:pPr>
              <w:widowControl w:val="0"/>
              <w:spacing w:before="200" w:after="200"/>
              <w:ind w:left="720"/>
              <w:rPr>
                <w:rFonts w:cs="Arial"/>
                <w:szCs w:val="24"/>
              </w:rPr>
            </w:pPr>
            <w:r w:rsidRPr="009827AC">
              <w:rPr>
                <w:rFonts w:cs="Arial"/>
                <w:szCs w:val="24"/>
              </w:rPr>
              <w:t xml:space="preserve">Maximum penalty: 25 penalty units. </w:t>
            </w:r>
          </w:p>
          <w:p w14:paraId="0E1E4B54" w14:textId="77777777" w:rsidR="00086D74" w:rsidRPr="009827AC" w:rsidRDefault="00086D74" w:rsidP="003308BA">
            <w:pPr>
              <w:widowControl w:val="0"/>
              <w:spacing w:before="200" w:after="200"/>
              <w:ind w:left="720"/>
              <w:rPr>
                <w:rFonts w:cs="Arial"/>
                <w:szCs w:val="24"/>
              </w:rPr>
            </w:pPr>
          </w:p>
          <w:p w14:paraId="5EAD2EB8" w14:textId="77777777" w:rsidR="009A2C73" w:rsidRPr="009827AC" w:rsidRDefault="009A2C73" w:rsidP="00A736A6">
            <w:pPr>
              <w:widowControl w:val="0"/>
              <w:numPr>
                <w:ilvl w:val="0"/>
                <w:numId w:val="12"/>
              </w:numPr>
              <w:spacing w:before="200" w:after="200"/>
              <w:rPr>
                <w:rFonts w:cs="Arial"/>
                <w:szCs w:val="24"/>
              </w:rPr>
            </w:pPr>
            <w:r w:rsidRPr="009827AC">
              <w:rPr>
                <w:rFonts w:cs="Arial"/>
                <w:szCs w:val="24"/>
              </w:rPr>
              <w:lastRenderedPageBreak/>
              <w:t>A person commits an offence if –</w:t>
            </w:r>
          </w:p>
          <w:p w14:paraId="34E6315F" w14:textId="77777777" w:rsidR="009A2C73" w:rsidRPr="009827AC" w:rsidRDefault="009A2C73" w:rsidP="00A736A6">
            <w:pPr>
              <w:widowControl w:val="0"/>
              <w:numPr>
                <w:ilvl w:val="1"/>
                <w:numId w:val="12"/>
              </w:numPr>
              <w:spacing w:before="200" w:after="200"/>
              <w:rPr>
                <w:rFonts w:cs="Arial"/>
                <w:szCs w:val="24"/>
              </w:rPr>
            </w:pPr>
            <w:r w:rsidRPr="009827AC">
              <w:rPr>
                <w:rFonts w:cs="Arial"/>
                <w:szCs w:val="24"/>
              </w:rPr>
              <w:t xml:space="preserve">the person </w:t>
            </w:r>
            <w:r w:rsidRPr="009827AC">
              <w:rPr>
                <w:rFonts w:cs="Arial"/>
                <w:b/>
                <w:szCs w:val="24"/>
              </w:rPr>
              <w:t>publishes captured visual data of a person</w:t>
            </w:r>
            <w:r w:rsidRPr="009827AC">
              <w:rPr>
                <w:rFonts w:cs="Arial"/>
                <w:szCs w:val="24"/>
              </w:rPr>
              <w:t xml:space="preserve"> (the recorded person) entering or leaving, or trying to enter or leave, a protected facility; and </w:t>
            </w:r>
          </w:p>
          <w:p w14:paraId="7E00CBE5" w14:textId="77777777" w:rsidR="009A2C73" w:rsidRPr="009827AC" w:rsidRDefault="009A2C73" w:rsidP="00A736A6">
            <w:pPr>
              <w:widowControl w:val="0"/>
              <w:numPr>
                <w:ilvl w:val="1"/>
                <w:numId w:val="12"/>
              </w:numPr>
              <w:spacing w:before="200" w:after="200"/>
              <w:rPr>
                <w:rFonts w:cs="Arial"/>
                <w:szCs w:val="24"/>
              </w:rPr>
            </w:pPr>
            <w:r w:rsidRPr="009827AC">
              <w:rPr>
                <w:rFonts w:cs="Arial"/>
                <w:szCs w:val="24"/>
              </w:rPr>
              <w:t xml:space="preserve">the person does so </w:t>
            </w:r>
            <w:r w:rsidRPr="009827AC">
              <w:rPr>
                <w:rFonts w:cs="Arial"/>
                <w:b/>
                <w:szCs w:val="24"/>
              </w:rPr>
              <w:t>with the intention of stopping a person from</w:t>
            </w:r>
            <w:r w:rsidRPr="009827AC">
              <w:rPr>
                <w:rFonts w:cs="Arial"/>
                <w:szCs w:val="24"/>
              </w:rPr>
              <w:t xml:space="preserve"> –</w:t>
            </w:r>
          </w:p>
          <w:p w14:paraId="7F9B0DD8" w14:textId="77777777" w:rsidR="009A2C73" w:rsidRPr="009827AC" w:rsidRDefault="009A2C73" w:rsidP="00A736A6">
            <w:pPr>
              <w:widowControl w:val="0"/>
              <w:numPr>
                <w:ilvl w:val="2"/>
                <w:numId w:val="12"/>
              </w:numPr>
              <w:spacing w:before="200" w:after="200"/>
              <w:rPr>
                <w:rFonts w:cs="Arial"/>
                <w:szCs w:val="24"/>
              </w:rPr>
            </w:pPr>
            <w:r w:rsidRPr="009827AC">
              <w:rPr>
                <w:rFonts w:cs="Arial"/>
                <w:szCs w:val="24"/>
              </w:rPr>
              <w:t xml:space="preserve">having an abortion; or </w:t>
            </w:r>
          </w:p>
          <w:p w14:paraId="7A6F08D5" w14:textId="77777777" w:rsidR="009A2C73" w:rsidRPr="009827AC" w:rsidRDefault="009A2C73" w:rsidP="00A736A6">
            <w:pPr>
              <w:widowControl w:val="0"/>
              <w:numPr>
                <w:ilvl w:val="2"/>
                <w:numId w:val="12"/>
              </w:numPr>
              <w:spacing w:before="200" w:after="200"/>
              <w:rPr>
                <w:rFonts w:cs="Arial"/>
                <w:szCs w:val="24"/>
              </w:rPr>
            </w:pPr>
            <w:r w:rsidRPr="009827AC">
              <w:rPr>
                <w:rFonts w:cs="Arial"/>
                <w:szCs w:val="24"/>
              </w:rPr>
              <w:t xml:space="preserve">providing a surgical abortion; or </w:t>
            </w:r>
          </w:p>
          <w:p w14:paraId="10B2CCD7" w14:textId="77777777" w:rsidR="009A2C73" w:rsidRPr="009827AC" w:rsidRDefault="009A2C73" w:rsidP="00A736A6">
            <w:pPr>
              <w:widowControl w:val="0"/>
              <w:numPr>
                <w:ilvl w:val="2"/>
                <w:numId w:val="12"/>
              </w:numPr>
              <w:spacing w:before="200" w:after="200"/>
              <w:rPr>
                <w:rFonts w:cs="Arial"/>
                <w:szCs w:val="24"/>
              </w:rPr>
            </w:pPr>
            <w:r w:rsidRPr="009827AC">
              <w:rPr>
                <w:rFonts w:cs="Arial"/>
                <w:szCs w:val="24"/>
              </w:rPr>
              <w:t>prescribing, supplying or administering an abortifacient; and</w:t>
            </w:r>
          </w:p>
          <w:p w14:paraId="36691884" w14:textId="77777777" w:rsidR="009A2C73" w:rsidRPr="009827AC" w:rsidRDefault="009A2C73" w:rsidP="00A736A6">
            <w:pPr>
              <w:widowControl w:val="0"/>
              <w:numPr>
                <w:ilvl w:val="1"/>
                <w:numId w:val="12"/>
              </w:numPr>
              <w:spacing w:before="200" w:after="200"/>
              <w:rPr>
                <w:rFonts w:cs="Arial"/>
                <w:szCs w:val="24"/>
              </w:rPr>
            </w:pPr>
            <w:r w:rsidRPr="009827AC">
              <w:rPr>
                <w:rFonts w:cs="Arial"/>
                <w:szCs w:val="24"/>
              </w:rPr>
              <w:t xml:space="preserve">the recorded person did not consent to the publication. </w:t>
            </w:r>
          </w:p>
          <w:p w14:paraId="78DE5392" w14:textId="77777777" w:rsidR="009A2C73" w:rsidRPr="009827AC" w:rsidRDefault="009A2C73" w:rsidP="003308BA">
            <w:pPr>
              <w:widowControl w:val="0"/>
              <w:spacing w:before="200" w:after="200"/>
              <w:ind w:left="720"/>
              <w:rPr>
                <w:rFonts w:cs="Arial"/>
                <w:szCs w:val="24"/>
              </w:rPr>
            </w:pPr>
            <w:r w:rsidRPr="009827AC">
              <w:rPr>
                <w:rFonts w:cs="Arial"/>
                <w:szCs w:val="24"/>
              </w:rPr>
              <w:t xml:space="preserve">Maximum penalty: 50 penalty units, </w:t>
            </w:r>
            <w:r w:rsidRPr="009827AC">
              <w:rPr>
                <w:rFonts w:cs="Arial"/>
                <w:b/>
                <w:szCs w:val="24"/>
              </w:rPr>
              <w:t>imprisonment for 6 months</w:t>
            </w:r>
            <w:r w:rsidRPr="009827AC">
              <w:rPr>
                <w:rFonts w:cs="Arial"/>
                <w:szCs w:val="24"/>
              </w:rPr>
              <w:t xml:space="preserve">, or both. </w:t>
            </w:r>
          </w:p>
          <w:p w14:paraId="0438FD28" w14:textId="77777777" w:rsidR="009A2C73" w:rsidRPr="009827AC" w:rsidRDefault="009A2C73" w:rsidP="003308BA">
            <w:pPr>
              <w:widowControl w:val="0"/>
              <w:ind w:left="720"/>
              <w:rPr>
                <w:rFonts w:cs="Arial"/>
                <w:b/>
                <w:szCs w:val="24"/>
              </w:rPr>
            </w:pPr>
          </w:p>
        </w:tc>
      </w:tr>
    </w:tbl>
    <w:p w14:paraId="5D41739B" w14:textId="77777777" w:rsidR="009A2C73" w:rsidRPr="009827AC" w:rsidRDefault="009A2C73" w:rsidP="003308BA">
      <w:pPr>
        <w:spacing w:before="120"/>
        <w:rPr>
          <w:rFonts w:cs="Arial"/>
          <w:szCs w:val="24"/>
        </w:rPr>
      </w:pPr>
    </w:p>
    <w:p w14:paraId="32FCE0B2" w14:textId="77777777" w:rsidR="009A2C73" w:rsidRPr="009827AC" w:rsidRDefault="009A2C73" w:rsidP="003308BA">
      <w:pPr>
        <w:spacing w:before="120"/>
        <w:rPr>
          <w:rFonts w:cs="Arial"/>
          <w:szCs w:val="24"/>
        </w:rPr>
      </w:pPr>
      <w:r w:rsidRPr="009827AC">
        <w:rPr>
          <w:rFonts w:cs="Arial"/>
          <w:szCs w:val="24"/>
        </w:rPr>
        <w:t xml:space="preserve">The </w:t>
      </w:r>
      <w:r w:rsidRPr="009827AC">
        <w:rPr>
          <w:rFonts w:cs="Arial"/>
          <w:i/>
          <w:szCs w:val="24"/>
        </w:rPr>
        <w:t>Health (Patient Privacy) Amendment Act 2015</w:t>
      </w:r>
      <w:r w:rsidRPr="009827AC">
        <w:rPr>
          <w:rFonts w:cs="Arial"/>
          <w:szCs w:val="24"/>
        </w:rPr>
        <w:t xml:space="preserve"> (ACT) amended the </w:t>
      </w:r>
      <w:r w:rsidRPr="009827AC">
        <w:rPr>
          <w:rFonts w:cs="Arial"/>
          <w:i/>
          <w:szCs w:val="24"/>
        </w:rPr>
        <w:t>Health Act 1993</w:t>
      </w:r>
      <w:r w:rsidRPr="009827AC">
        <w:rPr>
          <w:rFonts w:cs="Arial"/>
          <w:szCs w:val="24"/>
        </w:rPr>
        <w:t xml:space="preserve"> (ACT) by inserting division 6.2 ‘Patient privacy in protected areas’. This amendment gave the Minister power to establish ‘protected areas’ around medical facilities. The Minister must declare a protected area around approved medical facilities; however, the Minister may declare a protected area around where an abortifacient (a drug causing abortion) is prescribed, supplied or administered. </w:t>
      </w:r>
    </w:p>
    <w:p w14:paraId="2A44C8E8" w14:textId="77777777" w:rsidR="009A2C73" w:rsidRPr="009827AC" w:rsidRDefault="009A2C73" w:rsidP="003308BA">
      <w:pPr>
        <w:spacing w:before="120"/>
        <w:rPr>
          <w:rFonts w:cs="Arial"/>
          <w:szCs w:val="24"/>
        </w:rPr>
      </w:pPr>
      <w:r w:rsidRPr="009827AC">
        <w:rPr>
          <w:rFonts w:cs="Arial"/>
          <w:szCs w:val="24"/>
        </w:rPr>
        <w:t>The ACT legislation differs from other safe access zone legislation in Australia because it does not stipulate an automatic zone around clinics or medical facilities. The Minister must declare a ‘protected area’ (the equivalent of a safe access zone) and specify the size of the protected area. The protected area may not include area beyond 50 metres from the premises, while other jurisdictions stipulate that the protected area or zone must include area within 150 metres of the premises.</w:t>
      </w:r>
    </w:p>
    <w:p w14:paraId="2BDC479F"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The Act also makes it an offence to engage in prohibited behaviour in the protected area and an offence to publish captured visual data of a person in a protected area with the intention of stopping a person from having an abortion or providing abortion services. The ACT legislation differs from other similar cases in that it requires a person to act with the intention to stop a person from entering or leaving an abortion clinic or receiving abortion services. </w:t>
      </w:r>
    </w:p>
    <w:p w14:paraId="3CB46259"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The penalty for the offences are 25 penalty units for engaging in prohibited behaviour or 50 penalty units/imprisonment for 6 months for publishing visual data. </w:t>
      </w:r>
    </w:p>
    <w:p w14:paraId="6F2DC406" w14:textId="77777777" w:rsidR="009A2C73" w:rsidRPr="009A2C73" w:rsidRDefault="009A2C73" w:rsidP="003308BA">
      <w:pPr>
        <w:pStyle w:val="ListNumber0"/>
        <w:numPr>
          <w:ilvl w:val="0"/>
          <w:numId w:val="0"/>
        </w:numPr>
        <w:tabs>
          <w:tab w:val="left" w:pos="720"/>
        </w:tabs>
        <w:spacing w:line="276" w:lineRule="auto"/>
        <w:rPr>
          <w:rFonts w:ascii="Arial" w:hAnsi="Arial" w:cs="Arial"/>
          <w:sz w:val="22"/>
        </w:rPr>
      </w:pPr>
    </w:p>
    <w:p w14:paraId="49C61643" w14:textId="22B3A0CB" w:rsidR="009A2C73" w:rsidRPr="009A2C73" w:rsidRDefault="007254D1" w:rsidP="003308BA">
      <w:pPr>
        <w:pStyle w:val="Heading2"/>
      </w:pPr>
      <w:bookmarkStart w:id="56" w:name="_Toc47512451"/>
      <w:bookmarkStart w:id="57" w:name="_Toc47278193"/>
      <w:bookmarkStart w:id="58" w:name="_Toc49947628"/>
      <w:r>
        <w:lastRenderedPageBreak/>
        <w:t>4</w:t>
      </w:r>
      <w:r w:rsidR="009827AC">
        <w:t xml:space="preserve">.4 </w:t>
      </w:r>
      <w:r w:rsidR="009A2C73" w:rsidRPr="009A2C73">
        <w:t>Victoria</w:t>
      </w:r>
      <w:bookmarkEnd w:id="56"/>
      <w:bookmarkEnd w:id="57"/>
      <w:bookmarkEnd w:id="58"/>
    </w:p>
    <w:tbl>
      <w:tblPr>
        <w:tblStyle w:val="TableMSA"/>
        <w:tblW w:w="0" w:type="dxa"/>
        <w:tblInd w:w="5" w:type="dxa"/>
        <w:tblLayout w:type="fixed"/>
        <w:tblLook w:val="04A0" w:firstRow="1" w:lastRow="0" w:firstColumn="1" w:lastColumn="0" w:noHBand="0" w:noVBand="1"/>
      </w:tblPr>
      <w:tblGrid>
        <w:gridCol w:w="2547"/>
        <w:gridCol w:w="7081"/>
      </w:tblGrid>
      <w:tr w:rsidR="009A2C73" w:rsidRPr="009A2C73" w14:paraId="6BD6DDD5" w14:textId="77777777" w:rsidTr="009A2C73">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4F50DA63" w14:textId="77777777" w:rsidR="009A2C73" w:rsidRPr="009A2C73" w:rsidRDefault="009A2C73" w:rsidP="003308BA">
            <w:pPr>
              <w:spacing w:before="120"/>
              <w:rPr>
                <w:rFonts w:cs="Arial"/>
                <w:b/>
                <w:bCs/>
                <w:color w:val="000000"/>
              </w:rPr>
            </w:pPr>
            <w:r w:rsidRPr="009A2C73">
              <w:rPr>
                <w:rFonts w:cs="Arial"/>
                <w:b/>
                <w:bCs/>
                <w:color w:val="000000"/>
              </w:rPr>
              <w:t xml:space="preserve">Victoria </w:t>
            </w:r>
          </w:p>
        </w:tc>
      </w:tr>
      <w:tr w:rsidR="009A2C73" w:rsidRPr="009A2C73" w14:paraId="67C8D9BF" w14:textId="77777777" w:rsidTr="009A2C73">
        <w:tc>
          <w:tcPr>
            <w:tcW w:w="2547" w:type="dxa"/>
            <w:tcBorders>
              <w:top w:val="single" w:sz="4" w:space="0" w:color="5B9BD5" w:themeColor="accent1"/>
              <w:left w:val="nil"/>
              <w:bottom w:val="single" w:sz="4" w:space="0" w:color="5B9BD5" w:themeColor="accent1"/>
              <w:right w:val="nil"/>
            </w:tcBorders>
            <w:hideMark/>
          </w:tcPr>
          <w:p w14:paraId="2D09145D" w14:textId="77777777" w:rsidR="009A2C73" w:rsidRPr="009A2C73" w:rsidRDefault="009A2C73" w:rsidP="003308BA">
            <w:pPr>
              <w:spacing w:before="120"/>
              <w:rPr>
                <w:rFonts w:cs="Arial"/>
                <w:color w:val="000000"/>
              </w:rPr>
            </w:pPr>
            <w:r w:rsidRPr="009A2C73">
              <w:rPr>
                <w:rFonts w:cs="Arial"/>
                <w:color w:val="000000"/>
              </w:rPr>
              <w:t xml:space="preserve">Legislation </w:t>
            </w:r>
          </w:p>
        </w:tc>
        <w:tc>
          <w:tcPr>
            <w:tcW w:w="7081" w:type="dxa"/>
            <w:tcBorders>
              <w:top w:val="single" w:sz="4" w:space="0" w:color="5B9BD5" w:themeColor="accent1"/>
              <w:left w:val="nil"/>
              <w:bottom w:val="single" w:sz="4" w:space="0" w:color="5B9BD5" w:themeColor="accent1"/>
              <w:right w:val="nil"/>
            </w:tcBorders>
            <w:hideMark/>
          </w:tcPr>
          <w:p w14:paraId="505F017C" w14:textId="77777777" w:rsidR="009A2C73" w:rsidRPr="009A2C73" w:rsidRDefault="009A2C73" w:rsidP="003308BA">
            <w:pPr>
              <w:spacing w:before="120"/>
              <w:rPr>
                <w:rFonts w:cs="Arial"/>
                <w:color w:val="000000"/>
              </w:rPr>
            </w:pPr>
            <w:r w:rsidRPr="009A2C73">
              <w:rPr>
                <w:rFonts w:cs="Arial"/>
                <w:i/>
                <w:color w:val="000000"/>
              </w:rPr>
              <w:t>Public Health and Wellbeing Act 2008</w:t>
            </w:r>
            <w:r w:rsidRPr="009A2C73">
              <w:rPr>
                <w:rFonts w:cs="Arial"/>
                <w:color w:val="000000"/>
              </w:rPr>
              <w:t xml:space="preserve"> (Vic) Part 9A ss 185A-185H</w:t>
            </w:r>
          </w:p>
        </w:tc>
      </w:tr>
      <w:tr w:rsidR="009A2C73" w:rsidRPr="009A2C73" w14:paraId="4EA1848C" w14:textId="77777777" w:rsidTr="009A2C73">
        <w:tc>
          <w:tcPr>
            <w:tcW w:w="2547" w:type="dxa"/>
            <w:tcBorders>
              <w:top w:val="single" w:sz="4" w:space="0" w:color="5B9BD5" w:themeColor="accent1"/>
              <w:left w:val="nil"/>
              <w:bottom w:val="single" w:sz="4" w:space="0" w:color="5B9BD5" w:themeColor="accent1"/>
              <w:right w:val="nil"/>
            </w:tcBorders>
            <w:hideMark/>
          </w:tcPr>
          <w:p w14:paraId="1F565D37" w14:textId="77777777" w:rsidR="009A2C73" w:rsidRPr="009A2C73" w:rsidRDefault="009A2C73" w:rsidP="003308BA">
            <w:pPr>
              <w:spacing w:before="120"/>
              <w:rPr>
                <w:rFonts w:cs="Arial"/>
                <w:color w:val="000000"/>
              </w:rPr>
            </w:pPr>
            <w:r w:rsidRPr="009A2C73">
              <w:rPr>
                <w:rFonts w:cs="Arial"/>
                <w:color w:val="000000"/>
              </w:rPr>
              <w:t>Creation</w:t>
            </w:r>
          </w:p>
        </w:tc>
        <w:tc>
          <w:tcPr>
            <w:tcW w:w="7081" w:type="dxa"/>
            <w:tcBorders>
              <w:top w:val="single" w:sz="4" w:space="0" w:color="5B9BD5" w:themeColor="accent1"/>
              <w:left w:val="nil"/>
              <w:bottom w:val="single" w:sz="4" w:space="0" w:color="5B9BD5" w:themeColor="accent1"/>
              <w:right w:val="nil"/>
            </w:tcBorders>
            <w:hideMark/>
          </w:tcPr>
          <w:p w14:paraId="4F42BEE0" w14:textId="77777777" w:rsidR="009A2C73" w:rsidRPr="009A2C73" w:rsidRDefault="009A2C73" w:rsidP="003308BA">
            <w:pPr>
              <w:spacing w:before="120"/>
              <w:rPr>
                <w:rFonts w:cs="Arial"/>
                <w:color w:val="000000"/>
              </w:rPr>
            </w:pPr>
            <w:r w:rsidRPr="009A2C73">
              <w:rPr>
                <w:rFonts w:cs="Arial"/>
                <w:color w:val="000000"/>
              </w:rPr>
              <w:t xml:space="preserve">Automatic – all premises at which abortions are provided; ministerial declaration not required. </w:t>
            </w:r>
          </w:p>
        </w:tc>
      </w:tr>
      <w:tr w:rsidR="009A2C73" w:rsidRPr="009A2C73" w14:paraId="37053DFD" w14:textId="77777777" w:rsidTr="009A2C73">
        <w:tc>
          <w:tcPr>
            <w:tcW w:w="2547" w:type="dxa"/>
            <w:tcBorders>
              <w:top w:val="single" w:sz="4" w:space="0" w:color="5B9BD5" w:themeColor="accent1"/>
              <w:left w:val="nil"/>
              <w:bottom w:val="single" w:sz="4" w:space="0" w:color="5B9BD5" w:themeColor="accent1"/>
              <w:right w:val="nil"/>
            </w:tcBorders>
            <w:hideMark/>
          </w:tcPr>
          <w:p w14:paraId="2566BB4A" w14:textId="77777777" w:rsidR="009A2C73" w:rsidRPr="009A2C73" w:rsidRDefault="009A2C73" w:rsidP="003308BA">
            <w:pPr>
              <w:spacing w:before="120"/>
              <w:rPr>
                <w:rFonts w:cs="Arial"/>
                <w:color w:val="000000"/>
              </w:rPr>
            </w:pPr>
            <w:r w:rsidRPr="009A2C73">
              <w:rPr>
                <w:rFonts w:cs="Arial"/>
                <w:color w:val="000000"/>
              </w:rPr>
              <w:t>Size</w:t>
            </w:r>
          </w:p>
        </w:tc>
        <w:tc>
          <w:tcPr>
            <w:tcW w:w="7081" w:type="dxa"/>
            <w:tcBorders>
              <w:top w:val="single" w:sz="4" w:space="0" w:color="5B9BD5" w:themeColor="accent1"/>
              <w:left w:val="nil"/>
              <w:bottom w:val="single" w:sz="4" w:space="0" w:color="5B9BD5" w:themeColor="accent1"/>
              <w:right w:val="nil"/>
            </w:tcBorders>
            <w:hideMark/>
          </w:tcPr>
          <w:p w14:paraId="712BC3D9" w14:textId="77777777" w:rsidR="009A2C73" w:rsidRPr="009A2C73" w:rsidRDefault="009A2C73" w:rsidP="003308BA">
            <w:pPr>
              <w:spacing w:before="120"/>
              <w:rPr>
                <w:rFonts w:cs="Arial"/>
                <w:color w:val="000000"/>
              </w:rPr>
            </w:pPr>
            <w:r w:rsidRPr="009A2C73">
              <w:rPr>
                <w:rFonts w:cs="Arial"/>
                <w:color w:val="000000"/>
              </w:rPr>
              <w:t>150m</w:t>
            </w:r>
          </w:p>
        </w:tc>
      </w:tr>
      <w:tr w:rsidR="009A2C73" w:rsidRPr="009A2C73" w14:paraId="129D4240" w14:textId="77777777" w:rsidTr="009A2C73">
        <w:tc>
          <w:tcPr>
            <w:tcW w:w="2547" w:type="dxa"/>
            <w:tcBorders>
              <w:top w:val="single" w:sz="4" w:space="0" w:color="5B9BD5" w:themeColor="accent1"/>
              <w:left w:val="nil"/>
              <w:bottom w:val="single" w:sz="4" w:space="0" w:color="5B9BD5" w:themeColor="accent1"/>
              <w:right w:val="nil"/>
            </w:tcBorders>
            <w:hideMark/>
          </w:tcPr>
          <w:p w14:paraId="5F27EAF3" w14:textId="77777777" w:rsidR="009A2C73" w:rsidRPr="009A2C73" w:rsidRDefault="009A2C73" w:rsidP="003308BA">
            <w:pPr>
              <w:spacing w:before="120"/>
              <w:rPr>
                <w:rFonts w:cs="Arial"/>
                <w:color w:val="000000"/>
              </w:rPr>
            </w:pPr>
            <w:r w:rsidRPr="009A2C73">
              <w:rPr>
                <w:rFonts w:cs="Arial"/>
                <w:color w:val="000000"/>
              </w:rPr>
              <w:t xml:space="preserve">Measured from </w:t>
            </w:r>
          </w:p>
        </w:tc>
        <w:tc>
          <w:tcPr>
            <w:tcW w:w="7081" w:type="dxa"/>
            <w:tcBorders>
              <w:top w:val="single" w:sz="4" w:space="0" w:color="5B9BD5" w:themeColor="accent1"/>
              <w:left w:val="nil"/>
              <w:bottom w:val="single" w:sz="4" w:space="0" w:color="5B9BD5" w:themeColor="accent1"/>
              <w:right w:val="nil"/>
            </w:tcBorders>
            <w:hideMark/>
          </w:tcPr>
          <w:p w14:paraId="196D5687" w14:textId="77777777" w:rsidR="009A2C73" w:rsidRPr="009A2C73" w:rsidRDefault="009A2C73" w:rsidP="003308BA">
            <w:pPr>
              <w:spacing w:before="120"/>
              <w:rPr>
                <w:rFonts w:cs="Arial"/>
                <w:color w:val="000000"/>
              </w:rPr>
            </w:pPr>
            <w:r w:rsidRPr="009A2C73">
              <w:rPr>
                <w:rFonts w:cs="Arial"/>
                <w:color w:val="000000"/>
              </w:rPr>
              <w:t xml:space="preserve">“premises” defined as perimeter of the land where the premises is situated </w:t>
            </w:r>
          </w:p>
        </w:tc>
      </w:tr>
      <w:tr w:rsidR="009A2C73" w:rsidRPr="009A2C73" w14:paraId="2818DD00" w14:textId="77777777" w:rsidTr="009A2C73">
        <w:tc>
          <w:tcPr>
            <w:tcW w:w="2547" w:type="dxa"/>
            <w:tcBorders>
              <w:top w:val="single" w:sz="4" w:space="0" w:color="5B9BD5" w:themeColor="accent1"/>
              <w:left w:val="nil"/>
              <w:bottom w:val="single" w:sz="4" w:space="0" w:color="5B9BD5" w:themeColor="accent1"/>
              <w:right w:val="nil"/>
            </w:tcBorders>
            <w:hideMark/>
          </w:tcPr>
          <w:p w14:paraId="3603567C" w14:textId="77777777" w:rsidR="009A2C73" w:rsidRPr="009A2C73" w:rsidRDefault="009A2C73" w:rsidP="003308BA">
            <w:pPr>
              <w:spacing w:before="120"/>
              <w:rPr>
                <w:rFonts w:cs="Arial"/>
                <w:color w:val="000000"/>
              </w:rPr>
            </w:pPr>
            <w:r w:rsidRPr="009A2C73">
              <w:rPr>
                <w:rFonts w:cs="Arial"/>
                <w:color w:val="000000"/>
              </w:rPr>
              <w:t>Hours of effect</w:t>
            </w:r>
          </w:p>
        </w:tc>
        <w:tc>
          <w:tcPr>
            <w:tcW w:w="7081" w:type="dxa"/>
            <w:tcBorders>
              <w:top w:val="single" w:sz="4" w:space="0" w:color="5B9BD5" w:themeColor="accent1"/>
              <w:left w:val="nil"/>
              <w:bottom w:val="single" w:sz="4" w:space="0" w:color="5B9BD5" w:themeColor="accent1"/>
              <w:right w:val="nil"/>
            </w:tcBorders>
            <w:hideMark/>
          </w:tcPr>
          <w:p w14:paraId="3919A698" w14:textId="77777777" w:rsidR="009A2C73" w:rsidRPr="009A2C73" w:rsidRDefault="009A2C73" w:rsidP="003308BA">
            <w:pPr>
              <w:spacing w:before="120"/>
              <w:rPr>
                <w:rFonts w:cs="Arial"/>
                <w:color w:val="000000"/>
              </w:rPr>
            </w:pPr>
            <w:r w:rsidRPr="009A2C73">
              <w:rPr>
                <w:rFonts w:cs="Arial"/>
                <w:color w:val="000000"/>
              </w:rPr>
              <w:t>Implied: when patients/staff are present (except blocking road)</w:t>
            </w:r>
          </w:p>
        </w:tc>
      </w:tr>
      <w:tr w:rsidR="009A2C73" w:rsidRPr="009A2C73" w14:paraId="20C0AB90" w14:textId="77777777" w:rsidTr="009A2C73">
        <w:tc>
          <w:tcPr>
            <w:tcW w:w="2547" w:type="dxa"/>
            <w:tcBorders>
              <w:top w:val="single" w:sz="4" w:space="0" w:color="5B9BD5" w:themeColor="accent1"/>
              <w:left w:val="nil"/>
              <w:bottom w:val="single" w:sz="18" w:space="0" w:color="5B9BD5" w:themeColor="accent1"/>
              <w:right w:val="nil"/>
            </w:tcBorders>
            <w:hideMark/>
          </w:tcPr>
          <w:p w14:paraId="5CE3234A" w14:textId="77777777" w:rsidR="009A2C73" w:rsidRPr="009A2C73" w:rsidRDefault="009A2C73" w:rsidP="003308BA">
            <w:pPr>
              <w:spacing w:before="120"/>
              <w:rPr>
                <w:rFonts w:cs="Arial"/>
                <w:color w:val="000000"/>
              </w:rPr>
            </w:pPr>
            <w:r w:rsidRPr="009A2C73">
              <w:rPr>
                <w:rFonts w:cs="Arial"/>
                <w:color w:val="000000"/>
              </w:rPr>
              <w:t xml:space="preserve">Prohibited Behaviours </w:t>
            </w:r>
          </w:p>
        </w:tc>
        <w:tc>
          <w:tcPr>
            <w:tcW w:w="7081" w:type="dxa"/>
            <w:tcBorders>
              <w:top w:val="single" w:sz="4" w:space="0" w:color="5B9BD5" w:themeColor="accent1"/>
              <w:left w:val="nil"/>
              <w:bottom w:val="single" w:sz="18" w:space="0" w:color="5B9BD5" w:themeColor="accent1"/>
              <w:right w:val="nil"/>
            </w:tcBorders>
            <w:hideMark/>
          </w:tcPr>
          <w:p w14:paraId="10CDA301" w14:textId="77777777" w:rsidR="009A2C73" w:rsidRPr="009A2C73" w:rsidRDefault="009A2C73" w:rsidP="003308BA">
            <w:pPr>
              <w:spacing w:before="120"/>
              <w:rPr>
                <w:rFonts w:cs="Arial"/>
                <w:color w:val="000000"/>
              </w:rPr>
            </w:pPr>
            <w:r w:rsidRPr="009A2C73">
              <w:rPr>
                <w:rFonts w:cs="Arial"/>
                <w:color w:val="000000"/>
              </w:rPr>
              <w:t xml:space="preserve">Besetting, harassing, intimidating, interfering with, threatening, hindering, obstructing or impeding by any means a person accessing facility. </w:t>
            </w:r>
          </w:p>
          <w:p w14:paraId="3BF31E07" w14:textId="77777777" w:rsidR="009A2C73" w:rsidRPr="009A2C73" w:rsidRDefault="009A2C73" w:rsidP="003308BA">
            <w:pPr>
              <w:spacing w:before="120"/>
              <w:rPr>
                <w:rFonts w:cs="Arial"/>
                <w:color w:val="000000"/>
              </w:rPr>
            </w:pPr>
            <w:r w:rsidRPr="009A2C73">
              <w:rPr>
                <w:rFonts w:cs="Arial"/>
                <w:color w:val="000000"/>
              </w:rPr>
              <w:t xml:space="preserve">Communication relating to abortion, able to be seen or heard by a person accessing facility, which is likely to cause distress or anxiety. </w:t>
            </w:r>
          </w:p>
          <w:p w14:paraId="78D3C303" w14:textId="77777777" w:rsidR="009A2C73" w:rsidRPr="009A2C73" w:rsidRDefault="009A2C73" w:rsidP="003308BA">
            <w:pPr>
              <w:spacing w:before="120"/>
              <w:rPr>
                <w:rFonts w:cs="Arial"/>
                <w:color w:val="000000"/>
              </w:rPr>
            </w:pPr>
            <w:r w:rsidRPr="009A2C73">
              <w:rPr>
                <w:rFonts w:cs="Arial"/>
                <w:color w:val="000000"/>
              </w:rPr>
              <w:t xml:space="preserve">Interfering with or impeding a footpath, road or vehicle in relation to premises of facility. </w:t>
            </w:r>
          </w:p>
          <w:p w14:paraId="6EED4D70" w14:textId="77777777" w:rsidR="009A2C73" w:rsidRPr="009A2C73" w:rsidRDefault="009A2C73" w:rsidP="003308BA">
            <w:pPr>
              <w:spacing w:before="120"/>
              <w:rPr>
                <w:rFonts w:cs="Arial"/>
                <w:color w:val="000000"/>
              </w:rPr>
            </w:pPr>
            <w:r w:rsidRPr="009A2C73">
              <w:rPr>
                <w:rFonts w:cs="Arial"/>
                <w:color w:val="000000"/>
              </w:rPr>
              <w:t xml:space="preserve">Recording a person accessing facility.   </w:t>
            </w:r>
          </w:p>
        </w:tc>
      </w:tr>
    </w:tbl>
    <w:p w14:paraId="1B79B958" w14:textId="77777777" w:rsidR="009A2C73" w:rsidRPr="009A2C73" w:rsidRDefault="009A2C73" w:rsidP="003308BA">
      <w:pPr>
        <w:rPr>
          <w:rFonts w:cs="Arial"/>
          <w:sz w:val="22"/>
        </w:rPr>
      </w:pPr>
    </w:p>
    <w:p w14:paraId="27C83285" w14:textId="77777777" w:rsidR="009A2C73" w:rsidRPr="009827AC" w:rsidRDefault="009A2C73" w:rsidP="003308BA">
      <w:pPr>
        <w:rPr>
          <w:rFonts w:cs="Arial"/>
          <w:szCs w:val="24"/>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9A2C73" w:rsidRPr="009827AC" w14:paraId="50A6A6A3" w14:textId="77777777" w:rsidTr="009827AC">
        <w:trPr>
          <w:trHeight w:val="2967"/>
          <w:jc w:val="center"/>
        </w:trPr>
        <w:tc>
          <w:tcPr>
            <w:tcW w:w="10621" w:type="dxa"/>
            <w:tcBorders>
              <w:top w:val="single" w:sz="4" w:space="0" w:color="auto"/>
              <w:left w:val="single" w:sz="4" w:space="0" w:color="auto"/>
              <w:bottom w:val="single" w:sz="4" w:space="0" w:color="auto"/>
              <w:right w:val="single" w:sz="4" w:space="0" w:color="auto"/>
            </w:tcBorders>
          </w:tcPr>
          <w:p w14:paraId="2AC1DA56" w14:textId="77777777" w:rsidR="009A2C73" w:rsidRPr="009827AC" w:rsidRDefault="009A2C73" w:rsidP="00086D74">
            <w:pPr>
              <w:spacing w:before="120" w:line="256" w:lineRule="auto"/>
              <w:rPr>
                <w:rFonts w:cs="Arial"/>
                <w:b/>
                <w:color w:val="000000"/>
                <w:szCs w:val="24"/>
              </w:rPr>
            </w:pPr>
            <w:r w:rsidRPr="009827AC">
              <w:rPr>
                <w:rFonts w:cs="Arial"/>
                <w:b/>
                <w:color w:val="000000"/>
                <w:szCs w:val="24"/>
              </w:rPr>
              <w:t xml:space="preserve">Section 185B Definitions </w:t>
            </w:r>
          </w:p>
          <w:p w14:paraId="69E1CC63" w14:textId="77777777" w:rsidR="009A2C73" w:rsidRPr="009827AC" w:rsidRDefault="009A2C73" w:rsidP="00086D74">
            <w:pPr>
              <w:pStyle w:val="ListParagraph"/>
              <w:numPr>
                <w:ilvl w:val="0"/>
                <w:numId w:val="13"/>
              </w:numPr>
              <w:spacing w:before="120" w:line="260" w:lineRule="atLeast"/>
              <w:contextualSpacing w:val="0"/>
              <w:rPr>
                <w:rFonts w:cs="Arial"/>
                <w:color w:val="000000"/>
                <w:szCs w:val="24"/>
              </w:rPr>
            </w:pPr>
            <w:r w:rsidRPr="009827AC">
              <w:rPr>
                <w:rFonts w:cs="Arial"/>
                <w:color w:val="000000"/>
                <w:szCs w:val="24"/>
              </w:rPr>
              <w:t xml:space="preserve">In this Part – </w:t>
            </w:r>
          </w:p>
          <w:p w14:paraId="166AE62E" w14:textId="77777777" w:rsidR="009A2C73" w:rsidRPr="009827AC" w:rsidRDefault="009A2C73" w:rsidP="00086D74">
            <w:pPr>
              <w:spacing w:before="120" w:line="256" w:lineRule="auto"/>
              <w:ind w:left="689"/>
              <w:rPr>
                <w:rFonts w:cs="Arial"/>
                <w:bCs/>
                <w:iCs/>
                <w:color w:val="000000"/>
                <w:szCs w:val="24"/>
              </w:rPr>
            </w:pPr>
            <w:r w:rsidRPr="009827AC">
              <w:rPr>
                <w:rFonts w:cs="Arial"/>
                <w:b/>
                <w:i/>
                <w:color w:val="000000"/>
                <w:szCs w:val="24"/>
              </w:rPr>
              <w:t xml:space="preserve">premises at which abortions are provided </w:t>
            </w:r>
            <w:r w:rsidRPr="009827AC">
              <w:rPr>
                <w:rFonts w:cs="Arial"/>
                <w:bCs/>
                <w:iCs/>
                <w:color w:val="000000"/>
                <w:szCs w:val="24"/>
              </w:rPr>
              <w:t>does not include a pharmacy;</w:t>
            </w:r>
          </w:p>
          <w:p w14:paraId="1E0D41FD" w14:textId="77777777" w:rsidR="009A2C73" w:rsidRPr="009827AC" w:rsidRDefault="009A2C73" w:rsidP="00086D74">
            <w:pPr>
              <w:spacing w:before="120" w:line="256" w:lineRule="auto"/>
              <w:ind w:left="689"/>
              <w:rPr>
                <w:rFonts w:cs="Arial"/>
                <w:bCs/>
                <w:iCs/>
                <w:color w:val="000000"/>
                <w:szCs w:val="24"/>
              </w:rPr>
            </w:pPr>
            <w:r w:rsidRPr="009827AC">
              <w:rPr>
                <w:rFonts w:cs="Arial"/>
                <w:b/>
                <w:i/>
                <w:color w:val="000000"/>
                <w:szCs w:val="24"/>
              </w:rPr>
              <w:t xml:space="preserve">prohibited behaviour </w:t>
            </w:r>
            <w:r w:rsidRPr="009827AC">
              <w:rPr>
                <w:rFonts w:cs="Arial"/>
                <w:bCs/>
                <w:iCs/>
                <w:color w:val="000000"/>
                <w:szCs w:val="24"/>
              </w:rPr>
              <w:t xml:space="preserve">means – </w:t>
            </w:r>
          </w:p>
          <w:p w14:paraId="7DA94120" w14:textId="77777777" w:rsidR="009A2C73" w:rsidRPr="009827AC" w:rsidRDefault="009A2C73" w:rsidP="00A736A6">
            <w:pPr>
              <w:pStyle w:val="SectionNumberOnly"/>
              <w:numPr>
                <w:ilvl w:val="1"/>
                <w:numId w:val="10"/>
              </w:numPr>
              <w:spacing w:line="256" w:lineRule="auto"/>
              <w:rPr>
                <w:rFonts w:ascii="Arial" w:hAnsi="Arial" w:cs="Arial"/>
                <w:bCs/>
                <w:iCs/>
                <w:color w:val="auto"/>
                <w:sz w:val="24"/>
                <w:szCs w:val="24"/>
              </w:rPr>
            </w:pPr>
            <w:r w:rsidRPr="009827AC">
              <w:rPr>
                <w:rFonts w:ascii="Arial" w:hAnsi="Arial" w:cs="Arial"/>
                <w:color w:val="auto"/>
                <w:sz w:val="24"/>
                <w:szCs w:val="24"/>
              </w:rPr>
              <w:t>in relation to a person accessing, attempting to access, or leaving premises at which abortions are provided, besetting, harassing, intimidating, interfering with, threatening, hindering, obstructing or impeding that person by any means; or</w:t>
            </w:r>
          </w:p>
          <w:p w14:paraId="61346DFF" w14:textId="77777777" w:rsidR="009A2C73" w:rsidRPr="009827AC" w:rsidRDefault="009A2C73" w:rsidP="00A736A6">
            <w:pPr>
              <w:pStyle w:val="SectionNumberOnly"/>
              <w:numPr>
                <w:ilvl w:val="1"/>
                <w:numId w:val="10"/>
              </w:numPr>
              <w:spacing w:line="256" w:lineRule="auto"/>
              <w:rPr>
                <w:rFonts w:ascii="Arial" w:hAnsi="Arial" w:cs="Arial"/>
                <w:bCs/>
                <w:iCs/>
                <w:color w:val="auto"/>
                <w:sz w:val="24"/>
                <w:szCs w:val="24"/>
              </w:rPr>
            </w:pPr>
            <w:r w:rsidRPr="009827AC">
              <w:rPr>
                <w:rFonts w:ascii="Arial" w:hAnsi="Arial" w:cs="Arial"/>
                <w:color w:val="auto"/>
                <w:sz w:val="24"/>
                <w:szCs w:val="24"/>
              </w:rPr>
              <w:t>subject to subsection (2), communicating by any means in relation to abortions in a manner that is able to be seen or heard by a person accessing, attempting to access, or leaving premises at which abortions are provided and is reasonably likely to cause distress or anxiety; or</w:t>
            </w:r>
          </w:p>
          <w:p w14:paraId="336CB5C4" w14:textId="77777777" w:rsidR="009A2C73" w:rsidRPr="009827AC" w:rsidRDefault="009A2C73" w:rsidP="00A736A6">
            <w:pPr>
              <w:pStyle w:val="SectionNumberOnly"/>
              <w:numPr>
                <w:ilvl w:val="1"/>
                <w:numId w:val="10"/>
              </w:numPr>
              <w:spacing w:line="256" w:lineRule="auto"/>
              <w:rPr>
                <w:rFonts w:ascii="Arial" w:hAnsi="Arial" w:cs="Arial"/>
                <w:bCs/>
                <w:iCs/>
                <w:color w:val="auto"/>
                <w:sz w:val="24"/>
                <w:szCs w:val="24"/>
              </w:rPr>
            </w:pPr>
            <w:r w:rsidRPr="009827AC">
              <w:rPr>
                <w:rFonts w:ascii="Arial" w:hAnsi="Arial" w:cs="Arial"/>
                <w:color w:val="auto"/>
                <w:sz w:val="24"/>
                <w:szCs w:val="24"/>
              </w:rPr>
              <w:lastRenderedPageBreak/>
              <w:t>interfering with or impeding a footpath road or vehicle, without reasonable excuse, in relation to premises at which abortions are provided; or</w:t>
            </w:r>
          </w:p>
          <w:p w14:paraId="6C85E9C8" w14:textId="77777777" w:rsidR="009A2C73" w:rsidRPr="009827AC" w:rsidRDefault="009A2C73" w:rsidP="00A736A6">
            <w:pPr>
              <w:pStyle w:val="SectionNumberOnly"/>
              <w:numPr>
                <w:ilvl w:val="1"/>
                <w:numId w:val="10"/>
              </w:numPr>
              <w:spacing w:line="256" w:lineRule="auto"/>
              <w:rPr>
                <w:rFonts w:ascii="Arial" w:hAnsi="Arial" w:cs="Arial"/>
                <w:bCs/>
                <w:iCs/>
                <w:color w:val="auto"/>
                <w:sz w:val="24"/>
                <w:szCs w:val="24"/>
              </w:rPr>
            </w:pPr>
            <w:r w:rsidRPr="009827AC">
              <w:rPr>
                <w:rFonts w:ascii="Arial" w:hAnsi="Arial" w:cs="Arial"/>
                <w:color w:val="auto"/>
                <w:sz w:val="24"/>
                <w:szCs w:val="24"/>
              </w:rPr>
              <w:t>intentionally recording by any means, without reasonable excuse, another person accessing, attempting to access, or leaving premises at which abortions are provided, without that other person’s consent; or</w:t>
            </w:r>
          </w:p>
          <w:p w14:paraId="686685BB" w14:textId="77777777" w:rsidR="009A2C73" w:rsidRPr="009827AC" w:rsidRDefault="009A2C73" w:rsidP="00A736A6">
            <w:pPr>
              <w:pStyle w:val="SectionNumberOnly"/>
              <w:numPr>
                <w:ilvl w:val="1"/>
                <w:numId w:val="10"/>
              </w:numPr>
              <w:spacing w:line="256" w:lineRule="auto"/>
              <w:rPr>
                <w:rFonts w:ascii="Arial" w:hAnsi="Arial" w:cs="Arial"/>
                <w:bCs/>
                <w:iCs/>
                <w:color w:val="auto"/>
                <w:sz w:val="24"/>
                <w:szCs w:val="24"/>
              </w:rPr>
            </w:pPr>
            <w:r w:rsidRPr="009827AC">
              <w:rPr>
                <w:rFonts w:ascii="Arial" w:hAnsi="Arial" w:cs="Arial"/>
                <w:color w:val="auto"/>
                <w:sz w:val="24"/>
                <w:szCs w:val="24"/>
              </w:rPr>
              <w:t xml:space="preserve">any other prescribed behaviour; </w:t>
            </w:r>
          </w:p>
          <w:p w14:paraId="40253C50" w14:textId="77777777" w:rsidR="009A2C73" w:rsidRPr="009827AC" w:rsidRDefault="009A2C73" w:rsidP="003308BA">
            <w:pPr>
              <w:spacing w:before="120" w:line="256" w:lineRule="auto"/>
              <w:ind w:left="720"/>
              <w:rPr>
                <w:rFonts w:cs="Arial"/>
                <w:color w:val="000000"/>
                <w:szCs w:val="24"/>
              </w:rPr>
            </w:pPr>
            <w:r w:rsidRPr="009827AC">
              <w:rPr>
                <w:rFonts w:cs="Arial"/>
                <w:b/>
                <w:i/>
                <w:color w:val="000000"/>
                <w:szCs w:val="24"/>
              </w:rPr>
              <w:t>safe access zone</w:t>
            </w:r>
            <w:r w:rsidRPr="009827AC">
              <w:rPr>
                <w:rFonts w:cs="Arial"/>
                <w:color w:val="000000"/>
                <w:szCs w:val="24"/>
              </w:rPr>
              <w:t xml:space="preserve"> means an area within a radius of 150 metres from premises at which abortions are provided </w:t>
            </w:r>
          </w:p>
          <w:p w14:paraId="6F8799AF" w14:textId="77777777" w:rsidR="009A2C73" w:rsidRPr="009827AC" w:rsidRDefault="009A2C73" w:rsidP="00A736A6">
            <w:pPr>
              <w:pStyle w:val="ListParagraph"/>
              <w:numPr>
                <w:ilvl w:val="0"/>
                <w:numId w:val="13"/>
              </w:numPr>
              <w:spacing w:before="120" w:line="260" w:lineRule="atLeast"/>
              <w:contextualSpacing w:val="0"/>
              <w:rPr>
                <w:rFonts w:cs="Arial"/>
                <w:color w:val="000000"/>
                <w:szCs w:val="24"/>
              </w:rPr>
            </w:pPr>
            <w:r w:rsidRPr="009827AC">
              <w:rPr>
                <w:rFonts w:cs="Arial"/>
                <w:color w:val="000000"/>
                <w:szCs w:val="24"/>
              </w:rPr>
              <w:t xml:space="preserve">Paragraph (b) of the definition of prohibited behaviour does not apply to an employee or other person who provides services at premises at which abortion services are provided. </w:t>
            </w:r>
          </w:p>
          <w:p w14:paraId="401FB97F" w14:textId="77777777" w:rsidR="009A2C73" w:rsidRPr="009827AC" w:rsidRDefault="009A2C73" w:rsidP="003308BA">
            <w:pPr>
              <w:spacing w:line="256" w:lineRule="auto"/>
              <w:rPr>
                <w:rFonts w:cs="Arial"/>
                <w:color w:val="000000"/>
                <w:szCs w:val="24"/>
              </w:rPr>
            </w:pPr>
          </w:p>
          <w:p w14:paraId="7DD5390A" w14:textId="1AF05A80" w:rsidR="009A2C73" w:rsidRPr="00086D74" w:rsidRDefault="009A2C73" w:rsidP="00086D74">
            <w:pPr>
              <w:spacing w:line="256" w:lineRule="auto"/>
              <w:rPr>
                <w:rFonts w:cs="Arial"/>
                <w:b/>
                <w:bCs/>
                <w:szCs w:val="24"/>
              </w:rPr>
            </w:pPr>
            <w:r w:rsidRPr="009827AC">
              <w:rPr>
                <w:rFonts w:cs="Arial"/>
                <w:b/>
                <w:bCs/>
                <w:szCs w:val="24"/>
              </w:rPr>
              <w:t>Section 185D Prohibited behaviour</w:t>
            </w:r>
          </w:p>
          <w:p w14:paraId="53BB93A5" w14:textId="3B3C7F67" w:rsidR="009A2C73" w:rsidRPr="009827AC" w:rsidRDefault="009A2C73" w:rsidP="00086D74">
            <w:pPr>
              <w:spacing w:line="256" w:lineRule="auto"/>
              <w:ind w:left="720"/>
              <w:rPr>
                <w:rFonts w:cs="Arial"/>
                <w:szCs w:val="24"/>
              </w:rPr>
            </w:pPr>
            <w:r w:rsidRPr="009827AC">
              <w:rPr>
                <w:rFonts w:cs="Arial"/>
                <w:bCs/>
                <w:szCs w:val="24"/>
              </w:rPr>
              <w:t xml:space="preserve">A person </w:t>
            </w:r>
            <w:r w:rsidRPr="009827AC">
              <w:rPr>
                <w:rFonts w:cs="Arial"/>
                <w:szCs w:val="24"/>
              </w:rPr>
              <w:t xml:space="preserve">must not engage in prohibited behaviour within a safe access zone. </w:t>
            </w:r>
          </w:p>
          <w:p w14:paraId="5E1C051E" w14:textId="77777777" w:rsidR="009A2C73" w:rsidRPr="009827AC" w:rsidRDefault="009A2C73" w:rsidP="003308BA">
            <w:pPr>
              <w:spacing w:line="256" w:lineRule="auto"/>
              <w:ind w:left="720"/>
              <w:rPr>
                <w:rFonts w:cs="Arial"/>
                <w:szCs w:val="24"/>
              </w:rPr>
            </w:pPr>
            <w:r w:rsidRPr="009827AC">
              <w:rPr>
                <w:rFonts w:cs="Arial"/>
                <w:szCs w:val="24"/>
              </w:rPr>
              <w:t xml:space="preserve">Penalty: 120 penalty units or imprisonment for a term not exceeding 12 months. </w:t>
            </w:r>
          </w:p>
          <w:p w14:paraId="73FD4A7A" w14:textId="77777777" w:rsidR="009A2C73" w:rsidRPr="009827AC" w:rsidRDefault="009A2C73" w:rsidP="003308BA">
            <w:pPr>
              <w:spacing w:line="256" w:lineRule="auto"/>
              <w:rPr>
                <w:rFonts w:cs="Arial"/>
                <w:szCs w:val="24"/>
              </w:rPr>
            </w:pPr>
          </w:p>
          <w:p w14:paraId="62A09D90" w14:textId="11CCB04D" w:rsidR="009A2C73" w:rsidRPr="009827AC" w:rsidRDefault="009A2C73" w:rsidP="003308BA">
            <w:pPr>
              <w:spacing w:line="256" w:lineRule="auto"/>
              <w:rPr>
                <w:rFonts w:cs="Arial"/>
                <w:b/>
                <w:bCs/>
                <w:szCs w:val="24"/>
              </w:rPr>
            </w:pPr>
            <w:r w:rsidRPr="009827AC">
              <w:rPr>
                <w:rFonts w:cs="Arial"/>
                <w:b/>
                <w:bCs/>
                <w:szCs w:val="24"/>
              </w:rPr>
              <w:t xml:space="preserve">Section 185E Offence to publish or distribute recording </w:t>
            </w:r>
          </w:p>
          <w:p w14:paraId="46C97CC5" w14:textId="77777777" w:rsidR="009A2C73" w:rsidRPr="009827AC" w:rsidRDefault="009A2C73" w:rsidP="003308BA">
            <w:pPr>
              <w:spacing w:line="256" w:lineRule="auto"/>
              <w:ind w:left="720"/>
              <w:rPr>
                <w:rFonts w:cs="Arial"/>
                <w:szCs w:val="24"/>
              </w:rPr>
            </w:pPr>
            <w:r w:rsidRPr="009827AC">
              <w:rPr>
                <w:rFonts w:cs="Arial"/>
                <w:szCs w:val="24"/>
              </w:rPr>
              <w:t xml:space="preserve">A person must not without consent of the other person or without reasonable excuse publish or distribute a recording of a person accessing, attempting to access, or leaving premises at which abortions are provided, if the recording contains particulars likely to lead to the identification of – </w:t>
            </w:r>
          </w:p>
          <w:p w14:paraId="3AC47B24" w14:textId="77777777" w:rsidR="009A2C73" w:rsidRPr="009827AC" w:rsidRDefault="009A2C73" w:rsidP="00A736A6">
            <w:pPr>
              <w:pStyle w:val="TableNumber2"/>
              <w:numPr>
                <w:ilvl w:val="1"/>
                <w:numId w:val="7"/>
              </w:numPr>
              <w:tabs>
                <w:tab w:val="left" w:pos="720"/>
              </w:tabs>
              <w:spacing w:line="256" w:lineRule="auto"/>
              <w:rPr>
                <w:rFonts w:ascii="Arial" w:hAnsi="Arial" w:cs="Arial"/>
                <w:sz w:val="24"/>
                <w:szCs w:val="24"/>
              </w:rPr>
            </w:pPr>
            <w:r w:rsidRPr="009827AC">
              <w:rPr>
                <w:rFonts w:ascii="Arial" w:hAnsi="Arial" w:cs="Arial"/>
                <w:sz w:val="24"/>
                <w:szCs w:val="24"/>
              </w:rPr>
              <w:t>That other person; and</w:t>
            </w:r>
          </w:p>
          <w:p w14:paraId="1EB4EB4C" w14:textId="77777777" w:rsidR="009A2C73" w:rsidRPr="009827AC" w:rsidRDefault="009A2C73" w:rsidP="00A736A6">
            <w:pPr>
              <w:pStyle w:val="TableNumber2"/>
              <w:numPr>
                <w:ilvl w:val="1"/>
                <w:numId w:val="7"/>
              </w:numPr>
              <w:tabs>
                <w:tab w:val="left" w:pos="720"/>
              </w:tabs>
              <w:spacing w:line="256" w:lineRule="auto"/>
              <w:rPr>
                <w:rFonts w:ascii="Arial" w:hAnsi="Arial" w:cs="Arial"/>
                <w:sz w:val="24"/>
                <w:szCs w:val="24"/>
              </w:rPr>
            </w:pPr>
            <w:r w:rsidRPr="009827AC">
              <w:rPr>
                <w:rFonts w:ascii="Arial" w:hAnsi="Arial" w:cs="Arial"/>
                <w:sz w:val="24"/>
                <w:szCs w:val="24"/>
              </w:rPr>
              <w:t xml:space="preserve">That other person as a person accessing premises at which abortions are provided. </w:t>
            </w:r>
          </w:p>
          <w:p w14:paraId="1DB38692" w14:textId="77777777" w:rsidR="009A2C73" w:rsidRPr="009827AC" w:rsidRDefault="009A2C73" w:rsidP="003308BA">
            <w:pPr>
              <w:pStyle w:val="TableNumber2"/>
              <w:numPr>
                <w:ilvl w:val="0"/>
                <w:numId w:val="0"/>
              </w:numPr>
              <w:tabs>
                <w:tab w:val="left" w:pos="720"/>
              </w:tabs>
              <w:spacing w:line="256" w:lineRule="auto"/>
              <w:rPr>
                <w:rFonts w:ascii="Arial" w:hAnsi="Arial" w:cs="Arial"/>
                <w:sz w:val="24"/>
                <w:szCs w:val="24"/>
              </w:rPr>
            </w:pPr>
          </w:p>
          <w:p w14:paraId="0B3E5F37" w14:textId="77777777" w:rsidR="009A2C73" w:rsidRPr="009827AC" w:rsidRDefault="009A2C73" w:rsidP="003308BA">
            <w:pPr>
              <w:spacing w:before="120" w:line="256" w:lineRule="auto"/>
              <w:ind w:left="720"/>
              <w:rPr>
                <w:rFonts w:cs="Arial"/>
                <w:szCs w:val="24"/>
              </w:rPr>
            </w:pPr>
            <w:r w:rsidRPr="009827AC">
              <w:rPr>
                <w:rFonts w:cs="Arial"/>
                <w:szCs w:val="24"/>
              </w:rPr>
              <w:t xml:space="preserve">Penalty: 120 penalty units or imprisonment for a term not exceeding 12 months. </w:t>
            </w:r>
          </w:p>
          <w:p w14:paraId="72D78217" w14:textId="77777777" w:rsidR="009A2C73" w:rsidRPr="009827AC" w:rsidRDefault="009A2C73" w:rsidP="003308BA">
            <w:pPr>
              <w:spacing w:before="120" w:line="256" w:lineRule="auto"/>
              <w:ind w:left="720"/>
              <w:rPr>
                <w:rFonts w:cs="Arial"/>
                <w:b/>
                <w:color w:val="000000"/>
                <w:szCs w:val="24"/>
              </w:rPr>
            </w:pPr>
          </w:p>
        </w:tc>
      </w:tr>
    </w:tbl>
    <w:p w14:paraId="2453A5D7" w14:textId="77777777" w:rsidR="009A2C73" w:rsidRPr="009827AC" w:rsidRDefault="009A2C73" w:rsidP="003308BA">
      <w:pPr>
        <w:rPr>
          <w:rFonts w:cs="Arial"/>
          <w:szCs w:val="24"/>
        </w:rPr>
      </w:pPr>
    </w:p>
    <w:p w14:paraId="380DEECA" w14:textId="77777777" w:rsidR="009A2C73" w:rsidRPr="009827AC" w:rsidRDefault="009A2C73" w:rsidP="003308BA">
      <w:pPr>
        <w:rPr>
          <w:rFonts w:cs="Arial"/>
          <w:szCs w:val="24"/>
        </w:rPr>
      </w:pPr>
      <w:r w:rsidRPr="009827AC">
        <w:rPr>
          <w:rFonts w:cs="Arial"/>
          <w:szCs w:val="24"/>
        </w:rPr>
        <w:t xml:space="preserve">In 2016, the </w:t>
      </w:r>
      <w:r w:rsidRPr="009827AC">
        <w:rPr>
          <w:rFonts w:cs="Arial"/>
          <w:i/>
          <w:iCs/>
          <w:szCs w:val="24"/>
        </w:rPr>
        <w:t xml:space="preserve">Public Health and Wellbeing Act 2008 </w:t>
      </w:r>
      <w:r w:rsidRPr="009827AC">
        <w:rPr>
          <w:rFonts w:cs="Arial"/>
          <w:szCs w:val="24"/>
        </w:rPr>
        <w:t xml:space="preserve">(Vic) was amended by the </w:t>
      </w:r>
      <w:r w:rsidRPr="009827AC">
        <w:rPr>
          <w:rFonts w:cs="Arial"/>
          <w:i/>
          <w:iCs/>
          <w:szCs w:val="24"/>
        </w:rPr>
        <w:t xml:space="preserve">Public Health and Wellbeing Amendment (Safe Access Zones) Act 2015 </w:t>
      </w:r>
      <w:r w:rsidRPr="009827AC">
        <w:rPr>
          <w:rFonts w:cs="Arial"/>
          <w:szCs w:val="24"/>
        </w:rPr>
        <w:t>(Vic) to include Part 9A which introduced safe access zones in the state.</w:t>
      </w:r>
    </w:p>
    <w:p w14:paraId="098E9261" w14:textId="77777777" w:rsidR="009A2C73" w:rsidRPr="009827AC" w:rsidRDefault="009A2C73" w:rsidP="003308BA">
      <w:pPr>
        <w:rPr>
          <w:rFonts w:cs="Arial"/>
          <w:szCs w:val="24"/>
        </w:rPr>
      </w:pPr>
    </w:p>
    <w:p w14:paraId="7632A8D5" w14:textId="77777777" w:rsidR="00086D74" w:rsidRDefault="00086D74" w:rsidP="003308BA">
      <w:pPr>
        <w:rPr>
          <w:rFonts w:cs="Arial"/>
          <w:szCs w:val="24"/>
        </w:rPr>
      </w:pPr>
    </w:p>
    <w:p w14:paraId="2DA3953A" w14:textId="77777777" w:rsidR="00086D74" w:rsidRDefault="00086D74" w:rsidP="003308BA">
      <w:pPr>
        <w:rPr>
          <w:rFonts w:cs="Arial"/>
          <w:szCs w:val="24"/>
        </w:rPr>
      </w:pPr>
    </w:p>
    <w:p w14:paraId="3D92424B" w14:textId="1083DC35" w:rsidR="009A2C73" w:rsidRPr="009827AC" w:rsidRDefault="009A2C73" w:rsidP="003308BA">
      <w:pPr>
        <w:rPr>
          <w:rFonts w:cs="Arial"/>
          <w:szCs w:val="24"/>
        </w:rPr>
      </w:pPr>
      <w:r w:rsidRPr="009827AC">
        <w:rPr>
          <w:rFonts w:cs="Arial"/>
          <w:szCs w:val="24"/>
        </w:rPr>
        <w:lastRenderedPageBreak/>
        <w:t>In Victoria, safe access zone is defined as an ‘</w:t>
      </w:r>
      <w:r w:rsidRPr="009827AC">
        <w:rPr>
          <w:rFonts w:cs="Arial"/>
          <w:color w:val="000000"/>
          <w:szCs w:val="24"/>
        </w:rPr>
        <w:t>area within a radius of 150 metres from premises at which abortions are provided’.</w:t>
      </w:r>
      <w:r w:rsidRPr="009827AC">
        <w:rPr>
          <w:rStyle w:val="FootnoteReference"/>
          <w:rFonts w:cs="Arial"/>
          <w:color w:val="000000"/>
          <w:szCs w:val="24"/>
        </w:rPr>
        <w:footnoteReference w:id="12"/>
      </w:r>
      <w:r w:rsidRPr="009827AC">
        <w:rPr>
          <w:rFonts w:cs="Arial"/>
          <w:color w:val="000000"/>
          <w:szCs w:val="24"/>
        </w:rPr>
        <w:t> </w:t>
      </w:r>
      <w:r w:rsidRPr="009827AC">
        <w:rPr>
          <w:rFonts w:cs="Arial"/>
          <w:szCs w:val="24"/>
        </w:rPr>
        <w:t xml:space="preserve"> Pharmacies are not included in premises at which abortions are provided.</w:t>
      </w:r>
      <w:r w:rsidRPr="009827AC">
        <w:rPr>
          <w:rStyle w:val="FootnoteReference"/>
          <w:rFonts w:cs="Arial"/>
          <w:szCs w:val="24"/>
        </w:rPr>
        <w:footnoteReference w:id="13"/>
      </w:r>
      <w:r w:rsidRPr="009827AC">
        <w:rPr>
          <w:rFonts w:cs="Arial"/>
          <w:szCs w:val="24"/>
        </w:rPr>
        <w:t xml:space="preserve"> The Victorian government explains how the 150 metre radius is measured as follows:</w:t>
      </w:r>
    </w:p>
    <w:p w14:paraId="2F0613C9" w14:textId="77777777" w:rsidR="009A2C73" w:rsidRPr="009827AC" w:rsidRDefault="009A2C73" w:rsidP="003308BA">
      <w:pPr>
        <w:ind w:left="720"/>
        <w:rPr>
          <w:rFonts w:cs="Arial"/>
          <w:szCs w:val="24"/>
        </w:rPr>
      </w:pPr>
      <w:r w:rsidRPr="009827AC">
        <w:rPr>
          <w:rFonts w:cs="Arial"/>
          <w:szCs w:val="24"/>
        </w:rPr>
        <w:t>The 150 metre safe access zone will be measured from the perimeter of the land where the premises providing abortions is situated. This is the case even if the health service has more than one building on the land where it is situated. For a clinic in a shopping centre or similar multi-use complex, the 150 metre safe access zone is measured from the boundary of the clinic land—rather than being measured from the perimeter of the entire complex.</w:t>
      </w:r>
      <w:r w:rsidRPr="009827AC">
        <w:rPr>
          <w:rStyle w:val="FootnoteReference"/>
          <w:rFonts w:cs="Arial"/>
          <w:szCs w:val="24"/>
        </w:rPr>
        <w:footnoteReference w:id="14"/>
      </w:r>
    </w:p>
    <w:p w14:paraId="1731C603" w14:textId="77777777" w:rsidR="009A2C73" w:rsidRPr="009827AC" w:rsidRDefault="009A2C73" w:rsidP="003308BA">
      <w:pPr>
        <w:ind w:left="720"/>
        <w:rPr>
          <w:rFonts w:cs="Arial"/>
          <w:szCs w:val="24"/>
        </w:rPr>
      </w:pPr>
    </w:p>
    <w:p w14:paraId="6B861935" w14:textId="77777777" w:rsidR="009A2C73" w:rsidRPr="009827AC" w:rsidRDefault="009A2C73" w:rsidP="003308BA">
      <w:pPr>
        <w:rPr>
          <w:rFonts w:cs="Arial"/>
          <w:szCs w:val="24"/>
        </w:rPr>
      </w:pPr>
      <w:r w:rsidRPr="009827AC">
        <w:rPr>
          <w:rFonts w:cs="Arial"/>
          <w:szCs w:val="24"/>
        </w:rPr>
        <w:t>The legislation in Victoria makes it an offence to engage in certain behaviours in a safe access zone.</w:t>
      </w:r>
      <w:r w:rsidRPr="009827AC">
        <w:rPr>
          <w:rStyle w:val="FootnoteReference"/>
          <w:rFonts w:cs="Arial"/>
          <w:szCs w:val="24"/>
        </w:rPr>
        <w:footnoteReference w:id="15"/>
      </w:r>
      <w:r w:rsidRPr="009827AC">
        <w:rPr>
          <w:rFonts w:cs="Arial"/>
          <w:szCs w:val="24"/>
        </w:rPr>
        <w:t xml:space="preserve"> This prohibited behaviour includes:</w:t>
      </w:r>
    </w:p>
    <w:p w14:paraId="12820855" w14:textId="77777777" w:rsidR="009A2C73" w:rsidRPr="009827AC" w:rsidRDefault="009A2C73" w:rsidP="003308BA">
      <w:pPr>
        <w:rPr>
          <w:rFonts w:cs="Arial"/>
          <w:szCs w:val="24"/>
        </w:rPr>
      </w:pPr>
    </w:p>
    <w:p w14:paraId="218664F2" w14:textId="77777777" w:rsidR="009A2C73" w:rsidRPr="009827AC" w:rsidRDefault="009A2C73" w:rsidP="00A736A6">
      <w:pPr>
        <w:pStyle w:val="ListParagraph"/>
        <w:numPr>
          <w:ilvl w:val="0"/>
          <w:numId w:val="14"/>
        </w:numPr>
        <w:spacing w:after="0"/>
        <w:rPr>
          <w:rFonts w:cs="Arial"/>
          <w:szCs w:val="24"/>
        </w:rPr>
      </w:pPr>
      <w:r w:rsidRPr="009827AC">
        <w:rPr>
          <w:rFonts w:cs="Arial"/>
          <w:szCs w:val="24"/>
        </w:rPr>
        <w:t xml:space="preserve">in relation to a person accessing, attempting to access, or leaving premises at which abortions are provided, besetting, harassing, intimidating, interfering with, threatening, hindering, obstructing or impeding that person by any means; </w:t>
      </w:r>
    </w:p>
    <w:p w14:paraId="3BDB5701" w14:textId="77777777" w:rsidR="009A2C73" w:rsidRPr="009827AC" w:rsidRDefault="009A2C73" w:rsidP="00A736A6">
      <w:pPr>
        <w:pStyle w:val="ListParagraph"/>
        <w:numPr>
          <w:ilvl w:val="0"/>
          <w:numId w:val="14"/>
        </w:numPr>
        <w:spacing w:after="0"/>
        <w:rPr>
          <w:rFonts w:cs="Arial"/>
          <w:szCs w:val="24"/>
        </w:rPr>
      </w:pPr>
      <w:r w:rsidRPr="009827AC">
        <w:rPr>
          <w:rFonts w:cs="Arial"/>
          <w:szCs w:val="24"/>
        </w:rPr>
        <w:t>with the exception of employees or other person who provides services at the premises,</w:t>
      </w:r>
      <w:r w:rsidRPr="009827AC">
        <w:rPr>
          <w:rStyle w:val="FootnoteReference"/>
          <w:rFonts w:cs="Arial"/>
          <w:szCs w:val="24"/>
        </w:rPr>
        <w:footnoteReference w:id="16"/>
      </w:r>
      <w:r w:rsidRPr="009827AC">
        <w:rPr>
          <w:rFonts w:cs="Arial"/>
          <w:szCs w:val="24"/>
        </w:rPr>
        <w:t xml:space="preserve"> communicating by any means in relation to abortions in a manner that is able to be seen or heard by a person accessing, attempting to access, or leaving premises at which abortions are provided and is reasonably likely to cause distress or anxiety;</w:t>
      </w:r>
    </w:p>
    <w:p w14:paraId="68A598F4" w14:textId="77777777" w:rsidR="009A2C73" w:rsidRPr="009827AC" w:rsidRDefault="009A2C73" w:rsidP="00A736A6">
      <w:pPr>
        <w:pStyle w:val="ListParagraph"/>
        <w:numPr>
          <w:ilvl w:val="0"/>
          <w:numId w:val="14"/>
        </w:numPr>
        <w:spacing w:after="0"/>
        <w:rPr>
          <w:rFonts w:cs="Arial"/>
          <w:szCs w:val="24"/>
        </w:rPr>
      </w:pPr>
      <w:r w:rsidRPr="009827AC">
        <w:rPr>
          <w:rFonts w:cs="Arial"/>
          <w:szCs w:val="24"/>
        </w:rPr>
        <w:t>interfering with or impeding a footpath, road or vehicle, without reasonable excuse, in relation to premises at which abortions are provided;</w:t>
      </w:r>
    </w:p>
    <w:p w14:paraId="33E9AF71" w14:textId="77777777" w:rsidR="009A2C73" w:rsidRPr="009827AC" w:rsidRDefault="009A2C73" w:rsidP="00A736A6">
      <w:pPr>
        <w:pStyle w:val="ListParagraph"/>
        <w:numPr>
          <w:ilvl w:val="0"/>
          <w:numId w:val="14"/>
        </w:numPr>
        <w:spacing w:after="0"/>
        <w:rPr>
          <w:rFonts w:cs="Arial"/>
          <w:szCs w:val="24"/>
        </w:rPr>
      </w:pPr>
      <w:r w:rsidRPr="009827AC">
        <w:rPr>
          <w:rFonts w:cs="Arial"/>
          <w:szCs w:val="24"/>
        </w:rPr>
        <w:t>intentionally recording by any means, without reasonable excuse, another person accessing, attempting to access or leaving premises at which abortions are provided, without that other person’s consent;</w:t>
      </w:r>
    </w:p>
    <w:p w14:paraId="26FC63FC" w14:textId="77777777" w:rsidR="009A2C73" w:rsidRPr="009827AC" w:rsidRDefault="009A2C73" w:rsidP="00A736A6">
      <w:pPr>
        <w:pStyle w:val="ListParagraph"/>
        <w:numPr>
          <w:ilvl w:val="0"/>
          <w:numId w:val="14"/>
        </w:numPr>
        <w:spacing w:after="0"/>
        <w:rPr>
          <w:rFonts w:cs="Arial"/>
          <w:szCs w:val="24"/>
        </w:rPr>
      </w:pPr>
      <w:r w:rsidRPr="009827AC">
        <w:rPr>
          <w:rFonts w:cs="Arial"/>
          <w:szCs w:val="24"/>
        </w:rPr>
        <w:t>any other prescribed behaviour.</w:t>
      </w:r>
      <w:r w:rsidRPr="009827AC">
        <w:rPr>
          <w:rStyle w:val="FootnoteReference"/>
          <w:rFonts w:cs="Arial"/>
          <w:szCs w:val="24"/>
        </w:rPr>
        <w:t xml:space="preserve"> </w:t>
      </w:r>
      <w:r w:rsidRPr="009827AC">
        <w:rPr>
          <w:rStyle w:val="FootnoteReference"/>
          <w:rFonts w:cs="Arial"/>
          <w:szCs w:val="24"/>
        </w:rPr>
        <w:footnoteReference w:id="17"/>
      </w:r>
    </w:p>
    <w:p w14:paraId="3B947D89" w14:textId="77777777" w:rsidR="009A2C73" w:rsidRPr="009827AC" w:rsidRDefault="009A2C73" w:rsidP="003308BA">
      <w:pPr>
        <w:rPr>
          <w:rFonts w:cs="Arial"/>
          <w:szCs w:val="24"/>
        </w:rPr>
      </w:pPr>
    </w:p>
    <w:p w14:paraId="68211023" w14:textId="77777777" w:rsidR="00086D74" w:rsidRDefault="00086D74">
      <w:pPr>
        <w:spacing w:after="160" w:line="259" w:lineRule="auto"/>
        <w:rPr>
          <w:rFonts w:cs="Arial"/>
          <w:szCs w:val="24"/>
        </w:rPr>
      </w:pPr>
      <w:r>
        <w:rPr>
          <w:rFonts w:cs="Arial"/>
          <w:szCs w:val="24"/>
        </w:rPr>
        <w:br w:type="page"/>
      </w:r>
    </w:p>
    <w:p w14:paraId="4AA0B315" w14:textId="77A09FD8" w:rsidR="009A2C73" w:rsidRPr="009827AC" w:rsidRDefault="009A2C73" w:rsidP="003308BA">
      <w:pPr>
        <w:rPr>
          <w:rFonts w:cs="Arial"/>
          <w:szCs w:val="24"/>
        </w:rPr>
      </w:pPr>
      <w:r w:rsidRPr="009827AC">
        <w:rPr>
          <w:rFonts w:cs="Arial"/>
          <w:szCs w:val="24"/>
        </w:rPr>
        <w:lastRenderedPageBreak/>
        <w:t>It is also an offence to publish or distribute a recording. Under s 185E, a person must not, without the consent of the other person or without a reasonable excuse, publish or distribute a recording of a person accessing, attempting to access, or leaving premises at which abortions are provided, if the recording contains particulars likely to lead to the identification of that other person; and that other person as a person accessing the premises at which abortions are provided.</w:t>
      </w:r>
      <w:r w:rsidRPr="009827AC">
        <w:rPr>
          <w:rStyle w:val="FootnoteReference"/>
          <w:rFonts w:cs="Arial"/>
          <w:szCs w:val="24"/>
        </w:rPr>
        <w:footnoteReference w:id="18"/>
      </w:r>
    </w:p>
    <w:p w14:paraId="1202FCF5" w14:textId="77777777" w:rsidR="009A2C73" w:rsidRPr="009827AC" w:rsidRDefault="009A2C73" w:rsidP="003308BA">
      <w:pPr>
        <w:rPr>
          <w:rFonts w:cs="Arial"/>
          <w:szCs w:val="24"/>
        </w:rPr>
      </w:pPr>
    </w:p>
    <w:p w14:paraId="17AEEBB1" w14:textId="77777777" w:rsidR="009A2C73" w:rsidRPr="009827AC" w:rsidRDefault="009A2C73" w:rsidP="003308BA">
      <w:pPr>
        <w:rPr>
          <w:rFonts w:cs="Arial"/>
          <w:szCs w:val="24"/>
        </w:rPr>
      </w:pPr>
      <w:r w:rsidRPr="009827AC">
        <w:rPr>
          <w:rFonts w:cs="Arial"/>
          <w:szCs w:val="24"/>
        </w:rPr>
        <w:t xml:space="preserve">The safe access zone in Victoria operates 24 hours-a-day and seven days-a-week. </w:t>
      </w:r>
    </w:p>
    <w:p w14:paraId="2C94B0FB" w14:textId="77777777" w:rsidR="009A2C73" w:rsidRPr="009827AC" w:rsidRDefault="009A2C73" w:rsidP="003308BA">
      <w:pPr>
        <w:rPr>
          <w:rFonts w:cs="Arial"/>
          <w:szCs w:val="24"/>
        </w:rPr>
      </w:pPr>
    </w:p>
    <w:p w14:paraId="5F565231" w14:textId="77777777" w:rsidR="009A2C73" w:rsidRPr="009827AC" w:rsidRDefault="009A2C73" w:rsidP="003308BA">
      <w:pPr>
        <w:rPr>
          <w:rFonts w:cs="Arial"/>
          <w:szCs w:val="24"/>
        </w:rPr>
      </w:pPr>
      <w:r w:rsidRPr="009827AC">
        <w:rPr>
          <w:rFonts w:cs="Arial"/>
          <w:szCs w:val="24"/>
        </w:rPr>
        <w:t>The penalty for the offence of engaging in prohibited behaviour</w:t>
      </w:r>
      <w:r w:rsidRPr="009827AC">
        <w:rPr>
          <w:rStyle w:val="FootnoteReference"/>
          <w:rFonts w:cs="Arial"/>
          <w:szCs w:val="24"/>
        </w:rPr>
        <w:footnoteReference w:id="19"/>
      </w:r>
      <w:r w:rsidRPr="009827AC">
        <w:rPr>
          <w:rFonts w:cs="Arial"/>
          <w:szCs w:val="24"/>
        </w:rPr>
        <w:t xml:space="preserve"> or for publishing or distributing a recording</w:t>
      </w:r>
      <w:r w:rsidRPr="009827AC">
        <w:rPr>
          <w:rStyle w:val="FootnoteReference"/>
          <w:rFonts w:cs="Arial"/>
          <w:szCs w:val="24"/>
        </w:rPr>
        <w:footnoteReference w:id="20"/>
      </w:r>
      <w:r w:rsidRPr="009827AC">
        <w:rPr>
          <w:rFonts w:cs="Arial"/>
          <w:szCs w:val="24"/>
        </w:rPr>
        <w:t xml:space="preserve"> is a maximum fine of 120 penalty units or imprisonment for a term not exceeding 12 months.</w:t>
      </w:r>
    </w:p>
    <w:p w14:paraId="0D9C06CF" w14:textId="77777777" w:rsidR="009A2C73" w:rsidRPr="009A2C73" w:rsidRDefault="009A2C73" w:rsidP="003308BA">
      <w:pPr>
        <w:rPr>
          <w:rFonts w:cs="Arial"/>
          <w:sz w:val="22"/>
        </w:rPr>
      </w:pPr>
    </w:p>
    <w:p w14:paraId="35BDE0FB" w14:textId="7A6B8CB8" w:rsidR="009A2C73" w:rsidRPr="009A2C73" w:rsidRDefault="007254D1" w:rsidP="003308BA">
      <w:pPr>
        <w:pStyle w:val="Heading2"/>
      </w:pPr>
      <w:bookmarkStart w:id="59" w:name="_Toc47512452"/>
      <w:bookmarkStart w:id="60" w:name="_Toc47278194"/>
      <w:bookmarkStart w:id="61" w:name="_Toc49947629"/>
      <w:r>
        <w:t>4</w:t>
      </w:r>
      <w:r w:rsidR="009827AC">
        <w:t xml:space="preserve">.5 </w:t>
      </w:r>
      <w:r w:rsidR="009A2C73" w:rsidRPr="009A2C73">
        <w:t>Tasmania</w:t>
      </w:r>
      <w:bookmarkEnd w:id="59"/>
      <w:bookmarkEnd w:id="60"/>
      <w:bookmarkEnd w:id="61"/>
    </w:p>
    <w:tbl>
      <w:tblPr>
        <w:tblStyle w:val="TableMSA"/>
        <w:tblW w:w="0" w:type="dxa"/>
        <w:tblInd w:w="0" w:type="dxa"/>
        <w:tblLayout w:type="fixed"/>
        <w:tblLook w:val="04A0" w:firstRow="1" w:lastRow="0" w:firstColumn="1" w:lastColumn="0" w:noHBand="0" w:noVBand="1"/>
      </w:tblPr>
      <w:tblGrid>
        <w:gridCol w:w="2547"/>
        <w:gridCol w:w="7081"/>
      </w:tblGrid>
      <w:tr w:rsidR="009A2C73" w:rsidRPr="009A2C73" w14:paraId="7A67F403" w14:textId="77777777" w:rsidTr="009A2C73">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506CD659" w14:textId="77777777" w:rsidR="009A2C73" w:rsidRPr="009A2C73" w:rsidRDefault="009A2C73" w:rsidP="003308BA">
            <w:pPr>
              <w:spacing w:before="120"/>
              <w:rPr>
                <w:rFonts w:cs="Arial"/>
                <w:b/>
                <w:bCs/>
                <w:color w:val="000000"/>
                <w:szCs w:val="24"/>
              </w:rPr>
            </w:pPr>
            <w:r w:rsidRPr="009A2C73">
              <w:rPr>
                <w:rFonts w:cs="Arial"/>
                <w:b/>
                <w:bCs/>
                <w:color w:val="000000"/>
                <w:szCs w:val="24"/>
              </w:rPr>
              <w:t>Tasmania</w:t>
            </w:r>
          </w:p>
        </w:tc>
      </w:tr>
      <w:tr w:rsidR="009A2C73" w:rsidRPr="009A2C73" w14:paraId="4BCBB247" w14:textId="77777777" w:rsidTr="009A2C73">
        <w:tc>
          <w:tcPr>
            <w:tcW w:w="2547" w:type="dxa"/>
            <w:tcBorders>
              <w:top w:val="single" w:sz="4" w:space="0" w:color="5B9BD5" w:themeColor="accent1"/>
              <w:left w:val="nil"/>
              <w:bottom w:val="single" w:sz="4" w:space="0" w:color="5B9BD5" w:themeColor="accent1"/>
              <w:right w:val="nil"/>
            </w:tcBorders>
            <w:hideMark/>
          </w:tcPr>
          <w:p w14:paraId="01091593" w14:textId="77777777" w:rsidR="009A2C73" w:rsidRPr="009A2C73" w:rsidRDefault="009A2C73" w:rsidP="003308BA">
            <w:pPr>
              <w:spacing w:before="120"/>
              <w:rPr>
                <w:rFonts w:cs="Arial"/>
                <w:color w:val="000000"/>
                <w:szCs w:val="24"/>
              </w:rPr>
            </w:pPr>
            <w:r w:rsidRPr="009A2C73">
              <w:rPr>
                <w:rFonts w:cs="Arial"/>
                <w:color w:val="000000"/>
                <w:szCs w:val="24"/>
              </w:rPr>
              <w:t xml:space="preserve">Legislation </w:t>
            </w:r>
          </w:p>
        </w:tc>
        <w:tc>
          <w:tcPr>
            <w:tcW w:w="7081" w:type="dxa"/>
            <w:tcBorders>
              <w:top w:val="single" w:sz="4" w:space="0" w:color="5B9BD5" w:themeColor="accent1"/>
              <w:left w:val="nil"/>
              <w:bottom w:val="single" w:sz="4" w:space="0" w:color="5B9BD5" w:themeColor="accent1"/>
              <w:right w:val="nil"/>
            </w:tcBorders>
            <w:hideMark/>
          </w:tcPr>
          <w:p w14:paraId="548D4CE4" w14:textId="77777777" w:rsidR="009A2C73" w:rsidRPr="009A2C73" w:rsidRDefault="009A2C73" w:rsidP="003308BA">
            <w:pPr>
              <w:spacing w:before="120"/>
              <w:rPr>
                <w:rFonts w:cs="Arial"/>
                <w:color w:val="000000"/>
                <w:szCs w:val="24"/>
              </w:rPr>
            </w:pPr>
            <w:r w:rsidRPr="009A2C73">
              <w:rPr>
                <w:rFonts w:cs="Arial"/>
                <w:i/>
                <w:color w:val="000000"/>
                <w:szCs w:val="24"/>
              </w:rPr>
              <w:t>Reproductive Health (Access to Terminations) Act 2013</w:t>
            </w:r>
            <w:r w:rsidRPr="009A2C73">
              <w:rPr>
                <w:rFonts w:cs="Arial"/>
                <w:color w:val="000000"/>
                <w:szCs w:val="24"/>
              </w:rPr>
              <w:t xml:space="preserve"> (Tas) s 9</w:t>
            </w:r>
          </w:p>
        </w:tc>
      </w:tr>
      <w:tr w:rsidR="009A2C73" w:rsidRPr="009A2C73" w14:paraId="46C0DFDD" w14:textId="77777777" w:rsidTr="009A2C73">
        <w:tc>
          <w:tcPr>
            <w:tcW w:w="2547" w:type="dxa"/>
            <w:tcBorders>
              <w:top w:val="single" w:sz="4" w:space="0" w:color="5B9BD5" w:themeColor="accent1"/>
              <w:left w:val="nil"/>
              <w:bottom w:val="single" w:sz="4" w:space="0" w:color="5B9BD5" w:themeColor="accent1"/>
              <w:right w:val="nil"/>
            </w:tcBorders>
            <w:hideMark/>
          </w:tcPr>
          <w:p w14:paraId="60831EDD" w14:textId="77777777" w:rsidR="009A2C73" w:rsidRPr="009A2C73" w:rsidRDefault="009A2C73" w:rsidP="003308BA">
            <w:pPr>
              <w:spacing w:before="120"/>
              <w:rPr>
                <w:rFonts w:cs="Arial"/>
                <w:color w:val="000000"/>
                <w:szCs w:val="24"/>
              </w:rPr>
            </w:pPr>
            <w:r w:rsidRPr="009A2C73">
              <w:rPr>
                <w:rFonts w:cs="Arial"/>
                <w:color w:val="000000"/>
                <w:szCs w:val="24"/>
              </w:rPr>
              <w:t>Creation</w:t>
            </w:r>
          </w:p>
        </w:tc>
        <w:tc>
          <w:tcPr>
            <w:tcW w:w="7081" w:type="dxa"/>
            <w:tcBorders>
              <w:top w:val="single" w:sz="4" w:space="0" w:color="5B9BD5" w:themeColor="accent1"/>
              <w:left w:val="nil"/>
              <w:bottom w:val="single" w:sz="4" w:space="0" w:color="5B9BD5" w:themeColor="accent1"/>
              <w:right w:val="nil"/>
            </w:tcBorders>
            <w:hideMark/>
          </w:tcPr>
          <w:p w14:paraId="2143F2A8" w14:textId="77777777" w:rsidR="009A2C73" w:rsidRPr="009A2C73" w:rsidRDefault="009A2C73" w:rsidP="003308BA">
            <w:pPr>
              <w:spacing w:before="120"/>
              <w:rPr>
                <w:rFonts w:cs="Arial"/>
                <w:color w:val="000000"/>
                <w:szCs w:val="24"/>
              </w:rPr>
            </w:pPr>
            <w:r w:rsidRPr="009A2C73">
              <w:rPr>
                <w:rFonts w:cs="Arial"/>
                <w:color w:val="000000"/>
                <w:szCs w:val="24"/>
              </w:rPr>
              <w:t xml:space="preserve">Automatic – all premises at which terminations are provided; ministerial declaration not required. </w:t>
            </w:r>
          </w:p>
        </w:tc>
      </w:tr>
      <w:tr w:rsidR="009A2C73" w:rsidRPr="009A2C73" w14:paraId="03420A15" w14:textId="77777777" w:rsidTr="009A2C73">
        <w:tc>
          <w:tcPr>
            <w:tcW w:w="2547" w:type="dxa"/>
            <w:tcBorders>
              <w:top w:val="single" w:sz="4" w:space="0" w:color="5B9BD5" w:themeColor="accent1"/>
              <w:left w:val="nil"/>
              <w:bottom w:val="single" w:sz="4" w:space="0" w:color="5B9BD5" w:themeColor="accent1"/>
              <w:right w:val="nil"/>
            </w:tcBorders>
            <w:hideMark/>
          </w:tcPr>
          <w:p w14:paraId="7058EA0A" w14:textId="77777777" w:rsidR="009A2C73" w:rsidRPr="009A2C73" w:rsidRDefault="009A2C73" w:rsidP="003308BA">
            <w:pPr>
              <w:spacing w:before="120"/>
              <w:rPr>
                <w:rFonts w:cs="Arial"/>
                <w:color w:val="000000"/>
                <w:szCs w:val="24"/>
              </w:rPr>
            </w:pPr>
            <w:r w:rsidRPr="009A2C73">
              <w:rPr>
                <w:rFonts w:cs="Arial"/>
                <w:color w:val="000000"/>
                <w:szCs w:val="24"/>
              </w:rPr>
              <w:t>Size</w:t>
            </w:r>
          </w:p>
        </w:tc>
        <w:tc>
          <w:tcPr>
            <w:tcW w:w="7081" w:type="dxa"/>
            <w:tcBorders>
              <w:top w:val="single" w:sz="4" w:space="0" w:color="5B9BD5" w:themeColor="accent1"/>
              <w:left w:val="nil"/>
              <w:bottom w:val="single" w:sz="4" w:space="0" w:color="5B9BD5" w:themeColor="accent1"/>
              <w:right w:val="nil"/>
            </w:tcBorders>
            <w:hideMark/>
          </w:tcPr>
          <w:p w14:paraId="1E1769C9" w14:textId="77777777" w:rsidR="009A2C73" w:rsidRPr="009A2C73" w:rsidRDefault="009A2C73" w:rsidP="003308BA">
            <w:pPr>
              <w:spacing w:before="120"/>
              <w:rPr>
                <w:rFonts w:cs="Arial"/>
                <w:color w:val="000000"/>
                <w:szCs w:val="24"/>
              </w:rPr>
            </w:pPr>
            <w:r w:rsidRPr="009A2C73">
              <w:rPr>
                <w:rFonts w:cs="Arial"/>
                <w:color w:val="000000"/>
                <w:szCs w:val="24"/>
              </w:rPr>
              <w:t>150m</w:t>
            </w:r>
          </w:p>
        </w:tc>
      </w:tr>
      <w:tr w:rsidR="009A2C73" w:rsidRPr="009A2C73" w14:paraId="136D125F" w14:textId="77777777" w:rsidTr="009A2C73">
        <w:tc>
          <w:tcPr>
            <w:tcW w:w="2547" w:type="dxa"/>
            <w:tcBorders>
              <w:top w:val="single" w:sz="4" w:space="0" w:color="5B9BD5" w:themeColor="accent1"/>
              <w:left w:val="nil"/>
              <w:bottom w:val="single" w:sz="4" w:space="0" w:color="5B9BD5" w:themeColor="accent1"/>
              <w:right w:val="nil"/>
            </w:tcBorders>
            <w:hideMark/>
          </w:tcPr>
          <w:p w14:paraId="178974BD" w14:textId="77777777" w:rsidR="009A2C73" w:rsidRPr="009A2C73" w:rsidRDefault="009A2C73" w:rsidP="003308BA">
            <w:pPr>
              <w:spacing w:before="120"/>
              <w:rPr>
                <w:rFonts w:cs="Arial"/>
                <w:color w:val="000000"/>
                <w:szCs w:val="24"/>
              </w:rPr>
            </w:pPr>
            <w:r w:rsidRPr="009A2C73">
              <w:rPr>
                <w:rFonts w:cs="Arial"/>
                <w:color w:val="000000"/>
                <w:szCs w:val="24"/>
              </w:rPr>
              <w:t xml:space="preserve">Measured from </w:t>
            </w:r>
          </w:p>
        </w:tc>
        <w:tc>
          <w:tcPr>
            <w:tcW w:w="7081" w:type="dxa"/>
            <w:tcBorders>
              <w:top w:val="single" w:sz="4" w:space="0" w:color="5B9BD5" w:themeColor="accent1"/>
              <w:left w:val="nil"/>
              <w:bottom w:val="single" w:sz="4" w:space="0" w:color="5B9BD5" w:themeColor="accent1"/>
              <w:right w:val="nil"/>
            </w:tcBorders>
            <w:hideMark/>
          </w:tcPr>
          <w:p w14:paraId="0F50377B" w14:textId="77777777" w:rsidR="009A2C73" w:rsidRPr="009A2C73" w:rsidRDefault="009A2C73" w:rsidP="003308BA">
            <w:pPr>
              <w:spacing w:before="120"/>
              <w:rPr>
                <w:rFonts w:cs="Arial"/>
                <w:color w:val="000000"/>
                <w:szCs w:val="24"/>
              </w:rPr>
            </w:pPr>
            <w:r w:rsidRPr="009A2C73">
              <w:rPr>
                <w:rFonts w:cs="Arial"/>
                <w:color w:val="000000"/>
                <w:szCs w:val="24"/>
              </w:rPr>
              <w:t xml:space="preserve">“Premises” </w:t>
            </w:r>
          </w:p>
        </w:tc>
      </w:tr>
      <w:tr w:rsidR="009A2C73" w:rsidRPr="009A2C73" w14:paraId="0FF4B835" w14:textId="77777777" w:rsidTr="009A2C73">
        <w:tc>
          <w:tcPr>
            <w:tcW w:w="2547" w:type="dxa"/>
            <w:tcBorders>
              <w:top w:val="single" w:sz="4" w:space="0" w:color="5B9BD5" w:themeColor="accent1"/>
              <w:left w:val="nil"/>
              <w:bottom w:val="single" w:sz="4" w:space="0" w:color="5B9BD5" w:themeColor="accent1"/>
              <w:right w:val="nil"/>
            </w:tcBorders>
            <w:hideMark/>
          </w:tcPr>
          <w:p w14:paraId="5A669230" w14:textId="77777777" w:rsidR="009A2C73" w:rsidRPr="009A2C73" w:rsidRDefault="009A2C73" w:rsidP="003308BA">
            <w:pPr>
              <w:spacing w:before="120"/>
              <w:rPr>
                <w:rFonts w:cs="Arial"/>
                <w:color w:val="000000"/>
                <w:szCs w:val="24"/>
              </w:rPr>
            </w:pPr>
            <w:r w:rsidRPr="009A2C73">
              <w:rPr>
                <w:rFonts w:cs="Arial"/>
                <w:color w:val="000000"/>
                <w:szCs w:val="24"/>
              </w:rPr>
              <w:t>Hours of effect</w:t>
            </w:r>
          </w:p>
        </w:tc>
        <w:tc>
          <w:tcPr>
            <w:tcW w:w="7081" w:type="dxa"/>
            <w:tcBorders>
              <w:top w:val="single" w:sz="4" w:space="0" w:color="5B9BD5" w:themeColor="accent1"/>
              <w:left w:val="nil"/>
              <w:bottom w:val="single" w:sz="4" w:space="0" w:color="5B9BD5" w:themeColor="accent1"/>
              <w:right w:val="nil"/>
            </w:tcBorders>
            <w:hideMark/>
          </w:tcPr>
          <w:p w14:paraId="2C0326D0" w14:textId="77777777" w:rsidR="009A2C73" w:rsidRPr="009A2C73" w:rsidRDefault="009A2C73" w:rsidP="003308BA">
            <w:pPr>
              <w:spacing w:before="120"/>
              <w:rPr>
                <w:rFonts w:cs="Arial"/>
                <w:color w:val="000000"/>
                <w:szCs w:val="24"/>
              </w:rPr>
            </w:pPr>
            <w:r w:rsidRPr="009A2C73">
              <w:rPr>
                <w:rFonts w:cs="Arial"/>
                <w:color w:val="000000"/>
                <w:szCs w:val="24"/>
              </w:rPr>
              <w:t xml:space="preserve">Implied: when patients/staff are present </w:t>
            </w:r>
          </w:p>
        </w:tc>
      </w:tr>
      <w:tr w:rsidR="009A2C73" w:rsidRPr="009A2C73" w14:paraId="1C475032" w14:textId="77777777" w:rsidTr="009A2C73">
        <w:tc>
          <w:tcPr>
            <w:tcW w:w="2547" w:type="dxa"/>
            <w:tcBorders>
              <w:top w:val="single" w:sz="4" w:space="0" w:color="5B9BD5" w:themeColor="accent1"/>
              <w:left w:val="nil"/>
              <w:bottom w:val="single" w:sz="18" w:space="0" w:color="5B9BD5" w:themeColor="accent1"/>
              <w:right w:val="nil"/>
            </w:tcBorders>
            <w:hideMark/>
          </w:tcPr>
          <w:p w14:paraId="3A4B7709" w14:textId="77777777" w:rsidR="009A2C73" w:rsidRPr="009A2C73" w:rsidRDefault="009A2C73" w:rsidP="003308BA">
            <w:pPr>
              <w:spacing w:before="120"/>
              <w:rPr>
                <w:rFonts w:cs="Arial"/>
                <w:color w:val="000000"/>
                <w:szCs w:val="24"/>
              </w:rPr>
            </w:pPr>
            <w:r w:rsidRPr="009A2C73">
              <w:rPr>
                <w:rFonts w:cs="Arial"/>
                <w:color w:val="000000"/>
                <w:szCs w:val="24"/>
              </w:rPr>
              <w:t xml:space="preserve">Prohibited Behaviours </w:t>
            </w:r>
          </w:p>
        </w:tc>
        <w:tc>
          <w:tcPr>
            <w:tcW w:w="7081" w:type="dxa"/>
            <w:tcBorders>
              <w:top w:val="single" w:sz="4" w:space="0" w:color="5B9BD5" w:themeColor="accent1"/>
              <w:left w:val="nil"/>
              <w:bottom w:val="single" w:sz="18" w:space="0" w:color="5B9BD5" w:themeColor="accent1"/>
              <w:right w:val="nil"/>
            </w:tcBorders>
            <w:hideMark/>
          </w:tcPr>
          <w:p w14:paraId="7C226D6E" w14:textId="77777777" w:rsidR="009A2C73" w:rsidRPr="009A2C73" w:rsidRDefault="009A2C73" w:rsidP="003308BA">
            <w:pPr>
              <w:spacing w:before="120"/>
              <w:rPr>
                <w:rFonts w:cs="Arial"/>
                <w:color w:val="000000"/>
                <w:szCs w:val="24"/>
              </w:rPr>
            </w:pPr>
            <w:r w:rsidRPr="009A2C73">
              <w:rPr>
                <w:rFonts w:cs="Arial"/>
                <w:color w:val="000000"/>
                <w:szCs w:val="24"/>
              </w:rPr>
              <w:t xml:space="preserve">Besetting, harassing, intimidating, interfering with, threatening, hindering, obstructing, impeding or recording a person. </w:t>
            </w:r>
          </w:p>
          <w:p w14:paraId="4FCD1B02" w14:textId="77777777" w:rsidR="009A2C73" w:rsidRPr="009A2C73" w:rsidRDefault="009A2C73" w:rsidP="003308BA">
            <w:pPr>
              <w:spacing w:before="120"/>
              <w:rPr>
                <w:rFonts w:cs="Arial"/>
                <w:color w:val="000000"/>
                <w:szCs w:val="24"/>
              </w:rPr>
            </w:pPr>
            <w:r w:rsidRPr="009A2C73">
              <w:rPr>
                <w:rFonts w:cs="Arial"/>
                <w:color w:val="000000"/>
                <w:szCs w:val="24"/>
              </w:rPr>
              <w:t xml:space="preserve">Protest relating to terminations able to be seen or heard by a person accessing facility. </w:t>
            </w:r>
          </w:p>
          <w:p w14:paraId="0A91F3EC" w14:textId="77777777" w:rsidR="009A2C73" w:rsidRPr="009A2C73" w:rsidRDefault="009A2C73" w:rsidP="003308BA">
            <w:pPr>
              <w:spacing w:before="120"/>
              <w:rPr>
                <w:rFonts w:cs="Arial"/>
                <w:color w:val="000000"/>
                <w:szCs w:val="24"/>
              </w:rPr>
            </w:pPr>
            <w:r w:rsidRPr="009A2C73">
              <w:rPr>
                <w:rFonts w:cs="Arial"/>
                <w:color w:val="000000"/>
                <w:szCs w:val="24"/>
              </w:rPr>
              <w:t xml:space="preserve">Footpath interference.    </w:t>
            </w:r>
          </w:p>
        </w:tc>
      </w:tr>
    </w:tbl>
    <w:p w14:paraId="76DC4F20" w14:textId="77777777" w:rsidR="009A2C73" w:rsidRPr="009A2C73" w:rsidRDefault="009A2C73" w:rsidP="003308BA">
      <w:pPr>
        <w:rPr>
          <w:rFonts w:cs="Arial"/>
          <w:sz w:val="20"/>
        </w:rPr>
      </w:pPr>
    </w:p>
    <w:tbl>
      <w:tblPr>
        <w:tblpPr w:leftFromText="180" w:rightFromText="180" w:bottomFromText="160" w:vertAnchor="text" w:tblpXSpec="center" w:tblpY="-9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A2C73" w:rsidRPr="009827AC" w14:paraId="41FD9D02" w14:textId="77777777" w:rsidTr="009A2C73">
        <w:trPr>
          <w:trHeight w:val="700"/>
        </w:trPr>
        <w:tc>
          <w:tcPr>
            <w:tcW w:w="9918" w:type="dxa"/>
            <w:tcBorders>
              <w:top w:val="single" w:sz="4" w:space="0" w:color="auto"/>
              <w:left w:val="single" w:sz="4" w:space="0" w:color="auto"/>
              <w:bottom w:val="single" w:sz="4" w:space="0" w:color="auto"/>
              <w:right w:val="single" w:sz="4" w:space="0" w:color="auto"/>
            </w:tcBorders>
          </w:tcPr>
          <w:p w14:paraId="7C189F1B" w14:textId="77777777" w:rsidR="009A2C73" w:rsidRPr="009827AC" w:rsidRDefault="009A2C73" w:rsidP="003308BA">
            <w:pPr>
              <w:rPr>
                <w:rFonts w:cs="Arial"/>
                <w:b/>
                <w:bCs/>
                <w:szCs w:val="24"/>
              </w:rPr>
            </w:pPr>
            <w:r w:rsidRPr="009827AC">
              <w:rPr>
                <w:rFonts w:cs="Arial"/>
                <w:b/>
                <w:bCs/>
                <w:szCs w:val="24"/>
              </w:rPr>
              <w:lastRenderedPageBreak/>
              <w:t>Section 9 Access Zones</w:t>
            </w:r>
          </w:p>
          <w:p w14:paraId="579CC81E" w14:textId="77777777" w:rsidR="009A2C73" w:rsidRPr="009827AC" w:rsidRDefault="009A2C73" w:rsidP="00A736A6">
            <w:pPr>
              <w:pStyle w:val="ListParagraph"/>
              <w:numPr>
                <w:ilvl w:val="0"/>
                <w:numId w:val="15"/>
              </w:numPr>
              <w:spacing w:before="120"/>
              <w:contextualSpacing w:val="0"/>
              <w:rPr>
                <w:rFonts w:cs="Arial"/>
                <w:szCs w:val="24"/>
              </w:rPr>
            </w:pPr>
            <w:r w:rsidRPr="009827AC">
              <w:rPr>
                <w:rFonts w:cs="Arial"/>
                <w:szCs w:val="24"/>
              </w:rPr>
              <w:t xml:space="preserve">In this section – </w:t>
            </w:r>
          </w:p>
          <w:p w14:paraId="34B603BC" w14:textId="77777777" w:rsidR="009A2C73" w:rsidRPr="009827AC" w:rsidRDefault="009A2C73" w:rsidP="003308BA">
            <w:pPr>
              <w:pStyle w:val="ListParagraph"/>
              <w:rPr>
                <w:rFonts w:cs="Arial"/>
                <w:szCs w:val="24"/>
              </w:rPr>
            </w:pPr>
            <w:r w:rsidRPr="009827AC">
              <w:rPr>
                <w:rFonts w:cs="Arial"/>
                <w:b/>
                <w:bCs/>
                <w:i/>
                <w:iCs/>
                <w:szCs w:val="24"/>
              </w:rPr>
              <w:t>access zone</w:t>
            </w:r>
            <w:r w:rsidRPr="009827AC">
              <w:rPr>
                <w:rFonts w:cs="Arial"/>
                <w:szCs w:val="24"/>
              </w:rPr>
              <w:t xml:space="preserve"> means an area within a radius of 150 metres from premises at which terminations are provided; </w:t>
            </w:r>
          </w:p>
          <w:p w14:paraId="45BA1F29" w14:textId="77777777" w:rsidR="009A2C73" w:rsidRPr="009827AC" w:rsidRDefault="009A2C73" w:rsidP="003308BA">
            <w:pPr>
              <w:pStyle w:val="ListParagraph"/>
              <w:rPr>
                <w:rFonts w:cs="Arial"/>
                <w:szCs w:val="24"/>
              </w:rPr>
            </w:pPr>
            <w:r w:rsidRPr="009827AC">
              <w:rPr>
                <w:rFonts w:cs="Arial"/>
                <w:b/>
                <w:bCs/>
                <w:i/>
                <w:iCs/>
                <w:szCs w:val="24"/>
              </w:rPr>
              <w:t>distribute</w:t>
            </w:r>
            <w:r w:rsidRPr="009827AC">
              <w:rPr>
                <w:rFonts w:cs="Arial"/>
                <w:szCs w:val="24"/>
              </w:rPr>
              <w:t xml:space="preserve"> includes – </w:t>
            </w:r>
          </w:p>
          <w:p w14:paraId="104A35E6" w14:textId="77777777" w:rsidR="009A2C73" w:rsidRPr="009827AC" w:rsidRDefault="009A2C73" w:rsidP="00A736A6">
            <w:pPr>
              <w:pStyle w:val="ListParagraph"/>
              <w:numPr>
                <w:ilvl w:val="1"/>
                <w:numId w:val="5"/>
              </w:numPr>
              <w:spacing w:before="120"/>
              <w:contextualSpacing w:val="0"/>
              <w:rPr>
                <w:rFonts w:cs="Arial"/>
                <w:szCs w:val="24"/>
              </w:rPr>
            </w:pPr>
            <w:r w:rsidRPr="009827AC">
              <w:rPr>
                <w:rFonts w:cs="Arial"/>
                <w:szCs w:val="24"/>
              </w:rPr>
              <w:t>communicate, exhibit, send, supply, or transmit to someone, whether to a particular person or not; and</w:t>
            </w:r>
          </w:p>
          <w:p w14:paraId="0A026F68" w14:textId="77777777" w:rsidR="009A2C73" w:rsidRPr="009827AC" w:rsidRDefault="009A2C73" w:rsidP="00A736A6">
            <w:pPr>
              <w:pStyle w:val="ListParagraph"/>
              <w:numPr>
                <w:ilvl w:val="1"/>
                <w:numId w:val="5"/>
              </w:numPr>
              <w:spacing w:before="120"/>
              <w:contextualSpacing w:val="0"/>
              <w:rPr>
                <w:rFonts w:cs="Arial"/>
                <w:szCs w:val="24"/>
              </w:rPr>
            </w:pPr>
            <w:r w:rsidRPr="009827AC">
              <w:rPr>
                <w:rFonts w:cs="Arial"/>
                <w:szCs w:val="24"/>
              </w:rPr>
              <w:t>make available for access by someone, whether by a particular person or not; and</w:t>
            </w:r>
          </w:p>
          <w:p w14:paraId="1A789AC3" w14:textId="77777777" w:rsidR="009A2C73" w:rsidRPr="009827AC" w:rsidRDefault="009A2C73" w:rsidP="00A736A6">
            <w:pPr>
              <w:pStyle w:val="ListParagraph"/>
              <w:numPr>
                <w:ilvl w:val="1"/>
                <w:numId w:val="5"/>
              </w:numPr>
              <w:spacing w:before="120"/>
              <w:contextualSpacing w:val="0"/>
              <w:rPr>
                <w:rFonts w:cs="Arial"/>
                <w:szCs w:val="24"/>
              </w:rPr>
            </w:pPr>
            <w:r w:rsidRPr="009827AC">
              <w:rPr>
                <w:rFonts w:cs="Arial"/>
                <w:szCs w:val="24"/>
              </w:rPr>
              <w:t>enter into an agreement or arrangement to do anything mentioned in paragraph (a) or (b); and</w:t>
            </w:r>
          </w:p>
          <w:p w14:paraId="1FD5E43D" w14:textId="77777777" w:rsidR="009A2C73" w:rsidRPr="009827AC" w:rsidRDefault="009A2C73" w:rsidP="00A736A6">
            <w:pPr>
              <w:pStyle w:val="ListParagraph"/>
              <w:numPr>
                <w:ilvl w:val="1"/>
                <w:numId w:val="5"/>
              </w:numPr>
              <w:spacing w:before="120"/>
              <w:contextualSpacing w:val="0"/>
              <w:rPr>
                <w:rFonts w:cs="Arial"/>
                <w:szCs w:val="24"/>
              </w:rPr>
            </w:pPr>
            <w:r w:rsidRPr="009827AC">
              <w:rPr>
                <w:rFonts w:cs="Arial"/>
                <w:szCs w:val="24"/>
              </w:rPr>
              <w:t xml:space="preserve">attempt to distribute; </w:t>
            </w:r>
          </w:p>
          <w:p w14:paraId="6BA1B0E1" w14:textId="77777777" w:rsidR="009A2C73" w:rsidRPr="009827AC" w:rsidRDefault="009A2C73" w:rsidP="003308BA">
            <w:pPr>
              <w:ind w:left="720"/>
              <w:rPr>
                <w:rFonts w:cs="Arial"/>
                <w:szCs w:val="24"/>
              </w:rPr>
            </w:pPr>
            <w:r w:rsidRPr="009827AC">
              <w:rPr>
                <w:rFonts w:cs="Arial"/>
                <w:b/>
                <w:bCs/>
                <w:i/>
                <w:iCs/>
                <w:szCs w:val="24"/>
              </w:rPr>
              <w:t xml:space="preserve">prohibited behaviour </w:t>
            </w:r>
            <w:r w:rsidRPr="009827AC">
              <w:rPr>
                <w:rFonts w:cs="Arial"/>
                <w:szCs w:val="24"/>
              </w:rPr>
              <w:t xml:space="preserve">means – </w:t>
            </w:r>
          </w:p>
          <w:p w14:paraId="350B94D6" w14:textId="77777777" w:rsidR="009A2C73" w:rsidRPr="009827AC" w:rsidRDefault="009A2C73" w:rsidP="00A736A6">
            <w:pPr>
              <w:pStyle w:val="ListParagraph"/>
              <w:numPr>
                <w:ilvl w:val="1"/>
                <w:numId w:val="16"/>
              </w:numPr>
              <w:spacing w:before="120"/>
              <w:contextualSpacing w:val="0"/>
              <w:rPr>
                <w:rFonts w:cs="Arial"/>
                <w:szCs w:val="24"/>
              </w:rPr>
            </w:pPr>
            <w:r w:rsidRPr="009827AC">
              <w:rPr>
                <w:rFonts w:cs="Arial"/>
                <w:szCs w:val="24"/>
              </w:rPr>
              <w:t>in relation to a person, besetting, harassing, intimidating, interfering with, threatening, hindering, obstructing or impeding that person; or</w:t>
            </w:r>
          </w:p>
          <w:p w14:paraId="18599B34" w14:textId="77777777" w:rsidR="009A2C73" w:rsidRPr="009827AC" w:rsidRDefault="009A2C73" w:rsidP="00A736A6">
            <w:pPr>
              <w:pStyle w:val="ListParagraph"/>
              <w:numPr>
                <w:ilvl w:val="1"/>
                <w:numId w:val="16"/>
              </w:numPr>
              <w:spacing w:before="120"/>
              <w:contextualSpacing w:val="0"/>
              <w:rPr>
                <w:rFonts w:cs="Arial"/>
                <w:szCs w:val="24"/>
              </w:rPr>
            </w:pPr>
            <w:r w:rsidRPr="009827AC">
              <w:rPr>
                <w:rFonts w:cs="Arial"/>
                <w:szCs w:val="24"/>
              </w:rPr>
              <w:t>a protest in relation to terminations that is able to be seen or heard by a person accessing, or attempting to access, premises at which terminations are provided; or</w:t>
            </w:r>
          </w:p>
          <w:p w14:paraId="40A3DBFA" w14:textId="77777777" w:rsidR="009A2C73" w:rsidRPr="009827AC" w:rsidRDefault="009A2C73" w:rsidP="00A736A6">
            <w:pPr>
              <w:pStyle w:val="ListParagraph"/>
              <w:numPr>
                <w:ilvl w:val="1"/>
                <w:numId w:val="16"/>
              </w:numPr>
              <w:spacing w:before="120"/>
              <w:contextualSpacing w:val="0"/>
              <w:rPr>
                <w:rFonts w:cs="Arial"/>
                <w:szCs w:val="24"/>
              </w:rPr>
            </w:pPr>
            <w:r w:rsidRPr="009827AC">
              <w:rPr>
                <w:rFonts w:cs="Arial"/>
                <w:szCs w:val="24"/>
              </w:rPr>
              <w:t>footpath interference in relation to terminations; or</w:t>
            </w:r>
          </w:p>
          <w:p w14:paraId="693AE799" w14:textId="77777777" w:rsidR="009A2C73" w:rsidRPr="009827AC" w:rsidRDefault="009A2C73" w:rsidP="00A736A6">
            <w:pPr>
              <w:pStyle w:val="ListParagraph"/>
              <w:numPr>
                <w:ilvl w:val="1"/>
                <w:numId w:val="16"/>
              </w:numPr>
              <w:spacing w:before="120"/>
              <w:contextualSpacing w:val="0"/>
              <w:rPr>
                <w:rFonts w:cs="Arial"/>
                <w:szCs w:val="24"/>
              </w:rPr>
            </w:pPr>
            <w:r w:rsidRPr="009827AC">
              <w:rPr>
                <w:rFonts w:cs="Arial"/>
                <w:szCs w:val="24"/>
              </w:rPr>
              <w:t>intentionally recording by any means, a person accessing or attempting to access premises at which terminations are provided without that person’s consent; or</w:t>
            </w:r>
          </w:p>
          <w:p w14:paraId="13D3DA5C" w14:textId="77777777" w:rsidR="009A2C73" w:rsidRPr="009827AC" w:rsidRDefault="009A2C73" w:rsidP="00A736A6">
            <w:pPr>
              <w:pStyle w:val="ListParagraph"/>
              <w:numPr>
                <w:ilvl w:val="1"/>
                <w:numId w:val="16"/>
              </w:numPr>
              <w:spacing w:before="120"/>
              <w:contextualSpacing w:val="0"/>
              <w:rPr>
                <w:rFonts w:cs="Arial"/>
                <w:szCs w:val="24"/>
              </w:rPr>
            </w:pPr>
            <w:r w:rsidRPr="009827AC">
              <w:rPr>
                <w:rFonts w:cs="Arial"/>
                <w:szCs w:val="24"/>
              </w:rPr>
              <w:t xml:space="preserve">any other prescribed behaviour. </w:t>
            </w:r>
          </w:p>
          <w:p w14:paraId="416CC5FA" w14:textId="77777777" w:rsidR="009A2C73" w:rsidRPr="009827AC" w:rsidRDefault="009A2C73" w:rsidP="00A736A6">
            <w:pPr>
              <w:pStyle w:val="ListParagraph"/>
              <w:numPr>
                <w:ilvl w:val="0"/>
                <w:numId w:val="16"/>
              </w:numPr>
              <w:spacing w:before="120"/>
              <w:contextualSpacing w:val="0"/>
              <w:rPr>
                <w:rFonts w:cs="Arial"/>
                <w:szCs w:val="24"/>
              </w:rPr>
            </w:pPr>
            <w:r w:rsidRPr="009827AC">
              <w:rPr>
                <w:rFonts w:cs="Arial"/>
                <w:szCs w:val="24"/>
              </w:rPr>
              <w:t xml:space="preserve">A person must not engage in prohibited behaviour within an access zone </w:t>
            </w:r>
          </w:p>
          <w:p w14:paraId="04F3D766" w14:textId="77777777" w:rsidR="009A2C73" w:rsidRPr="009827AC" w:rsidRDefault="009A2C73" w:rsidP="003308BA">
            <w:pPr>
              <w:ind w:left="360"/>
              <w:rPr>
                <w:rFonts w:cs="Arial"/>
                <w:szCs w:val="24"/>
              </w:rPr>
            </w:pPr>
            <w:r w:rsidRPr="009827AC">
              <w:rPr>
                <w:rFonts w:cs="Arial"/>
                <w:szCs w:val="24"/>
              </w:rPr>
              <w:t xml:space="preserve">Penalty: Fine not exceeding 75 penalty units or imprisonment for a term not exceeding 12 months, or both. </w:t>
            </w:r>
          </w:p>
          <w:p w14:paraId="199B13C9" w14:textId="77777777" w:rsidR="009A2C73" w:rsidRPr="009827AC" w:rsidRDefault="009A2C73" w:rsidP="00A736A6">
            <w:pPr>
              <w:pStyle w:val="ListParagraph"/>
              <w:numPr>
                <w:ilvl w:val="0"/>
                <w:numId w:val="16"/>
              </w:numPr>
              <w:spacing w:before="120"/>
              <w:contextualSpacing w:val="0"/>
              <w:rPr>
                <w:rFonts w:cs="Arial"/>
                <w:szCs w:val="24"/>
              </w:rPr>
            </w:pPr>
            <w:r w:rsidRPr="009827AC">
              <w:rPr>
                <w:rFonts w:cs="Arial"/>
                <w:szCs w:val="24"/>
              </w:rPr>
              <w:t xml:space="preserve">A person is not guilty of engaging in prohibited behaviour within an access zone by intentionally recording, by any means, a person accessing or attempting to access premises at which terminations are provided without that person’s consent if, at the time of making the recording – </w:t>
            </w:r>
          </w:p>
          <w:p w14:paraId="6D52D48B" w14:textId="77777777" w:rsidR="009A2C73" w:rsidRPr="009827AC" w:rsidRDefault="009A2C73" w:rsidP="00A736A6">
            <w:pPr>
              <w:pStyle w:val="ListParagraph"/>
              <w:numPr>
                <w:ilvl w:val="1"/>
                <w:numId w:val="16"/>
              </w:numPr>
              <w:spacing w:before="120"/>
              <w:contextualSpacing w:val="0"/>
              <w:rPr>
                <w:rFonts w:cs="Arial"/>
                <w:szCs w:val="24"/>
              </w:rPr>
            </w:pPr>
            <w:r w:rsidRPr="009827AC">
              <w:rPr>
                <w:rFonts w:cs="Arial"/>
                <w:szCs w:val="24"/>
              </w:rPr>
              <w:t>the first-mentioned person is a law enforcement officer acting in the course of his or her duties as such an officer; and</w:t>
            </w:r>
          </w:p>
          <w:p w14:paraId="1DB0C020" w14:textId="77777777" w:rsidR="009A2C73" w:rsidRPr="009827AC" w:rsidRDefault="009A2C73" w:rsidP="00A736A6">
            <w:pPr>
              <w:pStyle w:val="ListParagraph"/>
              <w:numPr>
                <w:ilvl w:val="1"/>
                <w:numId w:val="16"/>
              </w:numPr>
              <w:spacing w:before="120"/>
              <w:contextualSpacing w:val="0"/>
              <w:rPr>
                <w:rFonts w:cs="Arial"/>
                <w:szCs w:val="24"/>
              </w:rPr>
            </w:pPr>
            <w:r w:rsidRPr="009827AC">
              <w:rPr>
                <w:rFonts w:cs="Arial"/>
                <w:szCs w:val="24"/>
              </w:rPr>
              <w:t xml:space="preserve">his or her conduct is reasonable in the circumstances for the performance of those duties. </w:t>
            </w:r>
          </w:p>
          <w:p w14:paraId="20C74732" w14:textId="77777777" w:rsidR="009A2C73" w:rsidRPr="009827AC" w:rsidRDefault="009A2C73" w:rsidP="00A736A6">
            <w:pPr>
              <w:pStyle w:val="ListParagraph"/>
              <w:numPr>
                <w:ilvl w:val="0"/>
                <w:numId w:val="16"/>
              </w:numPr>
              <w:spacing w:before="120"/>
              <w:contextualSpacing w:val="0"/>
              <w:rPr>
                <w:rFonts w:cs="Arial"/>
                <w:szCs w:val="24"/>
              </w:rPr>
            </w:pPr>
            <w:r w:rsidRPr="009827AC">
              <w:rPr>
                <w:rFonts w:cs="Arial"/>
                <w:szCs w:val="24"/>
              </w:rPr>
              <w:lastRenderedPageBreak/>
              <w:t xml:space="preserve">A person must not publish or distribute a recording of another person access or attempting to access premises at which terminations are provided without that other person’s consent. </w:t>
            </w:r>
          </w:p>
          <w:p w14:paraId="18030C27" w14:textId="77777777" w:rsidR="009A2C73" w:rsidRPr="009827AC" w:rsidRDefault="009A2C73" w:rsidP="003308BA">
            <w:pPr>
              <w:ind w:left="360"/>
              <w:rPr>
                <w:rFonts w:cs="Arial"/>
                <w:szCs w:val="24"/>
              </w:rPr>
            </w:pPr>
            <w:r w:rsidRPr="009827AC">
              <w:rPr>
                <w:rFonts w:cs="Arial"/>
                <w:szCs w:val="24"/>
              </w:rPr>
              <w:t>Penalty: Fine not exceeding 75 penalty units or imprisonment for a term not exceeding 12 months, or both.</w:t>
            </w:r>
          </w:p>
          <w:p w14:paraId="47F5F67B" w14:textId="77777777" w:rsidR="009A2C73" w:rsidRPr="009827AC" w:rsidRDefault="009A2C73" w:rsidP="003308BA">
            <w:pPr>
              <w:ind w:left="360"/>
              <w:rPr>
                <w:rFonts w:cs="Arial"/>
                <w:szCs w:val="24"/>
              </w:rPr>
            </w:pPr>
          </w:p>
        </w:tc>
      </w:tr>
    </w:tbl>
    <w:p w14:paraId="397D24C7" w14:textId="77777777" w:rsidR="009A2C73" w:rsidRPr="009827AC" w:rsidRDefault="009A2C73" w:rsidP="003308BA">
      <w:pPr>
        <w:rPr>
          <w:rFonts w:cs="Arial"/>
          <w:szCs w:val="24"/>
        </w:rPr>
      </w:pPr>
    </w:p>
    <w:p w14:paraId="10F8B1F9" w14:textId="77777777" w:rsidR="009A2C73" w:rsidRPr="009827AC" w:rsidRDefault="009A2C73" w:rsidP="003308BA">
      <w:pPr>
        <w:rPr>
          <w:rFonts w:cs="Arial"/>
          <w:szCs w:val="24"/>
        </w:rPr>
      </w:pPr>
      <w:r w:rsidRPr="009827AC">
        <w:rPr>
          <w:rFonts w:cs="Arial"/>
          <w:szCs w:val="24"/>
        </w:rPr>
        <w:t xml:space="preserve">Safe access zones were established in Tasmanian in 2014 after the introduction of the </w:t>
      </w:r>
      <w:r w:rsidRPr="009827AC">
        <w:rPr>
          <w:rFonts w:cs="Arial"/>
          <w:i/>
          <w:iCs/>
          <w:szCs w:val="24"/>
        </w:rPr>
        <w:t xml:space="preserve">Reproductive Health (Access to Terminations) Act 2013. </w:t>
      </w:r>
    </w:p>
    <w:p w14:paraId="2FD06278" w14:textId="77777777" w:rsidR="009A2C73" w:rsidRPr="009827AC" w:rsidRDefault="009A2C73" w:rsidP="003308BA">
      <w:pPr>
        <w:rPr>
          <w:rFonts w:cs="Arial"/>
          <w:szCs w:val="24"/>
        </w:rPr>
      </w:pPr>
    </w:p>
    <w:p w14:paraId="685E543B" w14:textId="77777777" w:rsidR="009A2C73" w:rsidRPr="009827AC" w:rsidRDefault="009A2C73" w:rsidP="003308BA">
      <w:pPr>
        <w:rPr>
          <w:rFonts w:cs="Arial"/>
          <w:szCs w:val="24"/>
        </w:rPr>
      </w:pPr>
      <w:r w:rsidRPr="009827AC">
        <w:rPr>
          <w:rFonts w:cs="Arial"/>
          <w:szCs w:val="24"/>
        </w:rPr>
        <w:t xml:space="preserve">Section 9(1) of </w:t>
      </w:r>
      <w:r w:rsidRPr="009827AC">
        <w:rPr>
          <w:rFonts w:cs="Arial"/>
          <w:i/>
          <w:iCs/>
          <w:szCs w:val="24"/>
        </w:rPr>
        <w:t>Reproductive Health (Access to Terminations) Act</w:t>
      </w:r>
      <w:r w:rsidRPr="009827AC">
        <w:rPr>
          <w:rFonts w:cs="Arial"/>
          <w:szCs w:val="24"/>
        </w:rPr>
        <w:t xml:space="preserve"> defines a safe access zone as an ‘area within a radius of 150 metres from premises at which terminations are provided’. Section 9(2) makes it an offence to engage in certain behaviours in a safe access zone. These prohibited behaviours include: </w:t>
      </w:r>
    </w:p>
    <w:p w14:paraId="05D255F2" w14:textId="77777777" w:rsidR="009A2C73" w:rsidRPr="009827AC" w:rsidRDefault="009A2C73" w:rsidP="00A736A6">
      <w:pPr>
        <w:pStyle w:val="ListParagraph"/>
        <w:numPr>
          <w:ilvl w:val="0"/>
          <w:numId w:val="17"/>
        </w:numPr>
        <w:spacing w:before="120"/>
        <w:contextualSpacing w:val="0"/>
        <w:rPr>
          <w:rFonts w:cs="Arial"/>
          <w:color w:val="000000"/>
          <w:szCs w:val="24"/>
        </w:rPr>
      </w:pPr>
      <w:r w:rsidRPr="009827AC">
        <w:rPr>
          <w:rFonts w:cs="Arial"/>
          <w:color w:val="000000"/>
          <w:szCs w:val="24"/>
        </w:rPr>
        <w:t>in relation to a person, besetting, harassing, intimidating, interfering with, threatening, hindering, obstructing or impeding that person; or</w:t>
      </w:r>
    </w:p>
    <w:p w14:paraId="7137D7B6" w14:textId="77777777" w:rsidR="009A2C73" w:rsidRPr="009827AC" w:rsidRDefault="009A2C73" w:rsidP="00A736A6">
      <w:pPr>
        <w:pStyle w:val="ListParagraph"/>
        <w:numPr>
          <w:ilvl w:val="0"/>
          <w:numId w:val="17"/>
        </w:numPr>
        <w:spacing w:before="120"/>
        <w:contextualSpacing w:val="0"/>
        <w:rPr>
          <w:rFonts w:cs="Arial"/>
          <w:color w:val="000000"/>
          <w:szCs w:val="24"/>
        </w:rPr>
      </w:pPr>
      <w:r w:rsidRPr="009827AC">
        <w:rPr>
          <w:rFonts w:cs="Arial"/>
          <w:color w:val="000000"/>
          <w:szCs w:val="24"/>
        </w:rPr>
        <w:t>a protest in relation to terminations that is able to be seen or heard by a person accessing, or attempting to access, premises at which terminations are provided; or</w:t>
      </w:r>
    </w:p>
    <w:p w14:paraId="065B672B" w14:textId="77777777" w:rsidR="009A2C73" w:rsidRPr="009827AC" w:rsidRDefault="009A2C73" w:rsidP="00A736A6">
      <w:pPr>
        <w:pStyle w:val="ListParagraph"/>
        <w:numPr>
          <w:ilvl w:val="0"/>
          <w:numId w:val="17"/>
        </w:numPr>
        <w:spacing w:before="120"/>
        <w:contextualSpacing w:val="0"/>
        <w:rPr>
          <w:rFonts w:cs="Arial"/>
          <w:color w:val="000000"/>
          <w:szCs w:val="24"/>
        </w:rPr>
      </w:pPr>
      <w:r w:rsidRPr="009827AC">
        <w:rPr>
          <w:rFonts w:cs="Arial"/>
          <w:color w:val="000000"/>
          <w:szCs w:val="24"/>
        </w:rPr>
        <w:t>footpath interference in relation to terminations; or</w:t>
      </w:r>
    </w:p>
    <w:p w14:paraId="7B918E72" w14:textId="77777777" w:rsidR="009A2C73" w:rsidRPr="009827AC" w:rsidRDefault="009A2C73" w:rsidP="00A736A6">
      <w:pPr>
        <w:pStyle w:val="ListParagraph"/>
        <w:numPr>
          <w:ilvl w:val="0"/>
          <w:numId w:val="17"/>
        </w:numPr>
        <w:spacing w:before="120"/>
        <w:contextualSpacing w:val="0"/>
        <w:rPr>
          <w:rFonts w:cs="Arial"/>
          <w:color w:val="000000"/>
          <w:szCs w:val="24"/>
        </w:rPr>
      </w:pPr>
      <w:r w:rsidRPr="009827AC">
        <w:rPr>
          <w:rFonts w:cs="Arial"/>
          <w:color w:val="000000"/>
          <w:szCs w:val="24"/>
        </w:rPr>
        <w:t>intentionally recording, by any means, a person accessing or attempting to access premises at which terminations are provided without that person's consent; or</w:t>
      </w:r>
    </w:p>
    <w:p w14:paraId="1A12A39A" w14:textId="77777777" w:rsidR="009A2C73" w:rsidRPr="009827AC" w:rsidRDefault="009A2C73" w:rsidP="00A736A6">
      <w:pPr>
        <w:pStyle w:val="ListParagraph"/>
        <w:numPr>
          <w:ilvl w:val="0"/>
          <w:numId w:val="17"/>
        </w:numPr>
        <w:spacing w:before="120"/>
        <w:contextualSpacing w:val="0"/>
        <w:rPr>
          <w:rFonts w:cs="Arial"/>
          <w:color w:val="000000"/>
          <w:szCs w:val="24"/>
        </w:rPr>
      </w:pPr>
      <w:r w:rsidRPr="009827AC">
        <w:rPr>
          <w:rFonts w:cs="Arial"/>
          <w:color w:val="000000"/>
          <w:szCs w:val="24"/>
        </w:rPr>
        <w:t>any other prescribed behaviour.</w:t>
      </w:r>
      <w:r w:rsidRPr="009827AC">
        <w:rPr>
          <w:rStyle w:val="FootnoteReference"/>
          <w:rFonts w:cs="Arial"/>
          <w:color w:val="000000"/>
          <w:szCs w:val="24"/>
        </w:rPr>
        <w:footnoteReference w:id="21"/>
      </w:r>
    </w:p>
    <w:p w14:paraId="581B0BE8" w14:textId="77777777" w:rsidR="009A2C73" w:rsidRPr="009827AC" w:rsidRDefault="009A2C73" w:rsidP="003308BA">
      <w:pPr>
        <w:rPr>
          <w:rFonts w:cs="Arial"/>
          <w:szCs w:val="24"/>
        </w:rPr>
      </w:pPr>
      <w:r w:rsidRPr="009827AC">
        <w:rPr>
          <w:rFonts w:cs="Arial"/>
          <w:szCs w:val="24"/>
        </w:rPr>
        <w:t>A person is not guilty of engaging in prohibited behaviour by intentionally recording, by any means, a person accessing or attempting to access the premises where abortions are provided without that person’s consent if, at the time of making the recording, the first mentioned-person is a law enforcement officer acting in the course of his or her duties as such an officer; and his or her conduct is reasonable in the circumstances for the performance of those duties.</w:t>
      </w:r>
      <w:r w:rsidRPr="009827AC">
        <w:rPr>
          <w:rStyle w:val="FootnoteReference"/>
          <w:rFonts w:cs="Arial"/>
          <w:szCs w:val="24"/>
        </w:rPr>
        <w:footnoteReference w:id="22"/>
      </w:r>
    </w:p>
    <w:p w14:paraId="20A4AFA1" w14:textId="77777777" w:rsidR="009A2C73" w:rsidRPr="009827AC" w:rsidRDefault="009A2C73" w:rsidP="003308BA">
      <w:pPr>
        <w:rPr>
          <w:rFonts w:cs="Arial"/>
          <w:szCs w:val="24"/>
        </w:rPr>
      </w:pPr>
    </w:p>
    <w:p w14:paraId="68F27FFD" w14:textId="77777777" w:rsidR="009A2C73" w:rsidRPr="009827AC" w:rsidRDefault="009A2C73" w:rsidP="003308BA">
      <w:pPr>
        <w:rPr>
          <w:rFonts w:cs="Arial"/>
          <w:szCs w:val="24"/>
        </w:rPr>
      </w:pPr>
      <w:r w:rsidRPr="009827AC">
        <w:rPr>
          <w:rFonts w:cs="Arial"/>
          <w:szCs w:val="24"/>
        </w:rPr>
        <w:lastRenderedPageBreak/>
        <w:t>A person must also not publish or distribute a recording of another person accessing or attempting to access premises at which terminations are provided without that other person’s consent.</w:t>
      </w:r>
      <w:r w:rsidRPr="009827AC">
        <w:rPr>
          <w:rStyle w:val="FootnoteReference"/>
          <w:rFonts w:cs="Arial"/>
          <w:szCs w:val="24"/>
        </w:rPr>
        <w:footnoteReference w:id="23"/>
      </w:r>
    </w:p>
    <w:p w14:paraId="3A24F835" w14:textId="77777777" w:rsidR="009A2C73" w:rsidRPr="009827AC" w:rsidRDefault="009A2C73" w:rsidP="003308BA">
      <w:pPr>
        <w:rPr>
          <w:rFonts w:cs="Arial"/>
          <w:szCs w:val="24"/>
        </w:rPr>
      </w:pPr>
    </w:p>
    <w:p w14:paraId="3752E74A" w14:textId="77777777" w:rsidR="009A2C73" w:rsidRPr="009827AC" w:rsidRDefault="009A2C73" w:rsidP="003308BA">
      <w:pPr>
        <w:rPr>
          <w:rFonts w:cs="Arial"/>
          <w:szCs w:val="24"/>
        </w:rPr>
      </w:pPr>
      <w:r w:rsidRPr="009827AC">
        <w:rPr>
          <w:rFonts w:cs="Arial"/>
          <w:szCs w:val="24"/>
        </w:rPr>
        <w:t xml:space="preserve">The safe access zone in Tasmania operates 24 hours-a-day and seven days-a-week. </w:t>
      </w:r>
    </w:p>
    <w:p w14:paraId="027FDA27" w14:textId="77777777" w:rsidR="009A2C73" w:rsidRPr="009827AC" w:rsidRDefault="009A2C73" w:rsidP="003308BA">
      <w:pPr>
        <w:rPr>
          <w:rFonts w:cs="Arial"/>
          <w:szCs w:val="24"/>
        </w:rPr>
      </w:pPr>
    </w:p>
    <w:p w14:paraId="7DE0BC97" w14:textId="77777777" w:rsidR="009A2C73" w:rsidRPr="009827AC" w:rsidRDefault="009A2C73" w:rsidP="003308BA">
      <w:pPr>
        <w:rPr>
          <w:rFonts w:cs="Arial"/>
          <w:szCs w:val="24"/>
        </w:rPr>
      </w:pPr>
      <w:r w:rsidRPr="009827AC">
        <w:rPr>
          <w:rFonts w:cs="Arial"/>
          <w:szCs w:val="24"/>
        </w:rPr>
        <w:t xml:space="preserve">The maximum penalty for engaging in prohibited behaviour under s 9(2) or publishing a recording under s 9(4) is a fine not exceeding 75 penalty units or imprisonment for a term not exceeding 12 months, or both. </w:t>
      </w:r>
    </w:p>
    <w:p w14:paraId="31AFF66D" w14:textId="77777777" w:rsidR="009A2C73" w:rsidRPr="009A2C73" w:rsidRDefault="009A2C73" w:rsidP="003308BA">
      <w:pPr>
        <w:rPr>
          <w:rFonts w:cs="Arial"/>
          <w:sz w:val="22"/>
        </w:rPr>
      </w:pPr>
    </w:p>
    <w:p w14:paraId="468D9108" w14:textId="03871BFB" w:rsidR="009A2C73" w:rsidRPr="009A2C73" w:rsidRDefault="007254D1" w:rsidP="003308BA">
      <w:pPr>
        <w:pStyle w:val="Heading2"/>
      </w:pPr>
      <w:bookmarkStart w:id="62" w:name="_Toc47512453"/>
      <w:bookmarkStart w:id="63" w:name="_Toc47278195"/>
      <w:bookmarkStart w:id="64" w:name="_Toc49947630"/>
      <w:r>
        <w:t>4</w:t>
      </w:r>
      <w:r w:rsidR="009827AC">
        <w:t xml:space="preserve">.6 </w:t>
      </w:r>
      <w:r w:rsidR="009A2C73" w:rsidRPr="009A2C73">
        <w:t>Northern Territory</w:t>
      </w:r>
      <w:bookmarkEnd w:id="62"/>
      <w:bookmarkEnd w:id="63"/>
      <w:bookmarkEnd w:id="64"/>
      <w:r w:rsidR="009A2C73" w:rsidRPr="009A2C73">
        <w:t xml:space="preserve"> </w:t>
      </w:r>
      <w:bookmarkStart w:id="65" w:name="_heading=h.y03zd368jbq1"/>
      <w:bookmarkEnd w:id="65"/>
    </w:p>
    <w:tbl>
      <w:tblPr>
        <w:tblStyle w:val="TableMSA"/>
        <w:tblW w:w="0" w:type="dxa"/>
        <w:tblInd w:w="0" w:type="dxa"/>
        <w:tblLayout w:type="fixed"/>
        <w:tblLook w:val="04A0" w:firstRow="1" w:lastRow="0" w:firstColumn="1" w:lastColumn="0" w:noHBand="0" w:noVBand="1"/>
      </w:tblPr>
      <w:tblGrid>
        <w:gridCol w:w="2547"/>
        <w:gridCol w:w="7081"/>
      </w:tblGrid>
      <w:tr w:rsidR="009A2C73" w:rsidRPr="009A2C73" w14:paraId="20282491" w14:textId="77777777" w:rsidTr="009A2C73">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4001CD27" w14:textId="77777777" w:rsidR="009A2C73" w:rsidRPr="009A2C73" w:rsidRDefault="009A2C73" w:rsidP="003308BA">
            <w:pPr>
              <w:spacing w:before="120"/>
              <w:rPr>
                <w:rFonts w:cs="Arial"/>
                <w:b/>
                <w:bCs/>
                <w:color w:val="000000"/>
                <w:szCs w:val="24"/>
              </w:rPr>
            </w:pPr>
            <w:r w:rsidRPr="009A2C73">
              <w:rPr>
                <w:rFonts w:cs="Arial"/>
                <w:b/>
                <w:bCs/>
                <w:color w:val="000000"/>
                <w:szCs w:val="24"/>
              </w:rPr>
              <w:t>Northern Territory</w:t>
            </w:r>
          </w:p>
        </w:tc>
      </w:tr>
      <w:tr w:rsidR="009A2C73" w:rsidRPr="009827AC" w14:paraId="4792B133" w14:textId="77777777" w:rsidTr="009A2C73">
        <w:tc>
          <w:tcPr>
            <w:tcW w:w="2547" w:type="dxa"/>
            <w:tcBorders>
              <w:top w:val="single" w:sz="4" w:space="0" w:color="5B9BD5" w:themeColor="accent1"/>
              <w:left w:val="nil"/>
              <w:bottom w:val="single" w:sz="4" w:space="0" w:color="5B9BD5" w:themeColor="accent1"/>
              <w:right w:val="nil"/>
            </w:tcBorders>
            <w:hideMark/>
          </w:tcPr>
          <w:p w14:paraId="3F0F8885" w14:textId="77777777" w:rsidR="009A2C73" w:rsidRPr="009827AC" w:rsidRDefault="009A2C73" w:rsidP="003308BA">
            <w:pPr>
              <w:spacing w:before="120"/>
              <w:rPr>
                <w:rFonts w:cs="Arial"/>
                <w:color w:val="000000"/>
                <w:szCs w:val="24"/>
              </w:rPr>
            </w:pPr>
            <w:r w:rsidRPr="009827AC">
              <w:rPr>
                <w:rFonts w:cs="Arial"/>
                <w:color w:val="000000"/>
                <w:szCs w:val="24"/>
              </w:rPr>
              <w:t xml:space="preserve">Legislation </w:t>
            </w:r>
          </w:p>
        </w:tc>
        <w:tc>
          <w:tcPr>
            <w:tcW w:w="7081" w:type="dxa"/>
            <w:tcBorders>
              <w:top w:val="single" w:sz="4" w:space="0" w:color="5B9BD5" w:themeColor="accent1"/>
              <w:left w:val="nil"/>
              <w:bottom w:val="single" w:sz="4" w:space="0" w:color="5B9BD5" w:themeColor="accent1"/>
              <w:right w:val="nil"/>
            </w:tcBorders>
            <w:hideMark/>
          </w:tcPr>
          <w:p w14:paraId="51F538D9" w14:textId="77777777" w:rsidR="009A2C73" w:rsidRPr="009827AC" w:rsidRDefault="009A2C73" w:rsidP="003308BA">
            <w:pPr>
              <w:spacing w:before="120"/>
              <w:rPr>
                <w:rFonts w:cs="Arial"/>
                <w:iCs/>
                <w:color w:val="000000"/>
                <w:szCs w:val="24"/>
              </w:rPr>
            </w:pPr>
            <w:r w:rsidRPr="009827AC">
              <w:rPr>
                <w:rFonts w:cs="Arial"/>
                <w:i/>
                <w:color w:val="000000"/>
                <w:szCs w:val="24"/>
              </w:rPr>
              <w:t xml:space="preserve">Termination of Pregnancy Law Reform Act 2017 </w:t>
            </w:r>
            <w:r w:rsidRPr="009827AC">
              <w:rPr>
                <w:rFonts w:cs="Arial"/>
                <w:iCs/>
                <w:color w:val="000000"/>
                <w:szCs w:val="24"/>
              </w:rPr>
              <w:t>(NT) Part 3 ss 14-16</w:t>
            </w:r>
          </w:p>
        </w:tc>
      </w:tr>
      <w:tr w:rsidR="009A2C73" w:rsidRPr="009827AC" w14:paraId="09C24E29" w14:textId="77777777" w:rsidTr="009A2C73">
        <w:tc>
          <w:tcPr>
            <w:tcW w:w="2547" w:type="dxa"/>
            <w:tcBorders>
              <w:top w:val="single" w:sz="4" w:space="0" w:color="5B9BD5" w:themeColor="accent1"/>
              <w:left w:val="nil"/>
              <w:bottom w:val="single" w:sz="4" w:space="0" w:color="5B9BD5" w:themeColor="accent1"/>
              <w:right w:val="nil"/>
            </w:tcBorders>
            <w:hideMark/>
          </w:tcPr>
          <w:p w14:paraId="61A4DF98" w14:textId="77777777" w:rsidR="009A2C73" w:rsidRPr="009827AC" w:rsidRDefault="009A2C73" w:rsidP="003308BA">
            <w:pPr>
              <w:spacing w:before="120"/>
              <w:rPr>
                <w:rFonts w:cs="Arial"/>
                <w:color w:val="000000"/>
                <w:szCs w:val="24"/>
              </w:rPr>
            </w:pPr>
            <w:r w:rsidRPr="009827AC">
              <w:rPr>
                <w:rFonts w:cs="Arial"/>
                <w:color w:val="000000"/>
                <w:szCs w:val="24"/>
              </w:rPr>
              <w:t>Creation</w:t>
            </w:r>
          </w:p>
        </w:tc>
        <w:tc>
          <w:tcPr>
            <w:tcW w:w="7081" w:type="dxa"/>
            <w:tcBorders>
              <w:top w:val="single" w:sz="4" w:space="0" w:color="5B9BD5" w:themeColor="accent1"/>
              <w:left w:val="nil"/>
              <w:bottom w:val="single" w:sz="4" w:space="0" w:color="5B9BD5" w:themeColor="accent1"/>
              <w:right w:val="nil"/>
            </w:tcBorders>
            <w:hideMark/>
          </w:tcPr>
          <w:p w14:paraId="0D22C3E8" w14:textId="77777777" w:rsidR="009A2C73" w:rsidRPr="009827AC" w:rsidRDefault="009A2C73" w:rsidP="003308BA">
            <w:pPr>
              <w:spacing w:before="120"/>
              <w:rPr>
                <w:rFonts w:cs="Arial"/>
                <w:color w:val="000000"/>
                <w:szCs w:val="24"/>
              </w:rPr>
            </w:pPr>
            <w:r w:rsidRPr="009827AC">
              <w:rPr>
                <w:rFonts w:cs="Arial"/>
                <w:color w:val="000000"/>
                <w:szCs w:val="24"/>
              </w:rPr>
              <w:t>Automatic – all premises at which abortions are performed; ministerial declaration not required.</w:t>
            </w:r>
          </w:p>
        </w:tc>
      </w:tr>
      <w:tr w:rsidR="009A2C73" w:rsidRPr="009827AC" w14:paraId="3C03D3D8" w14:textId="77777777" w:rsidTr="009A2C73">
        <w:tc>
          <w:tcPr>
            <w:tcW w:w="2547" w:type="dxa"/>
            <w:tcBorders>
              <w:top w:val="single" w:sz="4" w:space="0" w:color="5B9BD5" w:themeColor="accent1"/>
              <w:left w:val="nil"/>
              <w:bottom w:val="single" w:sz="4" w:space="0" w:color="5B9BD5" w:themeColor="accent1"/>
              <w:right w:val="nil"/>
            </w:tcBorders>
            <w:hideMark/>
          </w:tcPr>
          <w:p w14:paraId="7E3D3B2E" w14:textId="77777777" w:rsidR="009A2C73" w:rsidRPr="009827AC" w:rsidRDefault="009A2C73" w:rsidP="003308BA">
            <w:pPr>
              <w:spacing w:before="120"/>
              <w:rPr>
                <w:rFonts w:cs="Arial"/>
                <w:color w:val="000000"/>
                <w:szCs w:val="24"/>
              </w:rPr>
            </w:pPr>
            <w:r w:rsidRPr="009827AC">
              <w:rPr>
                <w:rFonts w:cs="Arial"/>
                <w:color w:val="000000"/>
                <w:szCs w:val="24"/>
              </w:rPr>
              <w:t>Size</w:t>
            </w:r>
          </w:p>
        </w:tc>
        <w:tc>
          <w:tcPr>
            <w:tcW w:w="7081" w:type="dxa"/>
            <w:tcBorders>
              <w:top w:val="single" w:sz="4" w:space="0" w:color="5B9BD5" w:themeColor="accent1"/>
              <w:left w:val="nil"/>
              <w:bottom w:val="single" w:sz="4" w:space="0" w:color="5B9BD5" w:themeColor="accent1"/>
              <w:right w:val="nil"/>
            </w:tcBorders>
            <w:hideMark/>
          </w:tcPr>
          <w:p w14:paraId="0E144E12" w14:textId="77777777" w:rsidR="009A2C73" w:rsidRPr="009827AC" w:rsidRDefault="009A2C73" w:rsidP="003308BA">
            <w:pPr>
              <w:spacing w:before="120"/>
              <w:rPr>
                <w:rFonts w:cs="Arial"/>
                <w:color w:val="000000"/>
                <w:szCs w:val="24"/>
              </w:rPr>
            </w:pPr>
            <w:r w:rsidRPr="009827AC">
              <w:rPr>
                <w:rFonts w:cs="Arial"/>
                <w:color w:val="000000"/>
                <w:szCs w:val="24"/>
              </w:rPr>
              <w:t>150m</w:t>
            </w:r>
          </w:p>
        </w:tc>
      </w:tr>
      <w:tr w:rsidR="009A2C73" w:rsidRPr="009827AC" w14:paraId="2D3AA83C" w14:textId="77777777" w:rsidTr="009A2C73">
        <w:tc>
          <w:tcPr>
            <w:tcW w:w="2547" w:type="dxa"/>
            <w:tcBorders>
              <w:top w:val="single" w:sz="4" w:space="0" w:color="5B9BD5" w:themeColor="accent1"/>
              <w:left w:val="nil"/>
              <w:bottom w:val="single" w:sz="4" w:space="0" w:color="5B9BD5" w:themeColor="accent1"/>
              <w:right w:val="nil"/>
            </w:tcBorders>
            <w:hideMark/>
          </w:tcPr>
          <w:p w14:paraId="79E2CDFF" w14:textId="77777777" w:rsidR="009A2C73" w:rsidRPr="009827AC" w:rsidRDefault="009A2C73" w:rsidP="003308BA">
            <w:pPr>
              <w:spacing w:before="120"/>
              <w:rPr>
                <w:rFonts w:cs="Arial"/>
                <w:color w:val="000000"/>
                <w:szCs w:val="24"/>
              </w:rPr>
            </w:pPr>
            <w:r w:rsidRPr="009827AC">
              <w:rPr>
                <w:rFonts w:cs="Arial"/>
                <w:color w:val="000000"/>
                <w:szCs w:val="24"/>
              </w:rPr>
              <w:t xml:space="preserve">Measured from </w:t>
            </w:r>
          </w:p>
        </w:tc>
        <w:tc>
          <w:tcPr>
            <w:tcW w:w="7081" w:type="dxa"/>
            <w:tcBorders>
              <w:top w:val="single" w:sz="4" w:space="0" w:color="5B9BD5" w:themeColor="accent1"/>
              <w:left w:val="nil"/>
              <w:bottom w:val="single" w:sz="4" w:space="0" w:color="5B9BD5" w:themeColor="accent1"/>
              <w:right w:val="nil"/>
            </w:tcBorders>
            <w:hideMark/>
          </w:tcPr>
          <w:p w14:paraId="0D05A940" w14:textId="77777777" w:rsidR="009A2C73" w:rsidRPr="009827AC" w:rsidRDefault="009A2C73" w:rsidP="003308BA">
            <w:pPr>
              <w:spacing w:before="120"/>
              <w:rPr>
                <w:rFonts w:cs="Arial"/>
                <w:color w:val="000000"/>
                <w:szCs w:val="24"/>
              </w:rPr>
            </w:pPr>
            <w:r w:rsidRPr="009827AC">
              <w:rPr>
                <w:rFonts w:cs="Arial"/>
                <w:color w:val="000000"/>
                <w:szCs w:val="24"/>
              </w:rPr>
              <w:t xml:space="preserve">Boundary or premises </w:t>
            </w:r>
          </w:p>
        </w:tc>
      </w:tr>
      <w:tr w:rsidR="009A2C73" w:rsidRPr="009827AC" w14:paraId="561AA5F5" w14:textId="77777777" w:rsidTr="009A2C73">
        <w:tc>
          <w:tcPr>
            <w:tcW w:w="2547" w:type="dxa"/>
            <w:tcBorders>
              <w:top w:val="single" w:sz="4" w:space="0" w:color="5B9BD5" w:themeColor="accent1"/>
              <w:left w:val="nil"/>
              <w:bottom w:val="single" w:sz="4" w:space="0" w:color="5B9BD5" w:themeColor="accent1"/>
              <w:right w:val="nil"/>
            </w:tcBorders>
            <w:hideMark/>
          </w:tcPr>
          <w:p w14:paraId="3E54D12D" w14:textId="77777777" w:rsidR="009A2C73" w:rsidRPr="009827AC" w:rsidRDefault="009A2C73" w:rsidP="003308BA">
            <w:pPr>
              <w:spacing w:before="120"/>
              <w:rPr>
                <w:rFonts w:cs="Arial"/>
                <w:color w:val="000000"/>
                <w:szCs w:val="24"/>
              </w:rPr>
            </w:pPr>
            <w:r w:rsidRPr="009827AC">
              <w:rPr>
                <w:rFonts w:cs="Arial"/>
                <w:color w:val="000000"/>
                <w:szCs w:val="24"/>
              </w:rPr>
              <w:t>Hours of effect</w:t>
            </w:r>
          </w:p>
        </w:tc>
        <w:tc>
          <w:tcPr>
            <w:tcW w:w="7081" w:type="dxa"/>
            <w:tcBorders>
              <w:top w:val="single" w:sz="4" w:space="0" w:color="5B9BD5" w:themeColor="accent1"/>
              <w:left w:val="nil"/>
              <w:bottom w:val="single" w:sz="4" w:space="0" w:color="5B9BD5" w:themeColor="accent1"/>
              <w:right w:val="nil"/>
            </w:tcBorders>
            <w:hideMark/>
          </w:tcPr>
          <w:p w14:paraId="56E97AD8" w14:textId="77777777" w:rsidR="009A2C73" w:rsidRPr="009827AC" w:rsidRDefault="009A2C73" w:rsidP="003308BA">
            <w:pPr>
              <w:spacing w:before="120"/>
              <w:rPr>
                <w:rFonts w:cs="Arial"/>
                <w:color w:val="000000"/>
                <w:szCs w:val="24"/>
              </w:rPr>
            </w:pPr>
            <w:r w:rsidRPr="009827AC">
              <w:rPr>
                <w:rFonts w:cs="Arial"/>
                <w:color w:val="000000"/>
                <w:szCs w:val="24"/>
              </w:rPr>
              <w:t xml:space="preserve">Implied: when patients/staff are present </w:t>
            </w:r>
          </w:p>
        </w:tc>
      </w:tr>
      <w:tr w:rsidR="009A2C73" w:rsidRPr="009827AC" w14:paraId="00DB715C" w14:textId="77777777" w:rsidTr="009A2C73">
        <w:tc>
          <w:tcPr>
            <w:tcW w:w="2547" w:type="dxa"/>
            <w:tcBorders>
              <w:top w:val="single" w:sz="4" w:space="0" w:color="5B9BD5" w:themeColor="accent1"/>
              <w:left w:val="nil"/>
              <w:bottom w:val="single" w:sz="18" w:space="0" w:color="5B9BD5" w:themeColor="accent1"/>
              <w:right w:val="nil"/>
            </w:tcBorders>
            <w:hideMark/>
          </w:tcPr>
          <w:p w14:paraId="575D7AA6" w14:textId="77777777" w:rsidR="009A2C73" w:rsidRPr="009827AC" w:rsidRDefault="009A2C73" w:rsidP="003308BA">
            <w:pPr>
              <w:spacing w:before="120"/>
              <w:rPr>
                <w:rFonts w:cs="Arial"/>
                <w:color w:val="000000"/>
                <w:szCs w:val="24"/>
              </w:rPr>
            </w:pPr>
            <w:r w:rsidRPr="009827AC">
              <w:rPr>
                <w:rFonts w:cs="Arial"/>
                <w:color w:val="000000"/>
                <w:szCs w:val="24"/>
              </w:rPr>
              <w:t xml:space="preserve">Prohibited Behaviours </w:t>
            </w:r>
          </w:p>
        </w:tc>
        <w:tc>
          <w:tcPr>
            <w:tcW w:w="7081" w:type="dxa"/>
            <w:tcBorders>
              <w:top w:val="single" w:sz="4" w:space="0" w:color="5B9BD5" w:themeColor="accent1"/>
              <w:left w:val="nil"/>
              <w:bottom w:val="single" w:sz="18" w:space="0" w:color="5B9BD5" w:themeColor="accent1"/>
              <w:right w:val="nil"/>
            </w:tcBorders>
            <w:hideMark/>
          </w:tcPr>
          <w:p w14:paraId="3837198F" w14:textId="77777777" w:rsidR="009A2C73" w:rsidRPr="009827AC" w:rsidRDefault="009A2C73" w:rsidP="003308BA">
            <w:pPr>
              <w:spacing w:before="120"/>
              <w:rPr>
                <w:rFonts w:cs="Arial"/>
                <w:color w:val="000000"/>
                <w:szCs w:val="24"/>
              </w:rPr>
            </w:pPr>
            <w:r w:rsidRPr="009827AC">
              <w:rPr>
                <w:rFonts w:cs="Arial"/>
                <w:color w:val="000000"/>
                <w:szCs w:val="24"/>
              </w:rPr>
              <w:t xml:space="preserve">Harassing, hindering, intimidating, interfering with, threatening or obstructing a person, recording the person, or any act that could be seen/heard by a person in the vicinity that may deter the person from entering or leaving premises or performing or receiving an abortion. </w:t>
            </w:r>
          </w:p>
          <w:p w14:paraId="34DC41F7" w14:textId="77777777" w:rsidR="009A2C73" w:rsidRPr="009827AC" w:rsidRDefault="009A2C73" w:rsidP="003308BA">
            <w:pPr>
              <w:spacing w:before="120"/>
              <w:rPr>
                <w:rFonts w:cs="Arial"/>
                <w:color w:val="000000"/>
                <w:szCs w:val="24"/>
              </w:rPr>
            </w:pPr>
            <w:r w:rsidRPr="009827AC">
              <w:rPr>
                <w:rFonts w:cs="Arial"/>
                <w:color w:val="000000"/>
                <w:szCs w:val="24"/>
              </w:rPr>
              <w:t xml:space="preserve">Publishing recording of another person in safe access zone.     </w:t>
            </w:r>
          </w:p>
        </w:tc>
      </w:tr>
    </w:tbl>
    <w:p w14:paraId="7D98749D" w14:textId="77777777" w:rsidR="009A2C73" w:rsidRPr="009827AC" w:rsidRDefault="009A2C73" w:rsidP="003308BA">
      <w:pPr>
        <w:rPr>
          <w:rFonts w:cs="Arial"/>
          <w:szCs w:val="24"/>
        </w:rPr>
      </w:pPr>
    </w:p>
    <w:p w14:paraId="7671BF60" w14:textId="04C7AF74" w:rsidR="009A2C73" w:rsidRPr="009827AC" w:rsidRDefault="00850563" w:rsidP="00850563">
      <w:pPr>
        <w:spacing w:after="160" w:line="259" w:lineRule="auto"/>
        <w:rPr>
          <w:rFonts w:cs="Arial"/>
          <w:b/>
          <w:bCs/>
          <w:szCs w:val="24"/>
        </w:rPr>
      </w:pPr>
      <w:r>
        <w:rPr>
          <w:rFonts w:cs="Arial"/>
          <w:b/>
          <w:bCs/>
          <w:szCs w:val="24"/>
        </w:rPr>
        <w:br w:type="page"/>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6"/>
      </w:tblGrid>
      <w:tr w:rsidR="009A2C73" w:rsidRPr="009827AC" w14:paraId="08A7F4B3" w14:textId="77777777" w:rsidTr="009A2C73">
        <w:trPr>
          <w:trHeight w:val="7655"/>
          <w:jc w:val="center"/>
        </w:trPr>
        <w:tc>
          <w:tcPr>
            <w:tcW w:w="9616" w:type="dxa"/>
            <w:tcBorders>
              <w:top w:val="single" w:sz="4" w:space="0" w:color="auto"/>
              <w:left w:val="single" w:sz="4" w:space="0" w:color="auto"/>
              <w:bottom w:val="single" w:sz="4" w:space="0" w:color="auto"/>
              <w:right w:val="single" w:sz="4" w:space="0" w:color="auto"/>
            </w:tcBorders>
          </w:tcPr>
          <w:p w14:paraId="1AE4330E" w14:textId="77777777" w:rsidR="009A2C73" w:rsidRPr="009827AC" w:rsidRDefault="009A2C73" w:rsidP="003308BA">
            <w:pPr>
              <w:rPr>
                <w:rFonts w:cs="Arial"/>
                <w:b/>
                <w:bCs/>
                <w:szCs w:val="24"/>
              </w:rPr>
            </w:pPr>
          </w:p>
          <w:p w14:paraId="450533D7" w14:textId="42176D34" w:rsidR="009A2C73" w:rsidRPr="009827AC" w:rsidRDefault="009A2C73" w:rsidP="00850563">
            <w:pPr>
              <w:rPr>
                <w:rFonts w:cs="Arial"/>
                <w:b/>
                <w:bCs/>
                <w:szCs w:val="24"/>
              </w:rPr>
            </w:pPr>
            <w:r w:rsidRPr="009827AC">
              <w:rPr>
                <w:rFonts w:cs="Arial"/>
                <w:b/>
                <w:bCs/>
                <w:szCs w:val="24"/>
              </w:rPr>
              <w:t xml:space="preserve">Section 4 Definitions </w:t>
            </w:r>
          </w:p>
          <w:p w14:paraId="3DFDC2AB" w14:textId="4BE24254" w:rsidR="009A2C73" w:rsidRPr="009827AC" w:rsidRDefault="009A2C73" w:rsidP="00850563">
            <w:pPr>
              <w:ind w:left="234"/>
              <w:rPr>
                <w:rFonts w:cs="Arial"/>
                <w:szCs w:val="24"/>
              </w:rPr>
            </w:pPr>
            <w:r w:rsidRPr="009827AC">
              <w:rPr>
                <w:rFonts w:cs="Arial"/>
                <w:szCs w:val="24"/>
              </w:rPr>
              <w:t xml:space="preserve">In this act: </w:t>
            </w:r>
          </w:p>
          <w:p w14:paraId="4B21E0C7" w14:textId="77777777" w:rsidR="009A2C73" w:rsidRPr="009827AC" w:rsidRDefault="009A2C73" w:rsidP="003308BA">
            <w:pPr>
              <w:ind w:left="234"/>
              <w:rPr>
                <w:rFonts w:cs="Arial"/>
                <w:szCs w:val="24"/>
              </w:rPr>
            </w:pPr>
            <w:r w:rsidRPr="009827AC">
              <w:rPr>
                <w:rFonts w:cs="Arial"/>
                <w:b/>
                <w:bCs/>
                <w:i/>
                <w:iCs/>
                <w:szCs w:val="24"/>
              </w:rPr>
              <w:t>premises for performing terminations</w:t>
            </w:r>
            <w:r w:rsidRPr="009827AC">
              <w:rPr>
                <w:rFonts w:cs="Arial"/>
                <w:szCs w:val="24"/>
              </w:rPr>
              <w:t xml:space="preserve">: </w:t>
            </w:r>
          </w:p>
          <w:p w14:paraId="6DB91725" w14:textId="77777777" w:rsidR="009A2C73" w:rsidRPr="009827AC" w:rsidRDefault="009A2C73" w:rsidP="00A736A6">
            <w:pPr>
              <w:pStyle w:val="ListParagraph"/>
              <w:numPr>
                <w:ilvl w:val="1"/>
                <w:numId w:val="16"/>
              </w:numPr>
              <w:spacing w:before="120"/>
              <w:ind w:left="943"/>
              <w:contextualSpacing w:val="0"/>
              <w:rPr>
                <w:rFonts w:cs="Arial"/>
                <w:szCs w:val="24"/>
              </w:rPr>
            </w:pPr>
            <w:r w:rsidRPr="009827AC">
              <w:rPr>
                <w:rFonts w:cs="Arial"/>
                <w:szCs w:val="24"/>
              </w:rPr>
              <w:t xml:space="preserve">Means premises where either or both of the following take place: </w:t>
            </w:r>
          </w:p>
          <w:p w14:paraId="70B9D303" w14:textId="77777777" w:rsidR="009A2C73" w:rsidRPr="009827AC" w:rsidRDefault="009A2C73" w:rsidP="00A736A6">
            <w:pPr>
              <w:pStyle w:val="ListParagraph"/>
              <w:numPr>
                <w:ilvl w:val="2"/>
                <w:numId w:val="16"/>
              </w:numPr>
              <w:spacing w:before="120"/>
              <w:ind w:left="1510"/>
              <w:contextualSpacing w:val="0"/>
              <w:rPr>
                <w:rFonts w:cs="Arial"/>
                <w:szCs w:val="24"/>
              </w:rPr>
            </w:pPr>
            <w:r w:rsidRPr="009827AC">
              <w:rPr>
                <w:rFonts w:cs="Arial"/>
                <w:szCs w:val="24"/>
              </w:rPr>
              <w:t xml:space="preserve">Terminations are performed by medical practitioners; </w:t>
            </w:r>
          </w:p>
          <w:p w14:paraId="23E0FB93" w14:textId="77777777" w:rsidR="009A2C73" w:rsidRPr="009827AC" w:rsidRDefault="009A2C73" w:rsidP="00A736A6">
            <w:pPr>
              <w:pStyle w:val="ListParagraph"/>
              <w:numPr>
                <w:ilvl w:val="2"/>
                <w:numId w:val="16"/>
              </w:numPr>
              <w:spacing w:before="120"/>
              <w:ind w:left="1510"/>
              <w:contextualSpacing w:val="0"/>
              <w:rPr>
                <w:rFonts w:cs="Arial"/>
                <w:szCs w:val="24"/>
              </w:rPr>
            </w:pPr>
            <w:r w:rsidRPr="009827AC">
              <w:rPr>
                <w:rFonts w:cs="Arial"/>
                <w:szCs w:val="24"/>
              </w:rPr>
              <w:t>Health practitioners assist in the performance of terminations; but</w:t>
            </w:r>
          </w:p>
          <w:p w14:paraId="091FF605" w14:textId="77777777" w:rsidR="009A2C73" w:rsidRPr="009827AC" w:rsidRDefault="009A2C73" w:rsidP="00A736A6">
            <w:pPr>
              <w:pStyle w:val="ListParagraph"/>
              <w:numPr>
                <w:ilvl w:val="2"/>
                <w:numId w:val="16"/>
              </w:numPr>
              <w:spacing w:before="120"/>
              <w:ind w:left="1510"/>
              <w:contextualSpacing w:val="0"/>
              <w:rPr>
                <w:rFonts w:cs="Arial"/>
                <w:szCs w:val="24"/>
              </w:rPr>
            </w:pPr>
            <w:r w:rsidRPr="009827AC">
              <w:rPr>
                <w:rFonts w:cs="Arial"/>
                <w:szCs w:val="24"/>
              </w:rPr>
              <w:t xml:space="preserve">Does not include a pharmacy. </w:t>
            </w:r>
          </w:p>
          <w:p w14:paraId="2A2DD976" w14:textId="77777777" w:rsidR="009A2C73" w:rsidRPr="009827AC" w:rsidRDefault="009A2C73" w:rsidP="003308BA">
            <w:pPr>
              <w:ind w:left="234"/>
              <w:rPr>
                <w:rFonts w:cs="Arial"/>
                <w:szCs w:val="24"/>
              </w:rPr>
            </w:pPr>
            <w:r w:rsidRPr="009827AC">
              <w:rPr>
                <w:rFonts w:cs="Arial"/>
                <w:b/>
                <w:bCs/>
                <w:szCs w:val="24"/>
              </w:rPr>
              <w:t>safe access zone</w:t>
            </w:r>
            <w:r w:rsidRPr="009827AC">
              <w:rPr>
                <w:rFonts w:cs="Arial"/>
                <w:szCs w:val="24"/>
              </w:rPr>
              <w:t xml:space="preserve"> means the area: </w:t>
            </w:r>
          </w:p>
          <w:p w14:paraId="3BFC4DD2" w14:textId="77777777" w:rsidR="009A2C73" w:rsidRPr="009827AC" w:rsidRDefault="009A2C73" w:rsidP="00A736A6">
            <w:pPr>
              <w:pStyle w:val="ListParagraph"/>
              <w:numPr>
                <w:ilvl w:val="1"/>
                <w:numId w:val="16"/>
              </w:numPr>
              <w:spacing w:before="120"/>
              <w:ind w:left="943"/>
              <w:contextualSpacing w:val="0"/>
              <w:rPr>
                <w:rFonts w:cs="Arial"/>
                <w:szCs w:val="24"/>
              </w:rPr>
            </w:pPr>
            <w:r w:rsidRPr="009827AC">
              <w:rPr>
                <w:rFonts w:cs="Arial"/>
                <w:szCs w:val="24"/>
              </w:rPr>
              <w:t xml:space="preserve">Within the boundary of premises for performing terminations; and </w:t>
            </w:r>
          </w:p>
          <w:p w14:paraId="594255D7" w14:textId="77777777" w:rsidR="009A2C73" w:rsidRPr="009827AC" w:rsidRDefault="009A2C73" w:rsidP="00A736A6">
            <w:pPr>
              <w:pStyle w:val="ListParagraph"/>
              <w:numPr>
                <w:ilvl w:val="1"/>
                <w:numId w:val="16"/>
              </w:numPr>
              <w:spacing w:before="120"/>
              <w:ind w:left="943"/>
              <w:contextualSpacing w:val="0"/>
              <w:rPr>
                <w:rFonts w:cs="Arial"/>
                <w:szCs w:val="24"/>
              </w:rPr>
            </w:pPr>
            <w:r w:rsidRPr="009827AC">
              <w:rPr>
                <w:rFonts w:cs="Arial"/>
                <w:szCs w:val="24"/>
              </w:rPr>
              <w:t xml:space="preserve">Within 150 metres outside the boundary. </w:t>
            </w:r>
          </w:p>
          <w:p w14:paraId="60E4102A" w14:textId="77777777" w:rsidR="009A2C73" w:rsidRPr="009827AC" w:rsidRDefault="009A2C73" w:rsidP="00850563">
            <w:pPr>
              <w:rPr>
                <w:rFonts w:cs="Arial"/>
                <w:szCs w:val="24"/>
              </w:rPr>
            </w:pPr>
          </w:p>
          <w:p w14:paraId="284D0D27" w14:textId="77777777" w:rsidR="009A2C73" w:rsidRPr="009827AC" w:rsidRDefault="009A2C73" w:rsidP="003308BA">
            <w:pPr>
              <w:rPr>
                <w:rFonts w:cs="Arial"/>
                <w:b/>
                <w:bCs/>
                <w:szCs w:val="24"/>
              </w:rPr>
            </w:pPr>
            <w:r w:rsidRPr="009827AC">
              <w:rPr>
                <w:rFonts w:cs="Arial"/>
                <w:b/>
                <w:bCs/>
                <w:szCs w:val="24"/>
              </w:rPr>
              <w:t xml:space="preserve">Section 14 Prohibited conduct in a safe access zone </w:t>
            </w:r>
          </w:p>
          <w:p w14:paraId="2EFE483E" w14:textId="77777777" w:rsidR="009A2C73" w:rsidRPr="009827AC" w:rsidRDefault="009A2C73" w:rsidP="00A736A6">
            <w:pPr>
              <w:pStyle w:val="ListParagraph"/>
              <w:numPr>
                <w:ilvl w:val="0"/>
                <w:numId w:val="18"/>
              </w:numPr>
              <w:spacing w:before="120"/>
              <w:ind w:left="954"/>
              <w:contextualSpacing w:val="0"/>
              <w:rPr>
                <w:rFonts w:cs="Arial"/>
                <w:szCs w:val="24"/>
              </w:rPr>
            </w:pPr>
            <w:r w:rsidRPr="009827AC">
              <w:rPr>
                <w:rFonts w:cs="Arial"/>
                <w:szCs w:val="24"/>
              </w:rPr>
              <w:t xml:space="preserve">A person commits an offence if: </w:t>
            </w:r>
          </w:p>
          <w:p w14:paraId="6C263967" w14:textId="77777777" w:rsidR="009A2C73" w:rsidRPr="009827AC" w:rsidRDefault="009A2C73" w:rsidP="00A736A6">
            <w:pPr>
              <w:pStyle w:val="ListParagraph"/>
              <w:numPr>
                <w:ilvl w:val="1"/>
                <w:numId w:val="18"/>
              </w:numPr>
              <w:spacing w:before="120"/>
              <w:ind w:left="1674"/>
              <w:contextualSpacing w:val="0"/>
              <w:rPr>
                <w:rFonts w:cs="Arial"/>
                <w:szCs w:val="24"/>
              </w:rPr>
            </w:pPr>
            <w:r w:rsidRPr="009827AC">
              <w:rPr>
                <w:rFonts w:cs="Arial"/>
                <w:szCs w:val="24"/>
              </w:rPr>
              <w:t>the person intentionally engages in prohibited conduct; and</w:t>
            </w:r>
          </w:p>
          <w:p w14:paraId="11751E2E" w14:textId="77777777" w:rsidR="009A2C73" w:rsidRPr="009827AC" w:rsidRDefault="009A2C73" w:rsidP="00A736A6">
            <w:pPr>
              <w:pStyle w:val="ListParagraph"/>
              <w:numPr>
                <w:ilvl w:val="1"/>
                <w:numId w:val="18"/>
              </w:numPr>
              <w:spacing w:before="120"/>
              <w:ind w:left="1674"/>
              <w:contextualSpacing w:val="0"/>
              <w:rPr>
                <w:rFonts w:cs="Arial"/>
                <w:szCs w:val="24"/>
              </w:rPr>
            </w:pPr>
            <w:r w:rsidRPr="009827AC">
              <w:rPr>
                <w:rFonts w:cs="Arial"/>
                <w:szCs w:val="24"/>
              </w:rPr>
              <w:t xml:space="preserve">the prohibited conduct occurs in a safe access zone and the person is reckless in relation to that circumstances. </w:t>
            </w:r>
          </w:p>
          <w:p w14:paraId="551384A1" w14:textId="77777777" w:rsidR="009A2C73" w:rsidRPr="009827AC" w:rsidRDefault="009A2C73" w:rsidP="003308BA">
            <w:pPr>
              <w:ind w:left="1314"/>
              <w:rPr>
                <w:rFonts w:cs="Arial"/>
                <w:szCs w:val="24"/>
              </w:rPr>
            </w:pPr>
            <w:r w:rsidRPr="009827AC">
              <w:rPr>
                <w:rFonts w:cs="Arial"/>
                <w:szCs w:val="24"/>
              </w:rPr>
              <w:t xml:space="preserve">Maximum penalty: 100 penalty units or imprisonment for 12 months. </w:t>
            </w:r>
          </w:p>
          <w:p w14:paraId="68D3FDFC" w14:textId="77777777" w:rsidR="009A2C73" w:rsidRPr="009827AC" w:rsidRDefault="009A2C73" w:rsidP="00A736A6">
            <w:pPr>
              <w:pStyle w:val="ListParagraph"/>
              <w:numPr>
                <w:ilvl w:val="0"/>
                <w:numId w:val="18"/>
              </w:numPr>
              <w:spacing w:before="120"/>
              <w:ind w:left="954"/>
              <w:contextualSpacing w:val="0"/>
              <w:rPr>
                <w:rFonts w:cs="Arial"/>
                <w:szCs w:val="24"/>
              </w:rPr>
            </w:pPr>
            <w:r w:rsidRPr="009827AC">
              <w:rPr>
                <w:rFonts w:cs="Arial"/>
                <w:szCs w:val="24"/>
              </w:rPr>
              <w:t xml:space="preserve">Subsection (1) does not apply if: </w:t>
            </w:r>
          </w:p>
          <w:p w14:paraId="27C3A329" w14:textId="77777777" w:rsidR="009A2C73" w:rsidRPr="009827AC" w:rsidRDefault="009A2C73" w:rsidP="00A736A6">
            <w:pPr>
              <w:pStyle w:val="ListParagraph"/>
              <w:numPr>
                <w:ilvl w:val="1"/>
                <w:numId w:val="18"/>
              </w:numPr>
              <w:spacing w:before="120"/>
              <w:ind w:left="1674"/>
              <w:contextualSpacing w:val="0"/>
              <w:rPr>
                <w:rFonts w:cs="Arial"/>
                <w:szCs w:val="24"/>
              </w:rPr>
            </w:pPr>
            <w:r w:rsidRPr="009827AC">
              <w:rPr>
                <w:rFonts w:cs="Arial"/>
                <w:szCs w:val="24"/>
              </w:rPr>
              <w:t xml:space="preserve">the person is a police officer acting in the duties of law enforcement and the conduct of the police officer is reasonable circumstances for the performance of those duties; or </w:t>
            </w:r>
          </w:p>
          <w:p w14:paraId="175723FA" w14:textId="77777777" w:rsidR="009A2C73" w:rsidRPr="009827AC" w:rsidRDefault="009A2C73" w:rsidP="00A736A6">
            <w:pPr>
              <w:pStyle w:val="ListParagraph"/>
              <w:numPr>
                <w:ilvl w:val="1"/>
                <w:numId w:val="18"/>
              </w:numPr>
              <w:spacing w:before="120"/>
              <w:ind w:left="1674"/>
              <w:contextualSpacing w:val="0"/>
              <w:rPr>
                <w:rFonts w:cs="Arial"/>
                <w:szCs w:val="24"/>
              </w:rPr>
            </w:pPr>
            <w:r w:rsidRPr="009827AC">
              <w:rPr>
                <w:rFonts w:cs="Arial"/>
                <w:szCs w:val="24"/>
              </w:rPr>
              <w:t xml:space="preserve">the person is employed at premises for performing terminations and the conduct of the employee is reasonable in the circumstances. </w:t>
            </w:r>
          </w:p>
          <w:p w14:paraId="150AF2DC" w14:textId="77777777" w:rsidR="00850563" w:rsidRDefault="009A2C73" w:rsidP="00A736A6">
            <w:pPr>
              <w:pStyle w:val="ListParagraph"/>
              <w:numPr>
                <w:ilvl w:val="0"/>
                <w:numId w:val="18"/>
              </w:numPr>
              <w:spacing w:before="120"/>
              <w:contextualSpacing w:val="0"/>
              <w:rPr>
                <w:rFonts w:cs="Arial"/>
                <w:szCs w:val="24"/>
              </w:rPr>
            </w:pPr>
            <w:r w:rsidRPr="009827AC">
              <w:rPr>
                <w:rFonts w:cs="Arial"/>
                <w:szCs w:val="24"/>
              </w:rPr>
              <w:t xml:space="preserve">For conduct mentioned in subsection (4), definition </w:t>
            </w:r>
            <w:r w:rsidRPr="009827AC">
              <w:rPr>
                <w:rFonts w:cs="Arial"/>
                <w:b/>
                <w:bCs/>
                <w:i/>
                <w:iCs/>
                <w:szCs w:val="24"/>
              </w:rPr>
              <w:t>prohibited conduct</w:t>
            </w:r>
            <w:r w:rsidRPr="009827AC">
              <w:rPr>
                <w:rFonts w:cs="Arial"/>
                <w:szCs w:val="24"/>
              </w:rPr>
              <w:t>, paragraph (b), it is immaterial whether a person was entering or leaving, or attempting to enter or leave, premises for performing terminations for an offence to be committed.</w:t>
            </w:r>
          </w:p>
          <w:p w14:paraId="050BFD9F" w14:textId="110A5A6D" w:rsidR="009A2C73" w:rsidRDefault="009A2C73" w:rsidP="00850563">
            <w:pPr>
              <w:spacing w:before="120"/>
              <w:rPr>
                <w:rFonts w:cs="Arial"/>
                <w:szCs w:val="24"/>
              </w:rPr>
            </w:pPr>
            <w:r w:rsidRPr="00850563">
              <w:rPr>
                <w:rFonts w:cs="Arial"/>
                <w:szCs w:val="24"/>
              </w:rPr>
              <w:t xml:space="preserve"> </w:t>
            </w:r>
          </w:p>
          <w:p w14:paraId="553BCCFB" w14:textId="72339AAA" w:rsidR="00850563" w:rsidRDefault="00850563" w:rsidP="00850563">
            <w:pPr>
              <w:spacing w:before="120"/>
              <w:rPr>
                <w:rFonts w:cs="Arial"/>
                <w:szCs w:val="24"/>
              </w:rPr>
            </w:pPr>
          </w:p>
          <w:p w14:paraId="40C151A9" w14:textId="53669B6E" w:rsidR="00850563" w:rsidRDefault="00850563" w:rsidP="00850563">
            <w:pPr>
              <w:spacing w:before="120"/>
              <w:rPr>
                <w:rFonts w:cs="Arial"/>
                <w:szCs w:val="24"/>
              </w:rPr>
            </w:pPr>
          </w:p>
          <w:p w14:paraId="2265BF67" w14:textId="77777777" w:rsidR="00850563" w:rsidRPr="00850563" w:rsidRDefault="00850563" w:rsidP="00850563">
            <w:pPr>
              <w:spacing w:before="120"/>
              <w:rPr>
                <w:rFonts w:cs="Arial"/>
                <w:szCs w:val="24"/>
              </w:rPr>
            </w:pPr>
          </w:p>
          <w:p w14:paraId="380D8166" w14:textId="77777777" w:rsidR="009A2C73" w:rsidRPr="009827AC" w:rsidRDefault="009A2C73" w:rsidP="00A736A6">
            <w:pPr>
              <w:pStyle w:val="ListParagraph"/>
              <w:numPr>
                <w:ilvl w:val="0"/>
                <w:numId w:val="18"/>
              </w:numPr>
              <w:spacing w:before="120"/>
              <w:contextualSpacing w:val="0"/>
              <w:rPr>
                <w:rFonts w:cs="Arial"/>
                <w:szCs w:val="24"/>
              </w:rPr>
            </w:pPr>
            <w:r w:rsidRPr="009827AC">
              <w:rPr>
                <w:rFonts w:cs="Arial"/>
                <w:szCs w:val="24"/>
              </w:rPr>
              <w:lastRenderedPageBreak/>
              <w:t xml:space="preserve">In this section: </w:t>
            </w:r>
          </w:p>
          <w:p w14:paraId="7929E837" w14:textId="77777777" w:rsidR="009A2C73" w:rsidRPr="009827AC" w:rsidRDefault="009A2C73" w:rsidP="003308BA">
            <w:pPr>
              <w:pStyle w:val="ListParagraph"/>
              <w:rPr>
                <w:rFonts w:cs="Arial"/>
                <w:szCs w:val="24"/>
              </w:rPr>
            </w:pPr>
            <w:r w:rsidRPr="009827AC">
              <w:rPr>
                <w:rFonts w:cs="Arial"/>
                <w:b/>
                <w:bCs/>
                <w:i/>
                <w:iCs/>
                <w:szCs w:val="24"/>
              </w:rPr>
              <w:t>prohibited conduct</w:t>
            </w:r>
            <w:r w:rsidRPr="009827AC">
              <w:rPr>
                <w:rFonts w:cs="Arial"/>
                <w:szCs w:val="24"/>
              </w:rPr>
              <w:t xml:space="preserve"> means:  </w:t>
            </w:r>
          </w:p>
          <w:p w14:paraId="57BE6EBB" w14:textId="77777777" w:rsidR="009A2C73" w:rsidRPr="009827AC" w:rsidRDefault="009A2C73" w:rsidP="00A736A6">
            <w:pPr>
              <w:pStyle w:val="ListParagraph"/>
              <w:numPr>
                <w:ilvl w:val="1"/>
                <w:numId w:val="18"/>
              </w:numPr>
              <w:spacing w:before="120"/>
              <w:contextualSpacing w:val="0"/>
              <w:rPr>
                <w:rFonts w:cs="Arial"/>
                <w:szCs w:val="24"/>
              </w:rPr>
            </w:pPr>
            <w:r w:rsidRPr="009827AC">
              <w:rPr>
                <w:rFonts w:cs="Arial"/>
                <w:szCs w:val="24"/>
              </w:rPr>
              <w:t xml:space="preserve">harassing hindering, intimidating, interfering with, threatening or obstructing a person, including by recording the person by any means without the person’s consent and without a reasonable excuse, that may result in deterring the person from: </w:t>
            </w:r>
          </w:p>
          <w:p w14:paraId="3FAAD360" w14:textId="77777777" w:rsidR="009A2C73" w:rsidRPr="009827AC" w:rsidRDefault="009A2C73" w:rsidP="00A736A6">
            <w:pPr>
              <w:pStyle w:val="ListParagraph"/>
              <w:numPr>
                <w:ilvl w:val="2"/>
                <w:numId w:val="18"/>
              </w:numPr>
              <w:spacing w:before="120"/>
              <w:contextualSpacing w:val="0"/>
              <w:rPr>
                <w:rFonts w:cs="Arial"/>
                <w:szCs w:val="24"/>
              </w:rPr>
            </w:pPr>
            <w:r w:rsidRPr="009827AC">
              <w:rPr>
                <w:rFonts w:cs="Arial"/>
                <w:szCs w:val="24"/>
              </w:rPr>
              <w:t>entering or leaving premises for performing terminations; or</w:t>
            </w:r>
          </w:p>
          <w:p w14:paraId="177BE2BE" w14:textId="77777777" w:rsidR="009A2C73" w:rsidRPr="009827AC" w:rsidRDefault="009A2C73" w:rsidP="00A736A6">
            <w:pPr>
              <w:pStyle w:val="ListParagraph"/>
              <w:numPr>
                <w:ilvl w:val="2"/>
                <w:numId w:val="18"/>
              </w:numPr>
              <w:spacing w:before="120"/>
              <w:contextualSpacing w:val="0"/>
              <w:rPr>
                <w:rFonts w:cs="Arial"/>
                <w:szCs w:val="24"/>
              </w:rPr>
            </w:pPr>
            <w:r w:rsidRPr="009827AC">
              <w:rPr>
                <w:rFonts w:cs="Arial"/>
                <w:szCs w:val="24"/>
              </w:rPr>
              <w:t xml:space="preserve">performing, or receiving, a termination at premises for performing terminations; and </w:t>
            </w:r>
          </w:p>
          <w:p w14:paraId="06B656D6" w14:textId="77777777" w:rsidR="009A2C73" w:rsidRPr="009827AC" w:rsidRDefault="009A2C73" w:rsidP="00A736A6">
            <w:pPr>
              <w:pStyle w:val="ListParagraph"/>
              <w:numPr>
                <w:ilvl w:val="1"/>
                <w:numId w:val="18"/>
              </w:numPr>
              <w:spacing w:before="120"/>
              <w:contextualSpacing w:val="0"/>
              <w:rPr>
                <w:rFonts w:cs="Arial"/>
                <w:szCs w:val="24"/>
              </w:rPr>
            </w:pPr>
            <w:r w:rsidRPr="009827AC">
              <w:rPr>
                <w:rFonts w:cs="Arial"/>
                <w:szCs w:val="24"/>
              </w:rPr>
              <w:t xml:space="preserve">an act that could be seen or heard by a person in the vicinity of premises for performing terminations, that may result in deterring the person or another person from: </w:t>
            </w:r>
          </w:p>
          <w:p w14:paraId="1C2E11FB" w14:textId="77777777" w:rsidR="009A2C73" w:rsidRPr="009827AC" w:rsidRDefault="009A2C73" w:rsidP="00A736A6">
            <w:pPr>
              <w:pStyle w:val="ListParagraph"/>
              <w:numPr>
                <w:ilvl w:val="2"/>
                <w:numId w:val="18"/>
              </w:numPr>
              <w:spacing w:before="120"/>
              <w:contextualSpacing w:val="0"/>
              <w:rPr>
                <w:rFonts w:cs="Arial"/>
                <w:szCs w:val="24"/>
              </w:rPr>
            </w:pPr>
            <w:r w:rsidRPr="009827AC">
              <w:rPr>
                <w:rFonts w:cs="Arial"/>
                <w:szCs w:val="24"/>
              </w:rPr>
              <w:t>entering or leaving the premises; or</w:t>
            </w:r>
          </w:p>
          <w:p w14:paraId="2E74938A" w14:textId="77777777" w:rsidR="009A2C73" w:rsidRPr="009827AC" w:rsidRDefault="009A2C73" w:rsidP="00A736A6">
            <w:pPr>
              <w:pStyle w:val="ListParagraph"/>
              <w:numPr>
                <w:ilvl w:val="2"/>
                <w:numId w:val="18"/>
              </w:numPr>
              <w:spacing w:before="120"/>
              <w:contextualSpacing w:val="0"/>
              <w:rPr>
                <w:rFonts w:cs="Arial"/>
                <w:szCs w:val="24"/>
              </w:rPr>
            </w:pPr>
            <w:r w:rsidRPr="009827AC">
              <w:rPr>
                <w:rFonts w:cs="Arial"/>
                <w:szCs w:val="24"/>
              </w:rPr>
              <w:t xml:space="preserve">performing a termination, or receiving a termination at the premises. </w:t>
            </w:r>
          </w:p>
          <w:p w14:paraId="494CE84E" w14:textId="77777777" w:rsidR="009A2C73" w:rsidRPr="009827AC" w:rsidRDefault="009A2C73" w:rsidP="003308BA">
            <w:pPr>
              <w:rPr>
                <w:rFonts w:cs="Arial"/>
                <w:b/>
                <w:bCs/>
                <w:szCs w:val="24"/>
              </w:rPr>
            </w:pPr>
            <w:r w:rsidRPr="009827AC">
              <w:rPr>
                <w:rFonts w:cs="Arial"/>
                <w:b/>
                <w:bCs/>
                <w:szCs w:val="24"/>
              </w:rPr>
              <w:t xml:space="preserve">Section 15 Publication of recording </w:t>
            </w:r>
          </w:p>
          <w:p w14:paraId="2678C3A4" w14:textId="77777777" w:rsidR="009A2C73" w:rsidRPr="009827AC" w:rsidRDefault="009A2C73" w:rsidP="00A736A6">
            <w:pPr>
              <w:pStyle w:val="ListParagraph"/>
              <w:numPr>
                <w:ilvl w:val="0"/>
                <w:numId w:val="19"/>
              </w:numPr>
              <w:spacing w:before="120"/>
              <w:contextualSpacing w:val="0"/>
              <w:rPr>
                <w:rFonts w:cs="Arial"/>
                <w:szCs w:val="24"/>
              </w:rPr>
            </w:pPr>
            <w:r w:rsidRPr="009827AC">
              <w:rPr>
                <w:rFonts w:cs="Arial"/>
                <w:szCs w:val="24"/>
              </w:rPr>
              <w:t xml:space="preserve">A person commits an offence if: </w:t>
            </w:r>
          </w:p>
          <w:p w14:paraId="01F6331D" w14:textId="77777777" w:rsidR="009A2C73" w:rsidRPr="009827AC" w:rsidRDefault="009A2C73" w:rsidP="00A736A6">
            <w:pPr>
              <w:pStyle w:val="ListParagraph"/>
              <w:numPr>
                <w:ilvl w:val="1"/>
                <w:numId w:val="19"/>
              </w:numPr>
              <w:spacing w:before="120"/>
              <w:contextualSpacing w:val="0"/>
              <w:rPr>
                <w:rFonts w:cs="Arial"/>
                <w:szCs w:val="24"/>
              </w:rPr>
            </w:pPr>
            <w:r w:rsidRPr="009827AC">
              <w:rPr>
                <w:rFonts w:cs="Arial"/>
                <w:szCs w:val="24"/>
              </w:rPr>
              <w:t>The person intentionally publishes a recording of another person who is in a safe access zone; and</w:t>
            </w:r>
          </w:p>
          <w:p w14:paraId="5D138C6A" w14:textId="77777777" w:rsidR="009A2C73" w:rsidRPr="009827AC" w:rsidRDefault="009A2C73" w:rsidP="00A736A6">
            <w:pPr>
              <w:pStyle w:val="ListParagraph"/>
              <w:numPr>
                <w:ilvl w:val="1"/>
                <w:numId w:val="19"/>
              </w:numPr>
              <w:spacing w:before="120"/>
              <w:contextualSpacing w:val="0"/>
              <w:rPr>
                <w:rFonts w:cs="Arial"/>
                <w:szCs w:val="24"/>
              </w:rPr>
            </w:pPr>
            <w:r w:rsidRPr="009827AC">
              <w:rPr>
                <w:rFonts w:cs="Arial"/>
                <w:szCs w:val="24"/>
              </w:rPr>
              <w:t>The recording was made without the other person’s consent; and</w:t>
            </w:r>
          </w:p>
          <w:p w14:paraId="51FEB725" w14:textId="77777777" w:rsidR="009A2C73" w:rsidRPr="009827AC" w:rsidRDefault="009A2C73" w:rsidP="00A736A6">
            <w:pPr>
              <w:pStyle w:val="ListParagraph"/>
              <w:numPr>
                <w:ilvl w:val="1"/>
                <w:numId w:val="19"/>
              </w:numPr>
              <w:spacing w:before="120"/>
              <w:contextualSpacing w:val="0"/>
              <w:rPr>
                <w:rFonts w:cs="Arial"/>
                <w:szCs w:val="24"/>
              </w:rPr>
            </w:pPr>
            <w:r w:rsidRPr="009827AC">
              <w:rPr>
                <w:rFonts w:cs="Arial"/>
                <w:szCs w:val="24"/>
              </w:rPr>
              <w:t>The recording shows that the other person was entering or leaving, or attempting to enter or leave, premises for performing terminations; and</w:t>
            </w:r>
          </w:p>
          <w:p w14:paraId="33C4E1DB" w14:textId="77777777" w:rsidR="009A2C73" w:rsidRPr="009827AC" w:rsidRDefault="009A2C73" w:rsidP="00A736A6">
            <w:pPr>
              <w:pStyle w:val="ListParagraph"/>
              <w:numPr>
                <w:ilvl w:val="1"/>
                <w:numId w:val="19"/>
              </w:numPr>
              <w:spacing w:before="120"/>
              <w:contextualSpacing w:val="0"/>
              <w:rPr>
                <w:rFonts w:cs="Arial"/>
                <w:szCs w:val="24"/>
              </w:rPr>
            </w:pPr>
            <w:r w:rsidRPr="009827AC">
              <w:rPr>
                <w:rFonts w:cs="Arial"/>
                <w:szCs w:val="24"/>
              </w:rPr>
              <w:t xml:space="preserve">The person is reckless in relation to the circumstances mentioned in paragraphs (b) and (c). </w:t>
            </w:r>
          </w:p>
          <w:p w14:paraId="2319591D" w14:textId="77777777" w:rsidR="009A2C73" w:rsidRPr="009827AC" w:rsidRDefault="009A2C73" w:rsidP="003308BA">
            <w:pPr>
              <w:ind w:left="1080"/>
              <w:rPr>
                <w:rFonts w:cs="Arial"/>
                <w:szCs w:val="24"/>
              </w:rPr>
            </w:pPr>
            <w:r w:rsidRPr="009827AC">
              <w:rPr>
                <w:rFonts w:cs="Arial"/>
                <w:szCs w:val="24"/>
              </w:rPr>
              <w:t xml:space="preserve">Maximum penalty: 100 penalty units or imprisonment for 12 months. </w:t>
            </w:r>
          </w:p>
          <w:p w14:paraId="1E7C7D1D" w14:textId="77777777" w:rsidR="009A2C73" w:rsidRPr="009827AC" w:rsidRDefault="009A2C73" w:rsidP="00A736A6">
            <w:pPr>
              <w:pStyle w:val="ListParagraph"/>
              <w:numPr>
                <w:ilvl w:val="0"/>
                <w:numId w:val="19"/>
              </w:numPr>
              <w:spacing w:before="120"/>
              <w:contextualSpacing w:val="0"/>
              <w:rPr>
                <w:rFonts w:cs="Arial"/>
                <w:szCs w:val="24"/>
              </w:rPr>
            </w:pPr>
            <w:r w:rsidRPr="009827AC">
              <w:rPr>
                <w:rFonts w:cs="Arial"/>
                <w:szCs w:val="24"/>
              </w:rPr>
              <w:t xml:space="preserve">Subsection 91) does not apply if the recording is published to a person who is authorised under a law in force in the Territory to receive the information in the recording. </w:t>
            </w:r>
          </w:p>
          <w:p w14:paraId="28D87144" w14:textId="77777777" w:rsidR="009A2C73" w:rsidRPr="009827AC" w:rsidRDefault="009A2C73" w:rsidP="00A736A6">
            <w:pPr>
              <w:pStyle w:val="ListParagraph"/>
              <w:numPr>
                <w:ilvl w:val="0"/>
                <w:numId w:val="19"/>
              </w:numPr>
              <w:spacing w:before="120"/>
              <w:contextualSpacing w:val="0"/>
              <w:rPr>
                <w:rFonts w:cs="Arial"/>
                <w:szCs w:val="24"/>
              </w:rPr>
            </w:pPr>
            <w:r w:rsidRPr="009827AC">
              <w:rPr>
                <w:rFonts w:cs="Arial"/>
                <w:szCs w:val="24"/>
              </w:rPr>
              <w:t xml:space="preserve">It is a defence to a prosecution for an offence against subsection 91) if the defendant has a reasonable excuse.  </w:t>
            </w:r>
          </w:p>
          <w:p w14:paraId="127E0C3B" w14:textId="77777777" w:rsidR="009A2C73" w:rsidRPr="009827AC" w:rsidRDefault="009A2C73" w:rsidP="003308BA">
            <w:pPr>
              <w:ind w:left="234"/>
              <w:rPr>
                <w:rFonts w:cs="Arial"/>
                <w:b/>
                <w:bCs/>
                <w:szCs w:val="24"/>
              </w:rPr>
            </w:pPr>
          </w:p>
        </w:tc>
      </w:tr>
    </w:tbl>
    <w:p w14:paraId="2E633286" w14:textId="77777777" w:rsidR="009A2C73" w:rsidRPr="009827AC" w:rsidRDefault="009A2C73" w:rsidP="003308BA">
      <w:pPr>
        <w:rPr>
          <w:rFonts w:cs="Arial"/>
          <w:szCs w:val="24"/>
        </w:rPr>
      </w:pPr>
    </w:p>
    <w:p w14:paraId="2E95FAB3" w14:textId="13BB3C43" w:rsidR="009A2C73" w:rsidRDefault="009A2C73" w:rsidP="003308BA">
      <w:pPr>
        <w:rPr>
          <w:rFonts w:cs="Arial"/>
          <w:szCs w:val="24"/>
        </w:rPr>
      </w:pPr>
      <w:r w:rsidRPr="009827AC">
        <w:rPr>
          <w:rFonts w:cs="Arial"/>
          <w:szCs w:val="24"/>
        </w:rPr>
        <w:t xml:space="preserve">In July 2017, the Northern Territory (‘NT’)’s </w:t>
      </w:r>
      <w:r w:rsidRPr="009827AC">
        <w:rPr>
          <w:rFonts w:cs="Arial"/>
          <w:i/>
          <w:iCs/>
          <w:szCs w:val="24"/>
        </w:rPr>
        <w:t xml:space="preserve">Termination of Pregnancy Law Reform Act 2017 </w:t>
      </w:r>
      <w:r w:rsidRPr="009827AC">
        <w:rPr>
          <w:rFonts w:cs="Arial"/>
          <w:szCs w:val="24"/>
        </w:rPr>
        <w:t xml:space="preserve">commenced, establishing safe access zones in the territory. </w:t>
      </w:r>
    </w:p>
    <w:p w14:paraId="533DED7F" w14:textId="346C903C" w:rsidR="009A2C73" w:rsidRPr="009827AC" w:rsidRDefault="00850563" w:rsidP="00850563">
      <w:pPr>
        <w:spacing w:after="160" w:line="259" w:lineRule="auto"/>
        <w:rPr>
          <w:rFonts w:cs="Arial"/>
          <w:szCs w:val="24"/>
        </w:rPr>
      </w:pPr>
      <w:r>
        <w:rPr>
          <w:rFonts w:cs="Arial"/>
          <w:szCs w:val="24"/>
        </w:rPr>
        <w:br w:type="page"/>
      </w:r>
      <w:r w:rsidR="009A2C73" w:rsidRPr="009827AC">
        <w:rPr>
          <w:rFonts w:cs="Arial"/>
          <w:szCs w:val="24"/>
        </w:rPr>
        <w:lastRenderedPageBreak/>
        <w:t>A safe access zone, in the NT, means the area within the boundary of premises for performing terminations and within 150 metres outside the boundary. This was further explained by the NT Minister for Health:</w:t>
      </w:r>
    </w:p>
    <w:p w14:paraId="18BC4F5F" w14:textId="6EB3D395" w:rsidR="009A2C73" w:rsidRPr="009827AC" w:rsidRDefault="009A2C73" w:rsidP="00850563">
      <w:pPr>
        <w:ind w:left="720"/>
        <w:rPr>
          <w:rFonts w:cs="Arial"/>
          <w:szCs w:val="24"/>
        </w:rPr>
      </w:pPr>
      <w:r w:rsidRPr="009827AC">
        <w:rPr>
          <w:rFonts w:cs="Arial"/>
          <w:szCs w:val="24"/>
        </w:rPr>
        <w:t>It is intended that the outer part of safe access zones be measured from the boundaries of premises delineated on property titles, leases or declarations. A boundary may be an external land perimeter, whether fenced or not, or a physical attribute such as a wall, but will be consistent with the outer perimeter, and should not be measured from any specific entry point of a building within the boundaries.</w:t>
      </w:r>
      <w:r w:rsidRPr="009827AC">
        <w:rPr>
          <w:rStyle w:val="FootnoteReference"/>
          <w:rFonts w:cs="Arial"/>
          <w:szCs w:val="24"/>
        </w:rPr>
        <w:footnoteReference w:id="24"/>
      </w:r>
    </w:p>
    <w:p w14:paraId="5AF263EB" w14:textId="43E62204" w:rsidR="009A2C73" w:rsidRPr="009827AC" w:rsidRDefault="009A2C73" w:rsidP="003308BA">
      <w:pPr>
        <w:rPr>
          <w:rFonts w:cs="Arial"/>
          <w:szCs w:val="24"/>
        </w:rPr>
      </w:pPr>
      <w:r w:rsidRPr="009827AC">
        <w:rPr>
          <w:rFonts w:cs="Arial"/>
          <w:szCs w:val="24"/>
        </w:rPr>
        <w:t>Pharmacies are not included in the definition of ‘premises for performing terminations’.</w:t>
      </w:r>
      <w:r w:rsidRPr="009827AC">
        <w:rPr>
          <w:rStyle w:val="FootnoteReference"/>
          <w:rFonts w:cs="Arial"/>
          <w:szCs w:val="24"/>
        </w:rPr>
        <w:footnoteReference w:id="25"/>
      </w:r>
    </w:p>
    <w:p w14:paraId="1FF02489" w14:textId="77777777" w:rsidR="009A2C73" w:rsidRPr="009827AC" w:rsidRDefault="009A2C73" w:rsidP="003308BA">
      <w:pPr>
        <w:rPr>
          <w:rFonts w:cs="Arial"/>
          <w:szCs w:val="24"/>
        </w:rPr>
      </w:pPr>
      <w:r w:rsidRPr="009827AC">
        <w:rPr>
          <w:rFonts w:cs="Arial"/>
          <w:szCs w:val="24"/>
        </w:rPr>
        <w:t>Section 14(1) makes it an offence to engage in prohibited behaviour</w:t>
      </w:r>
      <w:r w:rsidRPr="009827AC">
        <w:rPr>
          <w:rStyle w:val="FootnoteReference"/>
          <w:rFonts w:cs="Arial"/>
          <w:szCs w:val="24"/>
        </w:rPr>
        <w:footnoteReference w:id="26"/>
      </w:r>
      <w:r w:rsidRPr="009827AC">
        <w:rPr>
          <w:rFonts w:cs="Arial"/>
          <w:i/>
          <w:iCs/>
          <w:szCs w:val="24"/>
        </w:rPr>
        <w:t xml:space="preserve"> </w:t>
      </w:r>
      <w:r w:rsidRPr="009827AC">
        <w:rPr>
          <w:rFonts w:cs="Arial"/>
          <w:szCs w:val="24"/>
        </w:rPr>
        <w:t>in a safe access zone. This prohibited behaviour includes:</w:t>
      </w:r>
    </w:p>
    <w:p w14:paraId="5AB66067" w14:textId="77777777" w:rsidR="009A2C73" w:rsidRPr="009827AC" w:rsidRDefault="009A2C73" w:rsidP="003308BA">
      <w:pPr>
        <w:rPr>
          <w:rFonts w:cs="Arial"/>
          <w:szCs w:val="24"/>
        </w:rPr>
      </w:pPr>
    </w:p>
    <w:p w14:paraId="219D37F2" w14:textId="77777777" w:rsidR="009A2C73" w:rsidRPr="009827AC" w:rsidRDefault="009A2C73" w:rsidP="00A736A6">
      <w:pPr>
        <w:pStyle w:val="ListParagraph"/>
        <w:numPr>
          <w:ilvl w:val="0"/>
          <w:numId w:val="20"/>
        </w:numPr>
        <w:spacing w:after="0"/>
        <w:rPr>
          <w:rFonts w:cs="Arial"/>
          <w:szCs w:val="24"/>
        </w:rPr>
      </w:pPr>
      <w:r w:rsidRPr="009827AC">
        <w:rPr>
          <w:rFonts w:cs="Arial"/>
          <w:szCs w:val="24"/>
        </w:rPr>
        <w:t>harassing, hindering, intimidating, interfering with, threatening or obstructing a person, including by recording the person by any means without the person's consent and without a reasonable excuse, that may result in deterring the person from entering or leaving premises for performing terminations; or performing, or receiving, a termination at premises for performing terminations; and</w:t>
      </w:r>
    </w:p>
    <w:p w14:paraId="2778014D" w14:textId="77777777" w:rsidR="009A2C73" w:rsidRPr="009827AC" w:rsidRDefault="009A2C73" w:rsidP="00A736A6">
      <w:pPr>
        <w:pStyle w:val="ListParagraph"/>
        <w:numPr>
          <w:ilvl w:val="0"/>
          <w:numId w:val="20"/>
        </w:numPr>
        <w:spacing w:after="0"/>
        <w:rPr>
          <w:rFonts w:cs="Arial"/>
          <w:szCs w:val="24"/>
        </w:rPr>
      </w:pPr>
      <w:r w:rsidRPr="009827AC">
        <w:rPr>
          <w:rFonts w:cs="Arial"/>
          <w:szCs w:val="24"/>
        </w:rPr>
        <w:t>an act that could be seen or heard by a person in the vicinity of premises for performing terminations, that may result in deterring the person or another person from entering or leaving the premises; or performing a termination, or receiving a termination at the premises.</w:t>
      </w:r>
      <w:r w:rsidRPr="009827AC">
        <w:rPr>
          <w:rStyle w:val="FootnoteReference"/>
          <w:rFonts w:cs="Arial"/>
          <w:szCs w:val="24"/>
        </w:rPr>
        <w:footnoteReference w:id="27"/>
      </w:r>
    </w:p>
    <w:p w14:paraId="41D6BE44" w14:textId="77777777" w:rsidR="009A2C73" w:rsidRPr="009827AC" w:rsidRDefault="009A2C73" w:rsidP="003308BA">
      <w:pPr>
        <w:rPr>
          <w:rFonts w:cs="Arial"/>
          <w:szCs w:val="24"/>
        </w:rPr>
      </w:pPr>
    </w:p>
    <w:p w14:paraId="59A16FE7" w14:textId="03C8FD0F" w:rsidR="009A2C73" w:rsidRPr="009827AC" w:rsidRDefault="009A2C73" w:rsidP="003308BA">
      <w:pPr>
        <w:rPr>
          <w:rFonts w:cs="Arial"/>
          <w:szCs w:val="24"/>
        </w:rPr>
      </w:pPr>
      <w:r w:rsidRPr="009827AC">
        <w:rPr>
          <w:rFonts w:cs="Arial"/>
          <w:szCs w:val="24"/>
        </w:rPr>
        <w:t xml:space="preserve">A person also commits an offence if: </w:t>
      </w:r>
    </w:p>
    <w:p w14:paraId="214ED8C5" w14:textId="77777777" w:rsidR="009A2C73" w:rsidRPr="009827AC" w:rsidRDefault="009A2C73" w:rsidP="00A736A6">
      <w:pPr>
        <w:pStyle w:val="SectionNumberOnly"/>
        <w:numPr>
          <w:ilvl w:val="1"/>
          <w:numId w:val="10"/>
        </w:numPr>
        <w:rPr>
          <w:rFonts w:ascii="Arial" w:hAnsi="Arial" w:cs="Arial"/>
          <w:color w:val="000000" w:themeColor="text1"/>
          <w:sz w:val="24"/>
          <w:szCs w:val="24"/>
        </w:rPr>
      </w:pPr>
      <w:r w:rsidRPr="009827AC">
        <w:rPr>
          <w:rFonts w:ascii="Arial" w:hAnsi="Arial" w:cs="Arial"/>
          <w:color w:val="000000" w:themeColor="text1"/>
          <w:sz w:val="24"/>
          <w:szCs w:val="24"/>
        </w:rPr>
        <w:t xml:space="preserve">the person intentionally publishes a recording of another person who is in a safe access zone; and </w:t>
      </w:r>
    </w:p>
    <w:p w14:paraId="68DECDF6" w14:textId="77777777" w:rsidR="009A2C73" w:rsidRPr="009827AC" w:rsidRDefault="009A2C73" w:rsidP="00A736A6">
      <w:pPr>
        <w:pStyle w:val="SectionNumberOnly"/>
        <w:numPr>
          <w:ilvl w:val="1"/>
          <w:numId w:val="10"/>
        </w:numPr>
        <w:rPr>
          <w:rFonts w:ascii="Arial" w:hAnsi="Arial" w:cs="Arial"/>
          <w:color w:val="000000" w:themeColor="text1"/>
          <w:sz w:val="24"/>
          <w:szCs w:val="24"/>
        </w:rPr>
      </w:pPr>
      <w:r w:rsidRPr="009827AC">
        <w:rPr>
          <w:rFonts w:ascii="Arial" w:hAnsi="Arial" w:cs="Arial"/>
          <w:color w:val="000000" w:themeColor="text1"/>
          <w:sz w:val="24"/>
          <w:szCs w:val="24"/>
        </w:rPr>
        <w:t>the recording was made without the other person’s consent; and</w:t>
      </w:r>
    </w:p>
    <w:p w14:paraId="469052C0" w14:textId="77777777" w:rsidR="009A2C73" w:rsidRPr="009827AC" w:rsidRDefault="009A2C73" w:rsidP="00A736A6">
      <w:pPr>
        <w:pStyle w:val="SectionNumberOnly"/>
        <w:numPr>
          <w:ilvl w:val="1"/>
          <w:numId w:val="10"/>
        </w:numPr>
        <w:rPr>
          <w:rFonts w:ascii="Arial" w:hAnsi="Arial" w:cs="Arial"/>
          <w:color w:val="000000" w:themeColor="text1"/>
          <w:sz w:val="24"/>
          <w:szCs w:val="24"/>
        </w:rPr>
      </w:pPr>
      <w:r w:rsidRPr="009827AC">
        <w:rPr>
          <w:rFonts w:ascii="Arial" w:hAnsi="Arial" w:cs="Arial"/>
          <w:color w:val="000000" w:themeColor="text1"/>
          <w:sz w:val="24"/>
          <w:szCs w:val="24"/>
        </w:rPr>
        <w:t xml:space="preserve">the recording shows that other person was entering or leaving, or attempting to enter or leave, premises for performing terminations; and </w:t>
      </w:r>
    </w:p>
    <w:p w14:paraId="29C3574F" w14:textId="77777777" w:rsidR="009A2C73" w:rsidRPr="009827AC" w:rsidRDefault="009A2C73" w:rsidP="00A736A6">
      <w:pPr>
        <w:pStyle w:val="SectionNumberOnly"/>
        <w:numPr>
          <w:ilvl w:val="1"/>
          <w:numId w:val="10"/>
        </w:numPr>
        <w:rPr>
          <w:rFonts w:ascii="Arial" w:hAnsi="Arial" w:cs="Arial"/>
          <w:color w:val="000000" w:themeColor="text1"/>
          <w:sz w:val="24"/>
          <w:szCs w:val="24"/>
        </w:rPr>
      </w:pPr>
      <w:r w:rsidRPr="009827AC">
        <w:rPr>
          <w:rFonts w:ascii="Arial" w:hAnsi="Arial" w:cs="Arial"/>
          <w:color w:val="000000" w:themeColor="text1"/>
          <w:sz w:val="24"/>
          <w:szCs w:val="24"/>
        </w:rPr>
        <w:t>the person is reckless in in relation to the circumstances mentioned in paragraphs (b) and (c).</w:t>
      </w:r>
      <w:r w:rsidRPr="009827AC">
        <w:rPr>
          <w:rStyle w:val="FootnoteReference"/>
          <w:rFonts w:ascii="Arial" w:hAnsi="Arial" w:cs="Arial"/>
          <w:color w:val="000000" w:themeColor="text1"/>
          <w:sz w:val="24"/>
          <w:szCs w:val="24"/>
        </w:rPr>
        <w:footnoteReference w:id="28"/>
      </w:r>
    </w:p>
    <w:p w14:paraId="04C3021D" w14:textId="77777777" w:rsidR="009A2C73" w:rsidRPr="009827AC" w:rsidRDefault="009A2C73" w:rsidP="003308BA">
      <w:pPr>
        <w:rPr>
          <w:rFonts w:cs="Arial"/>
          <w:szCs w:val="24"/>
        </w:rPr>
      </w:pPr>
      <w:r w:rsidRPr="009827AC">
        <w:rPr>
          <w:rFonts w:cs="Arial"/>
          <w:szCs w:val="24"/>
        </w:rPr>
        <w:lastRenderedPageBreak/>
        <w:t>This provision does not apply, however, if the recording is published to a person who is authorised under law in force in the NT to receive the information in the recording.</w:t>
      </w:r>
      <w:r w:rsidRPr="009827AC">
        <w:rPr>
          <w:rStyle w:val="FootnoteReference"/>
          <w:rFonts w:cs="Arial"/>
          <w:szCs w:val="24"/>
        </w:rPr>
        <w:footnoteReference w:id="29"/>
      </w:r>
      <w:r w:rsidRPr="009827AC">
        <w:rPr>
          <w:rFonts w:cs="Arial"/>
          <w:szCs w:val="24"/>
        </w:rPr>
        <w:t xml:space="preserve"> It is also a defence if the defendant has a reasonable excuse.</w:t>
      </w:r>
      <w:r w:rsidRPr="009827AC">
        <w:rPr>
          <w:rStyle w:val="FootnoteReference"/>
          <w:rFonts w:cs="Arial"/>
          <w:szCs w:val="24"/>
        </w:rPr>
        <w:footnoteReference w:id="30"/>
      </w:r>
    </w:p>
    <w:p w14:paraId="4834D213" w14:textId="77777777" w:rsidR="009A2C73" w:rsidRPr="009827AC" w:rsidRDefault="009A2C73" w:rsidP="003308BA">
      <w:pPr>
        <w:rPr>
          <w:rFonts w:cs="Arial"/>
          <w:szCs w:val="24"/>
        </w:rPr>
      </w:pPr>
      <w:r w:rsidRPr="009827AC">
        <w:rPr>
          <w:rFonts w:cs="Arial"/>
          <w:szCs w:val="24"/>
        </w:rPr>
        <w:t xml:space="preserve">The safe access zone in the NT operates 24 hours-a-day, seven days-a-week. </w:t>
      </w:r>
    </w:p>
    <w:p w14:paraId="2D6BFDF1" w14:textId="77777777" w:rsidR="009A2C73" w:rsidRPr="009827AC" w:rsidRDefault="009A2C73" w:rsidP="003308BA">
      <w:pPr>
        <w:rPr>
          <w:rFonts w:cs="Arial"/>
          <w:szCs w:val="24"/>
        </w:rPr>
      </w:pPr>
      <w:r w:rsidRPr="009827AC">
        <w:rPr>
          <w:rFonts w:cs="Arial"/>
          <w:szCs w:val="24"/>
        </w:rPr>
        <w:t>The maximum penalty for the offences of engaging in prohibited behaviour</w:t>
      </w:r>
      <w:r w:rsidRPr="009827AC">
        <w:rPr>
          <w:rStyle w:val="FootnoteReference"/>
          <w:rFonts w:cs="Arial"/>
          <w:szCs w:val="24"/>
        </w:rPr>
        <w:footnoteReference w:id="31"/>
      </w:r>
      <w:r w:rsidRPr="009827AC">
        <w:rPr>
          <w:rFonts w:cs="Arial"/>
          <w:szCs w:val="24"/>
        </w:rPr>
        <w:t xml:space="preserve"> or for publishing a recording</w:t>
      </w:r>
      <w:r w:rsidRPr="009827AC">
        <w:rPr>
          <w:rStyle w:val="FootnoteReference"/>
          <w:rFonts w:cs="Arial"/>
          <w:szCs w:val="24"/>
        </w:rPr>
        <w:footnoteReference w:id="32"/>
      </w:r>
      <w:r w:rsidRPr="009827AC">
        <w:rPr>
          <w:rFonts w:cs="Arial"/>
          <w:szCs w:val="24"/>
        </w:rPr>
        <w:t xml:space="preserve"> is 100 penalty units or imprisonment for 12 months.</w:t>
      </w:r>
    </w:p>
    <w:p w14:paraId="22F9D4A1" w14:textId="77777777" w:rsidR="009A2C73" w:rsidRPr="009A2C73" w:rsidRDefault="009A2C73" w:rsidP="003308BA">
      <w:pPr>
        <w:rPr>
          <w:rFonts w:cs="Arial"/>
          <w:sz w:val="22"/>
        </w:rPr>
      </w:pPr>
    </w:p>
    <w:p w14:paraId="655EE24D" w14:textId="258DC103" w:rsidR="009A2C73" w:rsidRPr="009A2C73" w:rsidRDefault="007254D1" w:rsidP="003308BA">
      <w:pPr>
        <w:pStyle w:val="Heading2"/>
      </w:pPr>
      <w:bookmarkStart w:id="66" w:name="_Toc47512454"/>
      <w:bookmarkStart w:id="67" w:name="_Toc47278196"/>
      <w:bookmarkStart w:id="68" w:name="_Toc49947631"/>
      <w:r>
        <w:t>4</w:t>
      </w:r>
      <w:r w:rsidR="009827AC">
        <w:t xml:space="preserve">.7 </w:t>
      </w:r>
      <w:r w:rsidR="009A2C73" w:rsidRPr="009A2C73">
        <w:t>Strengths and Weaknesses</w:t>
      </w:r>
      <w:bookmarkEnd w:id="66"/>
      <w:bookmarkEnd w:id="67"/>
      <w:bookmarkEnd w:id="68"/>
    </w:p>
    <w:p w14:paraId="041C9E8F"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Legislation in NSW,</w:t>
      </w:r>
      <w:r w:rsidRPr="009827AC">
        <w:rPr>
          <w:rStyle w:val="FootnoteReference"/>
          <w:rFonts w:ascii="Arial" w:hAnsi="Arial" w:cs="Arial"/>
          <w:sz w:val="24"/>
          <w:szCs w:val="24"/>
        </w:rPr>
        <w:footnoteReference w:id="33"/>
      </w:r>
      <w:r w:rsidRPr="009827AC">
        <w:rPr>
          <w:rFonts w:ascii="Arial" w:hAnsi="Arial" w:cs="Arial"/>
          <w:sz w:val="24"/>
          <w:szCs w:val="24"/>
        </w:rPr>
        <w:t xml:space="preserve"> the NT,</w:t>
      </w:r>
      <w:r w:rsidRPr="009827AC">
        <w:rPr>
          <w:rStyle w:val="FootnoteReference"/>
          <w:rFonts w:ascii="Arial" w:hAnsi="Arial" w:cs="Arial"/>
          <w:sz w:val="24"/>
          <w:szCs w:val="24"/>
        </w:rPr>
        <w:footnoteReference w:id="34"/>
      </w:r>
      <w:r w:rsidRPr="009827AC">
        <w:rPr>
          <w:rFonts w:ascii="Arial" w:hAnsi="Arial" w:cs="Arial"/>
          <w:sz w:val="24"/>
          <w:szCs w:val="24"/>
        </w:rPr>
        <w:t xml:space="preserve"> Queensland,</w:t>
      </w:r>
      <w:r w:rsidRPr="009827AC">
        <w:rPr>
          <w:rStyle w:val="FootnoteReference"/>
          <w:rFonts w:ascii="Arial" w:hAnsi="Arial" w:cs="Arial"/>
          <w:sz w:val="24"/>
          <w:szCs w:val="24"/>
        </w:rPr>
        <w:footnoteReference w:id="35"/>
      </w:r>
      <w:r w:rsidRPr="009827AC">
        <w:rPr>
          <w:rFonts w:ascii="Arial" w:hAnsi="Arial" w:cs="Arial"/>
          <w:sz w:val="24"/>
          <w:szCs w:val="24"/>
        </w:rPr>
        <w:t xml:space="preserve"> Tasmania</w:t>
      </w:r>
      <w:r w:rsidRPr="009827AC">
        <w:rPr>
          <w:rStyle w:val="FootnoteReference"/>
          <w:rFonts w:ascii="Arial" w:hAnsi="Arial" w:cs="Arial"/>
          <w:sz w:val="24"/>
          <w:szCs w:val="24"/>
        </w:rPr>
        <w:footnoteReference w:id="36"/>
      </w:r>
      <w:r w:rsidRPr="009827AC">
        <w:rPr>
          <w:rFonts w:ascii="Arial" w:hAnsi="Arial" w:cs="Arial"/>
          <w:sz w:val="24"/>
          <w:szCs w:val="24"/>
        </w:rPr>
        <w:t xml:space="preserve">  and Victoria</w:t>
      </w:r>
      <w:r w:rsidRPr="009827AC">
        <w:rPr>
          <w:rStyle w:val="FootnoteReference"/>
          <w:rFonts w:ascii="Arial" w:hAnsi="Arial" w:cs="Arial"/>
          <w:sz w:val="24"/>
          <w:szCs w:val="24"/>
        </w:rPr>
        <w:footnoteReference w:id="37"/>
      </w:r>
      <w:r w:rsidRPr="009827AC">
        <w:rPr>
          <w:rFonts w:ascii="Arial" w:hAnsi="Arial" w:cs="Arial"/>
          <w:sz w:val="24"/>
          <w:szCs w:val="24"/>
        </w:rPr>
        <w:t xml:space="preserve">, in effect, defines the safe access zone as an area within a radius of 150 metres from the termination service premises. The advantages of this model include that it does not require additional resources to implement, is efficient and has been tested by the High Court in </w:t>
      </w:r>
      <w:r w:rsidRPr="009827AC">
        <w:rPr>
          <w:rFonts w:ascii="Arial" w:hAnsi="Arial" w:cs="Arial"/>
          <w:i/>
          <w:iCs/>
          <w:sz w:val="24"/>
          <w:szCs w:val="24"/>
        </w:rPr>
        <w:t>Clubb v Edwards</w:t>
      </w:r>
      <w:r w:rsidRPr="009827AC">
        <w:rPr>
          <w:rFonts w:ascii="Arial" w:hAnsi="Arial" w:cs="Arial"/>
          <w:sz w:val="24"/>
          <w:szCs w:val="24"/>
        </w:rPr>
        <w:t>.</w:t>
      </w:r>
      <w:r w:rsidRPr="009827AC">
        <w:rPr>
          <w:rStyle w:val="FootnoteReference"/>
          <w:rFonts w:ascii="Arial" w:hAnsi="Arial" w:cs="Arial"/>
          <w:sz w:val="24"/>
          <w:szCs w:val="24"/>
        </w:rPr>
        <w:footnoteReference w:id="38"/>
      </w:r>
      <w:r w:rsidRPr="009827AC">
        <w:rPr>
          <w:rFonts w:ascii="Arial" w:hAnsi="Arial" w:cs="Arial"/>
          <w:sz w:val="24"/>
          <w:szCs w:val="24"/>
        </w:rPr>
        <w:t xml:space="preserve">  The disadvantage of this model, however, is that it does not detail the actual boundaries of a safe access zone.</w:t>
      </w:r>
      <w:r w:rsidRPr="009827AC">
        <w:rPr>
          <w:rStyle w:val="FootnoteReference"/>
          <w:rFonts w:ascii="Arial" w:hAnsi="Arial" w:cs="Arial"/>
          <w:sz w:val="24"/>
          <w:szCs w:val="24"/>
        </w:rPr>
        <w:footnoteReference w:id="39"/>
      </w:r>
      <w:r w:rsidRPr="009827AC">
        <w:rPr>
          <w:rFonts w:ascii="Arial" w:hAnsi="Arial" w:cs="Arial"/>
          <w:sz w:val="24"/>
          <w:szCs w:val="24"/>
        </w:rPr>
        <w:t xml:space="preserve"> </w:t>
      </w:r>
    </w:p>
    <w:p w14:paraId="58FB8DB8"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The legislation in Queensland goes a step further by providing the additional power, at the Minister’s discretion, to prescribe an area smaller or larger than the default 150 metres. This provides for flexibility to reduce the size, for example where a termination service premises is located close to an accepted place of demonstration, such as Parliament; or to increase the size of a safe access zone where, for example, the nearest bus stop is a 200 metre walk away, the zone could be extended to 200 metres from the termination service premises. This model was recommended by the Queensland Law Reform Commission (‘QLRC’).</w:t>
      </w:r>
      <w:r w:rsidRPr="009827AC">
        <w:rPr>
          <w:rStyle w:val="FootnoteReference"/>
          <w:rFonts w:ascii="Arial" w:hAnsi="Arial" w:cs="Arial"/>
          <w:sz w:val="24"/>
          <w:szCs w:val="24"/>
        </w:rPr>
        <w:footnoteReference w:id="40"/>
      </w:r>
    </w:p>
    <w:p w14:paraId="45F3E6D7" w14:textId="77777777" w:rsidR="00850563" w:rsidRDefault="00850563" w:rsidP="003308BA">
      <w:pPr>
        <w:pStyle w:val="ListNumber0"/>
        <w:numPr>
          <w:ilvl w:val="0"/>
          <w:numId w:val="0"/>
        </w:numPr>
        <w:tabs>
          <w:tab w:val="left" w:pos="720"/>
        </w:tabs>
        <w:spacing w:line="276" w:lineRule="auto"/>
        <w:rPr>
          <w:rFonts w:ascii="Arial" w:hAnsi="Arial" w:cs="Arial"/>
          <w:sz w:val="24"/>
          <w:szCs w:val="24"/>
        </w:rPr>
      </w:pPr>
    </w:p>
    <w:p w14:paraId="40B4ABFC" w14:textId="77777777" w:rsidR="00850563" w:rsidRDefault="00850563" w:rsidP="003308BA">
      <w:pPr>
        <w:pStyle w:val="ListNumber0"/>
        <w:numPr>
          <w:ilvl w:val="0"/>
          <w:numId w:val="0"/>
        </w:numPr>
        <w:tabs>
          <w:tab w:val="left" w:pos="720"/>
        </w:tabs>
        <w:spacing w:line="276" w:lineRule="auto"/>
        <w:rPr>
          <w:rFonts w:ascii="Arial" w:hAnsi="Arial" w:cs="Arial"/>
          <w:sz w:val="24"/>
          <w:szCs w:val="24"/>
        </w:rPr>
      </w:pPr>
    </w:p>
    <w:p w14:paraId="4578A768" w14:textId="38EB94B5"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lastRenderedPageBreak/>
        <w:t>Termination services premises</w:t>
      </w:r>
      <w:r w:rsidRPr="009827AC">
        <w:rPr>
          <w:rStyle w:val="FootnoteReference"/>
          <w:rFonts w:ascii="Arial" w:hAnsi="Arial" w:cs="Arial"/>
          <w:sz w:val="24"/>
          <w:szCs w:val="24"/>
        </w:rPr>
        <w:footnoteReference w:id="41"/>
      </w:r>
      <w:r w:rsidRPr="009827AC">
        <w:rPr>
          <w:rFonts w:ascii="Arial" w:hAnsi="Arial" w:cs="Arial"/>
          <w:sz w:val="24"/>
          <w:szCs w:val="24"/>
        </w:rPr>
        <w:t xml:space="preserve"> in NSW, the NT, Queensland, Tasmania</w:t>
      </w:r>
      <w:r w:rsidRPr="009827AC">
        <w:rPr>
          <w:rStyle w:val="FootnoteReference"/>
          <w:rFonts w:ascii="Arial" w:hAnsi="Arial" w:cs="Arial"/>
          <w:sz w:val="24"/>
          <w:szCs w:val="24"/>
        </w:rPr>
        <w:footnoteReference w:id="42"/>
      </w:r>
      <w:r w:rsidRPr="009827AC">
        <w:rPr>
          <w:rFonts w:ascii="Arial" w:hAnsi="Arial" w:cs="Arial"/>
          <w:sz w:val="24"/>
          <w:szCs w:val="24"/>
        </w:rPr>
        <w:t xml:space="preserve"> and Victoria, captures public hospitals and other termination services providers such as private clinics and general practitioners.</w:t>
      </w:r>
      <w:r w:rsidRPr="009827AC">
        <w:rPr>
          <w:rStyle w:val="FootnoteReference"/>
          <w:rFonts w:ascii="Arial" w:hAnsi="Arial" w:cs="Arial"/>
          <w:sz w:val="24"/>
          <w:szCs w:val="24"/>
        </w:rPr>
        <w:footnoteReference w:id="43"/>
      </w:r>
      <w:r w:rsidRPr="009827AC">
        <w:rPr>
          <w:rFonts w:ascii="Arial" w:hAnsi="Arial" w:cs="Arial"/>
          <w:sz w:val="24"/>
          <w:szCs w:val="24"/>
        </w:rPr>
        <w:t xml:space="preserve"> In these jurisdictions, apart from Tasmania, pharmacies are explicitly excluded from the definition of termination services premises. This exclusion of pharmacies may prevent safe access zones being overly expansive or burdensome. </w:t>
      </w:r>
    </w:p>
    <w:p w14:paraId="40BB1946"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The ACT, on the other hand, provides for the Minister to declare a medical facility, or part of a medical facility, to be a termination services premise</w:t>
      </w:r>
      <w:r w:rsidRPr="009827AC">
        <w:rPr>
          <w:rStyle w:val="FootnoteReference"/>
          <w:rFonts w:ascii="Arial" w:hAnsi="Arial" w:cs="Arial"/>
          <w:sz w:val="24"/>
          <w:szCs w:val="24"/>
        </w:rPr>
        <w:footnoteReference w:id="44"/>
      </w:r>
      <w:r w:rsidRPr="009827AC">
        <w:rPr>
          <w:rFonts w:ascii="Arial" w:hAnsi="Arial" w:cs="Arial"/>
          <w:sz w:val="24"/>
          <w:szCs w:val="24"/>
        </w:rPr>
        <w:t xml:space="preserve"> and declare a protected area around a termination services premises and define the specific streets that form part of the safe access zones.</w:t>
      </w:r>
      <w:r w:rsidRPr="009827AC">
        <w:rPr>
          <w:rStyle w:val="FootnoteReference"/>
          <w:rFonts w:ascii="Arial" w:hAnsi="Arial" w:cs="Arial"/>
          <w:sz w:val="24"/>
          <w:szCs w:val="24"/>
        </w:rPr>
        <w:footnoteReference w:id="45"/>
      </w:r>
      <w:r w:rsidRPr="009827AC">
        <w:rPr>
          <w:rFonts w:ascii="Arial" w:hAnsi="Arial" w:cs="Arial"/>
          <w:sz w:val="24"/>
          <w:szCs w:val="24"/>
        </w:rPr>
        <w:t xml:space="preserve"> This allows for the creation of safe access zones on a case-by-case basis and ensures a detailed description of the zone is publicly available.</w:t>
      </w:r>
      <w:r w:rsidRPr="009827AC">
        <w:rPr>
          <w:rStyle w:val="FootnoteReference"/>
          <w:rFonts w:ascii="Arial" w:hAnsi="Arial" w:cs="Arial"/>
          <w:sz w:val="24"/>
          <w:szCs w:val="24"/>
        </w:rPr>
        <w:footnoteReference w:id="46"/>
      </w:r>
      <w:r w:rsidRPr="009827AC">
        <w:rPr>
          <w:rFonts w:ascii="Arial" w:hAnsi="Arial" w:cs="Arial"/>
          <w:sz w:val="24"/>
          <w:szCs w:val="24"/>
        </w:rPr>
        <w:t xml:space="preserve"> However, this model could result in administrative costs and delays as an application may need to be assessed and time required to approve the Ministerial declaration. Further, the flexibility in the ACT may prove detrimental to women, for example, if the Minister prioritises free speech over the health, safety and privacy of individuals entering the clinic.</w:t>
      </w:r>
      <w:r w:rsidRPr="009827AC">
        <w:rPr>
          <w:rStyle w:val="FootnoteReference"/>
          <w:rFonts w:ascii="Arial" w:hAnsi="Arial" w:cs="Arial"/>
          <w:sz w:val="24"/>
          <w:szCs w:val="24"/>
        </w:rPr>
        <w:footnoteReference w:id="47"/>
      </w:r>
    </w:p>
    <w:p w14:paraId="457B6CE9" w14:textId="77777777" w:rsidR="00850563"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Certain provisions pertaining to prohibited behaviour, as defined in the Victorian and Tasmanian legislation, have also withstood a High Court challenge and have been found to be constitutional.</w:t>
      </w:r>
      <w:r w:rsidRPr="009827AC">
        <w:rPr>
          <w:rStyle w:val="FootnoteReference"/>
          <w:rFonts w:ascii="Arial" w:hAnsi="Arial" w:cs="Arial"/>
          <w:sz w:val="24"/>
          <w:szCs w:val="24"/>
        </w:rPr>
        <w:footnoteReference w:id="48"/>
      </w:r>
      <w:r w:rsidRPr="009827AC">
        <w:rPr>
          <w:rFonts w:ascii="Arial" w:hAnsi="Arial" w:cs="Arial"/>
          <w:sz w:val="24"/>
          <w:szCs w:val="24"/>
        </w:rPr>
        <w:t xml:space="preserve"> In respect of the Victorian legislation, the High Court upheld the validity of the definition of prohibited behaviour in para (b) of s 185(1) of the </w:t>
      </w:r>
      <w:r w:rsidRPr="009827AC">
        <w:rPr>
          <w:rFonts w:ascii="Arial" w:hAnsi="Arial" w:cs="Arial"/>
          <w:i/>
          <w:iCs/>
          <w:sz w:val="24"/>
          <w:szCs w:val="24"/>
        </w:rPr>
        <w:t>Public Health and Wellbeing Act 2008</w:t>
      </w:r>
      <w:r w:rsidRPr="009827AC">
        <w:rPr>
          <w:rFonts w:ascii="Arial" w:hAnsi="Arial" w:cs="Arial"/>
          <w:sz w:val="24"/>
          <w:szCs w:val="24"/>
        </w:rPr>
        <w:t xml:space="preserve">; that is, ‘communicating by any means in relation to abortions in a manner that is able to be seen or heard by a person accessing, attempting to access, or leaving premises at which abortions are provided and is reasonably likely to cause distress or anxiety’. </w:t>
      </w:r>
    </w:p>
    <w:p w14:paraId="558B4BD1" w14:textId="77777777" w:rsidR="00850563" w:rsidRDefault="00850563" w:rsidP="003308BA">
      <w:pPr>
        <w:pStyle w:val="ListNumber0"/>
        <w:numPr>
          <w:ilvl w:val="0"/>
          <w:numId w:val="0"/>
        </w:numPr>
        <w:tabs>
          <w:tab w:val="left" w:pos="720"/>
        </w:tabs>
        <w:spacing w:line="276" w:lineRule="auto"/>
        <w:rPr>
          <w:rFonts w:ascii="Arial" w:hAnsi="Arial" w:cs="Arial"/>
          <w:sz w:val="24"/>
          <w:szCs w:val="24"/>
        </w:rPr>
      </w:pPr>
    </w:p>
    <w:p w14:paraId="02094834" w14:textId="77777777" w:rsidR="00850563" w:rsidRDefault="00850563" w:rsidP="003308BA">
      <w:pPr>
        <w:pStyle w:val="ListNumber0"/>
        <w:numPr>
          <w:ilvl w:val="0"/>
          <w:numId w:val="0"/>
        </w:numPr>
        <w:tabs>
          <w:tab w:val="left" w:pos="720"/>
        </w:tabs>
        <w:spacing w:line="276" w:lineRule="auto"/>
        <w:rPr>
          <w:rFonts w:ascii="Arial" w:hAnsi="Arial" w:cs="Arial"/>
          <w:sz w:val="24"/>
          <w:szCs w:val="24"/>
        </w:rPr>
      </w:pPr>
    </w:p>
    <w:p w14:paraId="64C559C2" w14:textId="5BE8837D"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lastRenderedPageBreak/>
        <w:t>The validity of other prohibited behaviours in para (a) and (c) of s 185(1) in Victoria,</w:t>
      </w:r>
      <w:r w:rsidRPr="009827AC">
        <w:rPr>
          <w:rStyle w:val="FootnoteReference"/>
          <w:rFonts w:ascii="Arial" w:hAnsi="Arial" w:cs="Arial"/>
          <w:sz w:val="24"/>
          <w:szCs w:val="24"/>
        </w:rPr>
        <w:footnoteReference w:id="49"/>
      </w:r>
      <w:r w:rsidRPr="009827AC">
        <w:rPr>
          <w:rFonts w:ascii="Arial" w:hAnsi="Arial" w:cs="Arial"/>
          <w:sz w:val="24"/>
          <w:szCs w:val="24"/>
        </w:rPr>
        <w:t xml:space="preserve"> was not in issue in </w:t>
      </w:r>
      <w:r w:rsidRPr="009827AC">
        <w:rPr>
          <w:rFonts w:ascii="Arial" w:hAnsi="Arial" w:cs="Arial"/>
          <w:i/>
          <w:iCs/>
          <w:sz w:val="24"/>
          <w:szCs w:val="24"/>
        </w:rPr>
        <w:t>Clubb v Edwards</w:t>
      </w:r>
      <w:r w:rsidRPr="009827AC">
        <w:rPr>
          <w:rFonts w:ascii="Arial" w:hAnsi="Arial" w:cs="Arial"/>
          <w:sz w:val="24"/>
          <w:szCs w:val="24"/>
        </w:rPr>
        <w:t xml:space="preserve">. However, the decision in </w:t>
      </w:r>
      <w:r w:rsidRPr="009827AC">
        <w:rPr>
          <w:rFonts w:ascii="Arial" w:hAnsi="Arial" w:cs="Arial"/>
          <w:i/>
          <w:iCs/>
          <w:sz w:val="24"/>
          <w:szCs w:val="24"/>
        </w:rPr>
        <w:t>Clubb v Edwards</w:t>
      </w:r>
      <w:r w:rsidRPr="009827AC">
        <w:rPr>
          <w:rFonts w:ascii="Arial" w:hAnsi="Arial" w:cs="Arial"/>
          <w:sz w:val="24"/>
          <w:szCs w:val="24"/>
        </w:rPr>
        <w:t xml:space="preserve"> provides that a parliament can make a law prohibiting communication that would cause stress and anxiety, even if that communication does not involve the physical obstruction or aggression inherent in the behaviour described in sub-ss (a) or (c).</w:t>
      </w:r>
      <w:r w:rsidRPr="009827AC">
        <w:rPr>
          <w:rStyle w:val="FootnoteReference"/>
          <w:rFonts w:ascii="Arial" w:hAnsi="Arial" w:cs="Arial"/>
          <w:sz w:val="24"/>
          <w:szCs w:val="24"/>
        </w:rPr>
        <w:footnoteReference w:id="50"/>
      </w:r>
      <w:r w:rsidRPr="009827AC">
        <w:rPr>
          <w:rFonts w:ascii="Arial" w:hAnsi="Arial" w:cs="Arial"/>
          <w:sz w:val="24"/>
          <w:szCs w:val="24"/>
        </w:rPr>
        <w:t xml:space="preserve"> </w:t>
      </w:r>
    </w:p>
    <w:p w14:paraId="021164B0"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The High Court further upheld the definition of prohibited behaviour in para (b) in s 9(1) of the Tasmanian </w:t>
      </w:r>
      <w:r w:rsidRPr="009827AC">
        <w:rPr>
          <w:rFonts w:ascii="Arial" w:hAnsi="Arial" w:cs="Arial"/>
          <w:i/>
          <w:iCs/>
          <w:sz w:val="24"/>
          <w:szCs w:val="24"/>
        </w:rPr>
        <w:t>Reproductive Health (Access to Terminations) Act 2013</w:t>
      </w:r>
      <w:r w:rsidRPr="009827AC">
        <w:rPr>
          <w:rFonts w:ascii="Arial" w:hAnsi="Arial" w:cs="Arial"/>
          <w:sz w:val="24"/>
          <w:szCs w:val="24"/>
        </w:rPr>
        <w:t>, concerning protests.</w:t>
      </w:r>
    </w:p>
    <w:p w14:paraId="7050550E"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The High Court in </w:t>
      </w:r>
      <w:r w:rsidRPr="009827AC">
        <w:rPr>
          <w:rFonts w:ascii="Arial" w:hAnsi="Arial" w:cs="Arial"/>
          <w:i/>
          <w:iCs/>
          <w:sz w:val="24"/>
          <w:szCs w:val="24"/>
        </w:rPr>
        <w:t xml:space="preserve">Clubb v Edwards </w:t>
      </w:r>
      <w:r w:rsidRPr="009827AC">
        <w:rPr>
          <w:rFonts w:ascii="Arial" w:hAnsi="Arial" w:cs="Arial"/>
          <w:sz w:val="24"/>
          <w:szCs w:val="24"/>
        </w:rPr>
        <w:t>did not expressly address whether the law in Victoria extends to silent vigil or prayer; however, the plurality stated that ‘silent but reproachful observance of persons accessing a clinic for the purpose of terminating a pregnancy may be as effective, as a means of deterring them from doing so, as more boisterous demonstrations’.</w:t>
      </w:r>
      <w:r w:rsidRPr="009827AC">
        <w:rPr>
          <w:rStyle w:val="FootnoteReference"/>
          <w:rFonts w:ascii="Arial" w:hAnsi="Arial" w:cs="Arial"/>
          <w:sz w:val="24"/>
          <w:szCs w:val="24"/>
        </w:rPr>
        <w:footnoteReference w:id="51"/>
      </w:r>
      <w:r w:rsidRPr="009827AC">
        <w:rPr>
          <w:rFonts w:ascii="Arial" w:hAnsi="Arial" w:cs="Arial"/>
          <w:sz w:val="24"/>
          <w:szCs w:val="24"/>
        </w:rPr>
        <w:t xml:space="preserve"> This suggests that the definition of prohibited behaviour can extend to silent activities such as prayer.</w:t>
      </w:r>
      <w:r w:rsidRPr="009827AC">
        <w:rPr>
          <w:rStyle w:val="FootnoteReference"/>
          <w:rFonts w:ascii="Arial" w:hAnsi="Arial" w:cs="Arial"/>
          <w:sz w:val="24"/>
          <w:szCs w:val="24"/>
        </w:rPr>
        <w:footnoteReference w:id="52"/>
      </w:r>
      <w:r w:rsidRPr="009827AC">
        <w:rPr>
          <w:rFonts w:ascii="Arial" w:hAnsi="Arial" w:cs="Arial"/>
          <w:sz w:val="24"/>
          <w:szCs w:val="24"/>
        </w:rPr>
        <w:t xml:space="preserve"> </w:t>
      </w:r>
    </w:p>
    <w:p w14:paraId="54DBDEDE"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In respect of the Tasmanian legislation, Edelman J confirmed that silent prayer is capable of falling within the definition of prohibited behaviour in s 9(1) and noted that ‘silent or quiet action can be a powerful form of protest and political communication.’</w:t>
      </w:r>
      <w:r w:rsidRPr="009827AC">
        <w:rPr>
          <w:rStyle w:val="FootnoteReference"/>
          <w:rFonts w:ascii="Arial" w:hAnsi="Arial" w:cs="Arial"/>
          <w:sz w:val="24"/>
          <w:szCs w:val="24"/>
        </w:rPr>
        <w:footnoteReference w:id="53"/>
      </w:r>
      <w:r w:rsidRPr="009827AC">
        <w:rPr>
          <w:rFonts w:ascii="Arial" w:hAnsi="Arial" w:cs="Arial"/>
          <w:sz w:val="24"/>
          <w:szCs w:val="24"/>
        </w:rPr>
        <w:t xml:space="preserve"> Gageler J also stated that the prohibition extends to peaceful demonstrations, pickets and silent vigils.</w:t>
      </w:r>
      <w:r w:rsidRPr="009827AC">
        <w:rPr>
          <w:rStyle w:val="FootnoteReference"/>
          <w:rFonts w:ascii="Arial" w:hAnsi="Arial" w:cs="Arial"/>
          <w:sz w:val="24"/>
          <w:szCs w:val="24"/>
        </w:rPr>
        <w:footnoteReference w:id="54"/>
      </w:r>
    </w:p>
    <w:p w14:paraId="1201C0E5"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‘Besetting’, which is included in the Tasmanian, Victorian and NSW legislation as a prohibited behaviour, as referenced by the QLRC, means to attend or be near any place in numbers or in a manner calculated to intimidate a person in that place; or to obstruct the entrance or exit; or to lead to a breach of the peace.</w:t>
      </w:r>
      <w:r w:rsidRPr="009827AC">
        <w:rPr>
          <w:rStyle w:val="FootnoteReference"/>
          <w:rFonts w:ascii="Arial" w:hAnsi="Arial" w:cs="Arial"/>
          <w:sz w:val="24"/>
          <w:szCs w:val="24"/>
        </w:rPr>
        <w:t xml:space="preserve"> </w:t>
      </w:r>
      <w:r w:rsidRPr="009827AC">
        <w:rPr>
          <w:rStyle w:val="FootnoteReference"/>
          <w:rFonts w:ascii="Arial" w:hAnsi="Arial" w:cs="Arial"/>
          <w:sz w:val="24"/>
          <w:szCs w:val="24"/>
        </w:rPr>
        <w:footnoteReference w:id="55"/>
      </w:r>
      <w:r w:rsidRPr="009827AC">
        <w:rPr>
          <w:rFonts w:ascii="Arial" w:hAnsi="Arial" w:cs="Arial"/>
          <w:sz w:val="24"/>
          <w:szCs w:val="24"/>
        </w:rPr>
        <w:t xml:space="preserve"> The watching must be such as would amount to a nuisance at common law. This was not considered by the High Court in </w:t>
      </w:r>
      <w:r w:rsidRPr="009827AC">
        <w:rPr>
          <w:rFonts w:ascii="Arial" w:hAnsi="Arial" w:cs="Arial"/>
          <w:i/>
          <w:iCs/>
          <w:sz w:val="24"/>
          <w:szCs w:val="24"/>
        </w:rPr>
        <w:t>Clubb v Edwards</w:t>
      </w:r>
      <w:r w:rsidRPr="009827AC">
        <w:rPr>
          <w:rFonts w:ascii="Arial" w:hAnsi="Arial" w:cs="Arial"/>
          <w:sz w:val="24"/>
          <w:szCs w:val="24"/>
        </w:rPr>
        <w:t>.</w:t>
      </w:r>
    </w:p>
    <w:p w14:paraId="58CD3109" w14:textId="77777777" w:rsidR="008D239B" w:rsidRDefault="008D239B">
      <w:pPr>
        <w:spacing w:after="160" w:line="259" w:lineRule="auto"/>
        <w:rPr>
          <w:rFonts w:cs="Arial"/>
          <w:szCs w:val="24"/>
        </w:rPr>
      </w:pPr>
      <w:r>
        <w:rPr>
          <w:rFonts w:cs="Arial"/>
          <w:szCs w:val="24"/>
        </w:rPr>
        <w:br w:type="page"/>
      </w:r>
    </w:p>
    <w:p w14:paraId="6851C74A" w14:textId="6F1A2368"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lastRenderedPageBreak/>
        <w:t xml:space="preserve">Therefore, a strength of the Victorian and Tasmanian legislation is its approval by the High Court of its constitutional validity.  </w:t>
      </w:r>
    </w:p>
    <w:p w14:paraId="24574145"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In every jurisdiction, besides the ACT, the safe access zone operates 24 hours-a-day, seven days-a-week. The constant operation of safe access zones is implied in all these jurisdictions. In the ACT, however, safe access zones only operate during the ‘protected period’; that is, between 7am and 6pm on each day the facility is open, or any other period declared by the Minister.</w:t>
      </w:r>
      <w:r w:rsidRPr="009827AC">
        <w:rPr>
          <w:rStyle w:val="FootnoteReference"/>
          <w:rFonts w:ascii="Arial" w:hAnsi="Arial" w:cs="Arial"/>
          <w:sz w:val="24"/>
          <w:szCs w:val="24"/>
        </w:rPr>
        <w:footnoteReference w:id="56"/>
      </w:r>
      <w:r w:rsidRPr="009827AC">
        <w:rPr>
          <w:rFonts w:ascii="Arial" w:hAnsi="Arial" w:cs="Arial"/>
          <w:sz w:val="24"/>
          <w:szCs w:val="24"/>
        </w:rPr>
        <w:t xml:space="preserve">  The ACT’s model for operation hours of safe access zones has not been followed by other jurisdictions or recommended.  </w:t>
      </w:r>
    </w:p>
    <w:p w14:paraId="426FB04F" w14:textId="250BD458"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Safe access zones that operate 24 hours-a-day and seven days-a-week are efficient; easy to implement, monitor and enforce; and ensures that the object of the legislation is not undermined.</w:t>
      </w:r>
      <w:r w:rsidRPr="009827AC">
        <w:rPr>
          <w:rStyle w:val="FootnoteReference"/>
          <w:rFonts w:ascii="Arial" w:hAnsi="Arial" w:cs="Arial"/>
          <w:sz w:val="24"/>
          <w:szCs w:val="24"/>
        </w:rPr>
        <w:footnoteReference w:id="57"/>
      </w:r>
      <w:r w:rsidRPr="009827AC">
        <w:rPr>
          <w:rFonts w:ascii="Arial" w:hAnsi="Arial" w:cs="Arial"/>
          <w:sz w:val="24"/>
          <w:szCs w:val="24"/>
        </w:rPr>
        <w:t xml:space="preserve"> Zones that operate 24 hours-a-day, seven days-a-week further prevent disputes arising over whether individuals had knowledge about a termination service premise’s operating hours and reduces the likelihood of honest mistakes.</w:t>
      </w:r>
      <w:r w:rsidRPr="009827AC">
        <w:rPr>
          <w:rStyle w:val="FootnoteReference"/>
          <w:rFonts w:ascii="Arial" w:hAnsi="Arial" w:cs="Arial"/>
          <w:sz w:val="24"/>
          <w:szCs w:val="24"/>
        </w:rPr>
        <w:footnoteReference w:id="58"/>
      </w:r>
      <w:r w:rsidRPr="009827AC">
        <w:rPr>
          <w:rFonts w:ascii="Arial" w:hAnsi="Arial" w:cs="Arial"/>
          <w:sz w:val="24"/>
          <w:szCs w:val="24"/>
        </w:rPr>
        <w:t xml:space="preserve"> </w:t>
      </w:r>
      <w:r w:rsidR="00850563">
        <w:rPr>
          <w:rFonts w:ascii="Arial" w:hAnsi="Arial" w:cs="Arial"/>
          <w:sz w:val="24"/>
          <w:szCs w:val="24"/>
        </w:rPr>
        <w:br/>
      </w:r>
      <w:r w:rsidRPr="009827AC">
        <w:rPr>
          <w:rFonts w:ascii="Arial" w:hAnsi="Arial" w:cs="Arial"/>
          <w:sz w:val="24"/>
          <w:szCs w:val="24"/>
        </w:rPr>
        <w:t xml:space="preserve">A limitation of the legislation in all jurisdictions with continuous safe access zone operation, however, may be its implied rather than explicit definition of its </w:t>
      </w:r>
      <w:r w:rsidR="00850563">
        <w:rPr>
          <w:rFonts w:ascii="Arial" w:hAnsi="Arial" w:cs="Arial"/>
          <w:sz w:val="24"/>
          <w:szCs w:val="24"/>
        </w:rPr>
        <w:br/>
      </w:r>
      <w:r w:rsidRPr="009827AC">
        <w:rPr>
          <w:rFonts w:ascii="Arial" w:hAnsi="Arial" w:cs="Arial"/>
          <w:sz w:val="24"/>
          <w:szCs w:val="24"/>
        </w:rPr>
        <w:t xml:space="preserve">24 hour-a-day and seven days-a-week operation. </w:t>
      </w:r>
    </w:p>
    <w:p w14:paraId="51CBA209"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The ACT legislation also contains a lesser penalty attached to engaging in prohibited behaviours than other jurisdictions.  The maximum penalty for engaging in prohibited behaviour in a safe access zone is a maximum of 25 penalty units, with no term of imprisonment prescribed. This is not consistent with other jurisdictions, who generally prescribe a maximum penalty of 12 months’ imprisonment. </w:t>
      </w:r>
    </w:p>
    <w:p w14:paraId="0C141D39" w14:textId="77777777" w:rsidR="009827AC" w:rsidRDefault="009827AC" w:rsidP="003308BA">
      <w:pPr>
        <w:spacing w:after="160" w:line="259" w:lineRule="auto"/>
        <w:rPr>
          <w:rFonts w:eastAsiaTheme="majorEastAsia" w:cs="Arial"/>
          <w:b/>
          <w:sz w:val="32"/>
          <w:szCs w:val="32"/>
        </w:rPr>
      </w:pPr>
      <w:bookmarkStart w:id="69" w:name="_Toc47512455"/>
      <w:bookmarkStart w:id="70" w:name="_Toc47278197"/>
      <w:r>
        <w:rPr>
          <w:rFonts w:cs="Arial"/>
        </w:rPr>
        <w:br w:type="page"/>
      </w:r>
    </w:p>
    <w:p w14:paraId="7AB1C109" w14:textId="3263BF91" w:rsidR="009A2C73" w:rsidRPr="009A2C73" w:rsidRDefault="007254D1" w:rsidP="003308BA">
      <w:pPr>
        <w:pStyle w:val="Heading1"/>
        <w:rPr>
          <w:rFonts w:cs="Arial"/>
          <w:sz w:val="36"/>
        </w:rPr>
      </w:pPr>
      <w:bookmarkStart w:id="71" w:name="_Toc49947632"/>
      <w:r>
        <w:rPr>
          <w:rFonts w:cs="Arial"/>
        </w:rPr>
        <w:lastRenderedPageBreak/>
        <w:t>5</w:t>
      </w:r>
      <w:r w:rsidR="009827AC">
        <w:rPr>
          <w:rFonts w:cs="Arial"/>
        </w:rPr>
        <w:t xml:space="preserve">. </w:t>
      </w:r>
      <w:r w:rsidR="009A2C73" w:rsidRPr="009A2C73">
        <w:rPr>
          <w:rFonts w:cs="Arial"/>
        </w:rPr>
        <w:t xml:space="preserve">Material Considerations for Implementation </w:t>
      </w:r>
      <w:r w:rsidR="00CF1622">
        <w:rPr>
          <w:rFonts w:cs="Arial"/>
        </w:rPr>
        <w:br/>
      </w:r>
      <w:r w:rsidR="009A2C73" w:rsidRPr="009A2C73">
        <w:rPr>
          <w:rFonts w:cs="Arial"/>
        </w:rPr>
        <w:t>of Safe</w:t>
      </w:r>
      <w:r w:rsidR="00CF1622">
        <w:rPr>
          <w:rFonts w:cs="Arial"/>
        </w:rPr>
        <w:t xml:space="preserve"> </w:t>
      </w:r>
      <w:r w:rsidR="009A2C73" w:rsidRPr="009A2C73">
        <w:rPr>
          <w:rFonts w:cs="Arial"/>
        </w:rPr>
        <w:t xml:space="preserve">Access Zones in </w:t>
      </w:r>
      <w:bookmarkEnd w:id="69"/>
      <w:bookmarkEnd w:id="70"/>
      <w:r w:rsidR="000B3DCA">
        <w:rPr>
          <w:rFonts w:cs="Arial"/>
        </w:rPr>
        <w:t>SA and WA</w:t>
      </w:r>
      <w:bookmarkEnd w:id="71"/>
      <w:r w:rsidR="009A2C73" w:rsidRPr="009A2C73">
        <w:rPr>
          <w:rFonts w:cs="Arial"/>
        </w:rPr>
        <w:t xml:space="preserve"> </w:t>
      </w:r>
    </w:p>
    <w:p w14:paraId="1047725B" w14:textId="441DA35A" w:rsidR="009A2C73" w:rsidRPr="009A2C73" w:rsidRDefault="007254D1" w:rsidP="003308BA">
      <w:pPr>
        <w:pStyle w:val="Heading2"/>
      </w:pPr>
      <w:bookmarkStart w:id="72" w:name="_Toc47512456"/>
      <w:bookmarkStart w:id="73" w:name="_Toc47278198"/>
      <w:bookmarkStart w:id="74" w:name="_Toc49947633"/>
      <w:r>
        <w:t>5</w:t>
      </w:r>
      <w:r w:rsidR="009827AC">
        <w:t xml:space="preserve">.1 </w:t>
      </w:r>
      <w:r w:rsidR="009A2C73" w:rsidRPr="009A2C73">
        <w:t>Constitutional Implications: The Implied Freedom of Political Communication</w:t>
      </w:r>
      <w:bookmarkEnd w:id="72"/>
      <w:bookmarkEnd w:id="73"/>
      <w:bookmarkEnd w:id="74"/>
    </w:p>
    <w:p w14:paraId="1FFAB8BE" w14:textId="77777777" w:rsidR="009A2C73" w:rsidRPr="009827AC" w:rsidRDefault="009A2C73" w:rsidP="003308BA">
      <w:pPr>
        <w:spacing w:before="240" w:after="240"/>
        <w:rPr>
          <w:rFonts w:eastAsia="Calibri" w:cs="Arial"/>
          <w:szCs w:val="24"/>
        </w:rPr>
      </w:pPr>
      <w:r w:rsidRPr="009827AC">
        <w:rPr>
          <w:rFonts w:cs="Arial"/>
          <w:szCs w:val="24"/>
        </w:rPr>
        <w:t>Safe access zone legislation raises constitutional implications, specifically concerning the implied freedom of political communication. Safe access zones restrict the implied freedom of political communication to the extent that they prohibit protest or communications in relation to terminations.</w:t>
      </w:r>
      <w:r w:rsidRPr="009827AC">
        <w:rPr>
          <w:rFonts w:eastAsia="Calibri" w:cs="Arial"/>
          <w:szCs w:val="24"/>
          <w:vertAlign w:val="superscript"/>
        </w:rPr>
        <w:footnoteReference w:id="59"/>
      </w:r>
    </w:p>
    <w:p w14:paraId="708E26E3" w14:textId="77777777" w:rsidR="009A2C73" w:rsidRPr="009827AC" w:rsidRDefault="009A2C73" w:rsidP="003308BA">
      <w:pPr>
        <w:spacing w:before="240" w:after="240"/>
        <w:rPr>
          <w:rFonts w:cs="Arial"/>
          <w:szCs w:val="24"/>
        </w:rPr>
      </w:pPr>
      <w:r w:rsidRPr="009827AC">
        <w:rPr>
          <w:rFonts w:cs="Arial"/>
          <w:szCs w:val="24"/>
        </w:rPr>
        <w:t xml:space="preserve">The implied freedom of political communication was established in </w:t>
      </w:r>
      <w:r w:rsidRPr="009827AC">
        <w:rPr>
          <w:rFonts w:cs="Arial"/>
          <w:i/>
          <w:szCs w:val="24"/>
        </w:rPr>
        <w:t>Nationwide News Pty Ltd v Willis</w:t>
      </w:r>
      <w:r w:rsidRPr="009827AC">
        <w:rPr>
          <w:rFonts w:eastAsia="Calibri" w:cs="Arial"/>
          <w:szCs w:val="24"/>
          <w:vertAlign w:val="superscript"/>
        </w:rPr>
        <w:footnoteReference w:id="60"/>
      </w:r>
      <w:r w:rsidRPr="009827AC">
        <w:rPr>
          <w:rFonts w:eastAsia="Calibri" w:cs="Arial"/>
          <w:szCs w:val="24"/>
        </w:rPr>
        <w:t xml:space="preserve"> </w:t>
      </w:r>
      <w:r w:rsidRPr="009827AC">
        <w:rPr>
          <w:rFonts w:cs="Arial"/>
          <w:szCs w:val="24"/>
        </w:rPr>
        <w:t xml:space="preserve">and </w:t>
      </w:r>
      <w:r w:rsidRPr="009827AC">
        <w:rPr>
          <w:rFonts w:cs="Arial"/>
          <w:i/>
          <w:szCs w:val="24"/>
        </w:rPr>
        <w:t>Australian Capital Television Pty Ltd v Commonwealth</w:t>
      </w:r>
      <w:r w:rsidRPr="009827AC">
        <w:rPr>
          <w:rFonts w:eastAsia="Calibri" w:cs="Arial"/>
          <w:szCs w:val="24"/>
          <w:vertAlign w:val="superscript"/>
        </w:rPr>
        <w:footnoteReference w:id="61"/>
      </w:r>
      <w:r w:rsidRPr="009827AC">
        <w:rPr>
          <w:rFonts w:cs="Arial"/>
          <w:szCs w:val="24"/>
        </w:rPr>
        <w:t xml:space="preserve"> and confirmed unanimously in </w:t>
      </w:r>
      <w:r w:rsidRPr="009827AC">
        <w:rPr>
          <w:rFonts w:cs="Arial"/>
          <w:i/>
          <w:szCs w:val="24"/>
        </w:rPr>
        <w:t>Lange v Australian Broadcasting Corporation</w:t>
      </w:r>
      <w:r w:rsidRPr="009827AC">
        <w:rPr>
          <w:rFonts w:cs="Arial"/>
          <w:szCs w:val="24"/>
        </w:rPr>
        <w:t>.</w:t>
      </w:r>
      <w:r w:rsidRPr="009827AC">
        <w:rPr>
          <w:rFonts w:eastAsia="Calibri" w:cs="Arial"/>
          <w:szCs w:val="24"/>
          <w:vertAlign w:val="superscript"/>
        </w:rPr>
        <w:footnoteReference w:id="62"/>
      </w:r>
      <w:r w:rsidRPr="009827AC">
        <w:rPr>
          <w:rFonts w:eastAsia="Calibri" w:cs="Arial"/>
          <w:szCs w:val="24"/>
        </w:rPr>
        <w:t xml:space="preserve"> </w:t>
      </w:r>
      <w:r w:rsidRPr="009827AC">
        <w:rPr>
          <w:rFonts w:cs="Arial"/>
          <w:szCs w:val="24"/>
        </w:rPr>
        <w:t>The High Court recognised that the Constitution necessarily contains an implied freedom of political communication to ensure the effective operation of the constitutionally prescribed system of representative and responsible government. However, the freedom is not absolute. Legislation may place some restrictions on the freedom, provided they are reasonably appropriate and adapted to serve a legitimate purpose in a manner that is compatible with the maintenance of the system of representative and responsible government.</w:t>
      </w:r>
    </w:p>
    <w:p w14:paraId="1876D8D0" w14:textId="77777777" w:rsidR="009A2C73" w:rsidRPr="009827AC" w:rsidRDefault="009A2C73" w:rsidP="003308BA">
      <w:pPr>
        <w:spacing w:before="240" w:after="240"/>
        <w:rPr>
          <w:rFonts w:eastAsia="Calibri" w:cs="Arial"/>
          <w:szCs w:val="24"/>
        </w:rPr>
      </w:pPr>
      <w:r w:rsidRPr="009827AC">
        <w:rPr>
          <w:rFonts w:cs="Arial"/>
          <w:szCs w:val="24"/>
        </w:rPr>
        <w:t>Whether a law impermissibly burdens the freedom is determined by analysing whether the law effectively burdens the freedom, whether the purpose of the law is legitimate and whether the law is proportionate. An assessment of a law’s proportionality requires consideration of whether the law is suitable, requiring a rational connection between the law and its purpose; necessary, ‘in the sense that there is no obvious and compelling alternative’ or ‘reasonably practicable means of achieving the same purpose’ which has a “less restrictive effect on the freedom’; and adequate in balance. A value judgment, ‘consistently within the limits of judicial function’, is required to determine whether the importance of the law’s legitimate purpose outweighs the impact on the freedom.</w:t>
      </w:r>
      <w:r w:rsidRPr="009827AC">
        <w:rPr>
          <w:rStyle w:val="FootnoteReference"/>
          <w:rFonts w:cs="Arial"/>
          <w:szCs w:val="24"/>
        </w:rPr>
        <w:footnoteReference w:id="63"/>
      </w:r>
    </w:p>
    <w:p w14:paraId="4E6B73E1" w14:textId="77777777" w:rsidR="00850563" w:rsidRDefault="00850563" w:rsidP="003308BA">
      <w:pPr>
        <w:spacing w:before="240" w:after="240"/>
        <w:rPr>
          <w:rFonts w:cs="Arial"/>
          <w:szCs w:val="24"/>
        </w:rPr>
      </w:pPr>
    </w:p>
    <w:p w14:paraId="22687144" w14:textId="0B4964CB" w:rsidR="009A2C73" w:rsidRPr="009827AC" w:rsidRDefault="009A2C73" w:rsidP="003308BA">
      <w:pPr>
        <w:spacing w:before="240" w:after="240"/>
        <w:rPr>
          <w:rFonts w:cs="Arial"/>
          <w:szCs w:val="24"/>
        </w:rPr>
      </w:pPr>
      <w:r w:rsidRPr="009827AC">
        <w:rPr>
          <w:rFonts w:cs="Arial"/>
          <w:szCs w:val="24"/>
        </w:rPr>
        <w:lastRenderedPageBreak/>
        <w:t xml:space="preserve">The constitutional validity of safe access zones was considered in the recent High Court decision of </w:t>
      </w:r>
      <w:r w:rsidRPr="009827AC">
        <w:rPr>
          <w:rFonts w:cs="Arial"/>
          <w:i/>
          <w:szCs w:val="24"/>
        </w:rPr>
        <w:t>Clubb v Edwards</w:t>
      </w:r>
      <w:r w:rsidRPr="009827AC">
        <w:rPr>
          <w:rFonts w:cs="Arial"/>
          <w:szCs w:val="24"/>
        </w:rPr>
        <w:t xml:space="preserve">; </w:t>
      </w:r>
      <w:r w:rsidRPr="009827AC">
        <w:rPr>
          <w:rFonts w:cs="Arial"/>
          <w:i/>
          <w:szCs w:val="24"/>
        </w:rPr>
        <w:t>Preston v Avery</w:t>
      </w:r>
      <w:r w:rsidRPr="009827AC">
        <w:rPr>
          <w:rFonts w:cs="Arial"/>
          <w:szCs w:val="24"/>
        </w:rPr>
        <w:t>.</w:t>
      </w:r>
      <w:r w:rsidRPr="009827AC">
        <w:rPr>
          <w:rFonts w:eastAsia="Calibri" w:cs="Arial"/>
          <w:szCs w:val="24"/>
          <w:vertAlign w:val="superscript"/>
        </w:rPr>
        <w:footnoteReference w:id="64"/>
      </w:r>
      <w:r w:rsidRPr="009827AC">
        <w:rPr>
          <w:rFonts w:cs="Arial"/>
          <w:szCs w:val="24"/>
        </w:rPr>
        <w:t xml:space="preserve"> The High Court unanimously decided that safe access zones do not impermissibly infringe the implied freedom of political communication. The Victorian and Tasmanian safe access zone legislation was analysed in-depth in this decision and, consequently, the reasoning and result must be referenced in formulating constitutionally valid safe access zone legislation for South Australia and Western Australia.</w:t>
      </w:r>
    </w:p>
    <w:p w14:paraId="1BCDFF0B" w14:textId="77777777" w:rsidR="009A2C73" w:rsidRPr="009827AC" w:rsidRDefault="009A2C73" w:rsidP="003308BA">
      <w:pPr>
        <w:spacing w:before="240" w:after="240"/>
        <w:rPr>
          <w:rFonts w:cs="Arial"/>
          <w:szCs w:val="24"/>
        </w:rPr>
      </w:pPr>
      <w:r w:rsidRPr="009827AC">
        <w:rPr>
          <w:rFonts w:cs="Arial"/>
          <w:szCs w:val="24"/>
        </w:rPr>
        <w:t xml:space="preserve">The High Court applied the test from </w:t>
      </w:r>
      <w:r w:rsidRPr="009827AC">
        <w:rPr>
          <w:rFonts w:cs="Arial"/>
          <w:i/>
          <w:szCs w:val="24"/>
        </w:rPr>
        <w:t>Lange</w:t>
      </w:r>
      <w:r w:rsidRPr="009827AC">
        <w:rPr>
          <w:rFonts w:cs="Arial"/>
          <w:szCs w:val="24"/>
        </w:rPr>
        <w:t xml:space="preserve">, as modified in </w:t>
      </w:r>
      <w:r w:rsidRPr="009827AC">
        <w:rPr>
          <w:rFonts w:cs="Arial"/>
          <w:i/>
          <w:szCs w:val="24"/>
        </w:rPr>
        <w:t>McCloy v New South Wales</w:t>
      </w:r>
      <w:r w:rsidRPr="009827AC">
        <w:rPr>
          <w:rFonts w:cs="Arial"/>
          <w:szCs w:val="24"/>
        </w:rPr>
        <w:t>. It was held that safe access zones burden the implied freedom because communication about abortion, some of which will be political, is prohibited. This is evident from the relevant statutes.</w:t>
      </w:r>
      <w:r w:rsidRPr="009827AC">
        <w:rPr>
          <w:rFonts w:eastAsia="Calibri" w:cs="Arial"/>
          <w:szCs w:val="24"/>
          <w:vertAlign w:val="superscript"/>
        </w:rPr>
        <w:footnoteReference w:id="65"/>
      </w:r>
      <w:r w:rsidRPr="009827AC">
        <w:rPr>
          <w:rFonts w:cs="Arial"/>
          <w:szCs w:val="24"/>
        </w:rPr>
        <w:t xml:space="preserve"> The legislation had a legitimate purpose to maintain the safety and well-being, and preserve the privacy and dignity, of persons entering and leaving abortion premises. The majority held that ensuring the protection of persons is ‘in the interests of an ordered society’ and is readily compatible for the system of representative and responsible government.</w:t>
      </w:r>
      <w:r w:rsidRPr="009827AC">
        <w:rPr>
          <w:rFonts w:cs="Arial"/>
          <w:szCs w:val="24"/>
          <w:vertAlign w:val="superscript"/>
        </w:rPr>
        <w:footnoteReference w:id="66"/>
      </w:r>
      <w:r w:rsidRPr="009827AC">
        <w:rPr>
          <w:rFonts w:cs="Arial"/>
          <w:szCs w:val="24"/>
        </w:rPr>
        <w:t xml:space="preserve"> It is significant to note that the purpose of the Victorian legislation was expressly stated while the purpose of the Tasmanian law was not, so the purpose of the Tasmanian law was inferred from the terms, subject matter and the relevant Second Reading Speech.</w:t>
      </w:r>
      <w:r w:rsidRPr="009827AC">
        <w:rPr>
          <w:rFonts w:eastAsia="Calibri" w:cs="Arial"/>
          <w:szCs w:val="24"/>
          <w:vertAlign w:val="superscript"/>
        </w:rPr>
        <w:footnoteReference w:id="67"/>
      </w:r>
      <w:r w:rsidRPr="009827AC">
        <w:rPr>
          <w:rFonts w:cs="Arial"/>
          <w:szCs w:val="24"/>
        </w:rPr>
        <w:t xml:space="preserve"> It is recommended that new safe access legislation should explicitly state its purpose to ensure there is no doubt as to its legitimate purpose.</w:t>
      </w:r>
    </w:p>
    <w:p w14:paraId="48BE0B75" w14:textId="77777777" w:rsidR="009A2C73" w:rsidRPr="009827AC" w:rsidRDefault="009A2C73" w:rsidP="003308BA">
      <w:pPr>
        <w:spacing w:before="240" w:after="240"/>
        <w:rPr>
          <w:rFonts w:cs="Arial"/>
          <w:szCs w:val="24"/>
        </w:rPr>
      </w:pPr>
      <w:r w:rsidRPr="009827AC">
        <w:rPr>
          <w:rFonts w:cs="Arial"/>
          <w:szCs w:val="24"/>
        </w:rPr>
        <w:t xml:space="preserve">A proportionate law will have a rational connection with its purpose and provide the means to realise the law’s purpose. Achieving safe access to abortion services is clearly realised through the prohibition of certain conduct. A proportionate law must also be necessary. There is a history of ongoing activities by people who are opposed to terminations harassing or communicating near abortion premises which is likely to continue in the future. It is, however, important that a law not be overexpansive, particularly where there are less burdensome alternatives. In </w:t>
      </w:r>
      <w:r w:rsidRPr="009827AC">
        <w:rPr>
          <w:rFonts w:cs="Arial"/>
          <w:i/>
          <w:szCs w:val="24"/>
        </w:rPr>
        <w:t>Clubb v Edwards</w:t>
      </w:r>
      <w:r w:rsidRPr="009827AC">
        <w:rPr>
          <w:rFonts w:cs="Arial"/>
          <w:szCs w:val="24"/>
        </w:rPr>
        <w:t>, Ms Clubb suggested a variety of alternative restrictions, such as an exception during election campaigns. The majority did not agree with this suggestion and deemed that these undermined the purpose of the law.</w:t>
      </w:r>
      <w:r w:rsidRPr="009827AC">
        <w:rPr>
          <w:rFonts w:eastAsia="Calibri" w:cs="Arial"/>
          <w:szCs w:val="24"/>
          <w:vertAlign w:val="superscript"/>
        </w:rPr>
        <w:footnoteReference w:id="68"/>
      </w:r>
      <w:r w:rsidRPr="009827AC">
        <w:rPr>
          <w:rFonts w:cs="Arial"/>
          <w:szCs w:val="24"/>
        </w:rPr>
        <w:t xml:space="preserve"> Kiefel CJ, Bell J and Keane J commented that the ‘anxiety and distress associated with accessing [abortion] services is not lessened during election campaigns. If anything the contrary is likely to be the case’.</w:t>
      </w:r>
      <w:r w:rsidRPr="009827AC">
        <w:rPr>
          <w:rFonts w:cs="Arial"/>
          <w:szCs w:val="24"/>
          <w:vertAlign w:val="superscript"/>
        </w:rPr>
        <w:footnoteReference w:id="69"/>
      </w:r>
    </w:p>
    <w:p w14:paraId="3DCA65C4" w14:textId="77777777" w:rsidR="009A2C73" w:rsidRPr="009827AC" w:rsidRDefault="009A2C73" w:rsidP="003308BA">
      <w:pPr>
        <w:spacing w:before="240" w:after="240"/>
        <w:rPr>
          <w:rFonts w:cs="Arial"/>
          <w:szCs w:val="24"/>
        </w:rPr>
      </w:pPr>
      <w:r w:rsidRPr="009827AC">
        <w:rPr>
          <w:rFonts w:cs="Arial"/>
          <w:szCs w:val="24"/>
        </w:rPr>
        <w:lastRenderedPageBreak/>
        <w:t>The implementation of any safe access zone legislation must strike careful balance between considerations of freedom of political communication on the one hand, and the need to protect women from harassment, surveillance and obstruction when accessing abortion services. Sensible and proportionate safe access zones have been effective in curtailing harassing and intimidating conduct in other jurisdictions.</w:t>
      </w:r>
    </w:p>
    <w:p w14:paraId="18AED703" w14:textId="77777777" w:rsidR="009A2C73" w:rsidRPr="009827AC" w:rsidRDefault="009A2C73" w:rsidP="003308BA">
      <w:pPr>
        <w:spacing w:before="240" w:after="240"/>
        <w:rPr>
          <w:rFonts w:cs="Arial"/>
          <w:szCs w:val="24"/>
        </w:rPr>
      </w:pPr>
    </w:p>
    <w:p w14:paraId="067B5A85" w14:textId="22657603" w:rsidR="009A2C73" w:rsidRPr="009A2C73" w:rsidRDefault="007254D1" w:rsidP="003308BA">
      <w:pPr>
        <w:pStyle w:val="Heading2"/>
      </w:pPr>
      <w:bookmarkStart w:id="75" w:name="_Toc47512457"/>
      <w:bookmarkStart w:id="76" w:name="_Toc47278199"/>
      <w:bookmarkStart w:id="77" w:name="_Toc49947634"/>
      <w:r>
        <w:t>5</w:t>
      </w:r>
      <w:r w:rsidR="009827AC">
        <w:t xml:space="preserve">.2 </w:t>
      </w:r>
      <w:r w:rsidR="009A2C73" w:rsidRPr="009A2C73">
        <w:t>South Australia: Context-Specific Considerations</w:t>
      </w:r>
      <w:bookmarkEnd w:id="75"/>
      <w:bookmarkEnd w:id="76"/>
      <w:bookmarkEnd w:id="77"/>
    </w:p>
    <w:p w14:paraId="454C5E48" w14:textId="77777777" w:rsidR="009A2C73" w:rsidRPr="009827AC" w:rsidRDefault="009A2C73" w:rsidP="003308BA">
      <w:pPr>
        <w:spacing w:before="240" w:after="240"/>
        <w:rPr>
          <w:rFonts w:eastAsia="Calibri" w:cs="Arial"/>
          <w:szCs w:val="24"/>
        </w:rPr>
      </w:pPr>
      <w:r w:rsidRPr="009827AC">
        <w:rPr>
          <w:rFonts w:cs="Arial"/>
          <w:szCs w:val="24"/>
        </w:rPr>
        <w:t xml:space="preserve">The </w:t>
      </w:r>
      <w:r w:rsidRPr="009827AC">
        <w:rPr>
          <w:rFonts w:cs="Arial"/>
          <w:i/>
          <w:iCs/>
          <w:szCs w:val="24"/>
        </w:rPr>
        <w:t>Health Care (Health Access Zones) Amendment Bill 2019</w:t>
      </w:r>
      <w:r w:rsidRPr="009827AC">
        <w:rPr>
          <w:rFonts w:cs="Arial"/>
          <w:szCs w:val="24"/>
        </w:rPr>
        <w:t xml:space="preserve"> (SA) was concurrently introduced to both Houses of the South Australian Parliament by the Honourable Tammy Franks in September 2019. The South Australian Law Reform Institute (SALRI) published a review of South Australian abortion law and practice in October 2019. Of the 340 submissions provided to SALRI concerning safe access zones, about 180 supported safe access zones and 25 were opposed. Of those opposed, the majority agreed that is should be unlawful to harass, intimidate or obstruct any person around abortion service premises but believe other behaviour should be permitted.</w:t>
      </w:r>
      <w:r w:rsidRPr="009827AC">
        <w:rPr>
          <w:rFonts w:eastAsia="Calibri" w:cs="Arial"/>
          <w:szCs w:val="24"/>
          <w:vertAlign w:val="superscript"/>
        </w:rPr>
        <w:footnoteReference w:id="70"/>
      </w:r>
      <w:r w:rsidRPr="009827AC">
        <w:rPr>
          <w:rFonts w:cs="Arial"/>
          <w:szCs w:val="24"/>
        </w:rPr>
        <w:t xml:space="preserve"> A further bill, the </w:t>
      </w:r>
      <w:r w:rsidRPr="009827AC">
        <w:rPr>
          <w:rFonts w:cs="Arial"/>
          <w:i/>
          <w:iCs/>
          <w:szCs w:val="24"/>
        </w:rPr>
        <w:t>Health Care (Safe Access) Amendment Bill 2020</w:t>
      </w:r>
      <w:r w:rsidRPr="009827AC">
        <w:rPr>
          <w:rFonts w:cs="Arial"/>
          <w:szCs w:val="24"/>
        </w:rPr>
        <w:t xml:space="preserve"> was then introduced by Nat Cook MP in June 2020. Both are bills of the current session of Parliament (the 2</w:t>
      </w:r>
      <w:r w:rsidRPr="009827AC">
        <w:rPr>
          <w:rFonts w:cs="Arial"/>
          <w:szCs w:val="24"/>
          <w:vertAlign w:val="superscript"/>
        </w:rPr>
        <w:t>nd</w:t>
      </w:r>
      <w:r w:rsidRPr="009827AC">
        <w:rPr>
          <w:rFonts w:cs="Arial"/>
          <w:szCs w:val="24"/>
        </w:rPr>
        <w:t xml:space="preserve"> session of the 54</w:t>
      </w:r>
      <w:r w:rsidRPr="009827AC">
        <w:rPr>
          <w:rFonts w:cs="Arial"/>
          <w:szCs w:val="24"/>
          <w:vertAlign w:val="superscript"/>
        </w:rPr>
        <w:t>th</w:t>
      </w:r>
      <w:r w:rsidRPr="009827AC">
        <w:rPr>
          <w:rFonts w:cs="Arial"/>
          <w:szCs w:val="24"/>
        </w:rPr>
        <w:t xml:space="preserve"> Parliament).</w:t>
      </w:r>
    </w:p>
    <w:p w14:paraId="1DC9D251" w14:textId="77777777" w:rsidR="009A2C73" w:rsidRPr="009827AC" w:rsidRDefault="009A2C73" w:rsidP="003308BA">
      <w:pPr>
        <w:spacing w:before="240" w:after="240"/>
        <w:rPr>
          <w:rFonts w:eastAsia="Calibri" w:cs="Arial"/>
          <w:szCs w:val="24"/>
        </w:rPr>
      </w:pPr>
      <w:r w:rsidRPr="009827AC">
        <w:rPr>
          <w:rFonts w:cs="Arial"/>
          <w:szCs w:val="24"/>
        </w:rPr>
        <w:t>Submissions to SALRI showed particular concern for vulnerable women, from rural, remote or Aboriginal communities and victims of domestic violence or sexual assault. Parties such as the Castan Centre for Human Rights Law and health practitioners submitted that the effects of harassment and obstruction on these women who are particularly vulnerable ‘should not be underestimated’.</w:t>
      </w:r>
      <w:r w:rsidRPr="009827AC">
        <w:rPr>
          <w:rFonts w:eastAsia="Calibri" w:cs="Arial"/>
          <w:szCs w:val="24"/>
          <w:vertAlign w:val="superscript"/>
        </w:rPr>
        <w:footnoteReference w:id="71"/>
      </w:r>
    </w:p>
    <w:p w14:paraId="62961EF4" w14:textId="77777777" w:rsidR="009A2C73" w:rsidRPr="009827AC" w:rsidRDefault="009A2C73" w:rsidP="003308BA">
      <w:pPr>
        <w:spacing w:before="240" w:after="240"/>
        <w:rPr>
          <w:rFonts w:cs="Arial"/>
          <w:szCs w:val="24"/>
        </w:rPr>
      </w:pPr>
      <w:r w:rsidRPr="009827AC">
        <w:rPr>
          <w:rFonts w:cs="Arial"/>
          <w:szCs w:val="24"/>
        </w:rPr>
        <w:t>The SA context indicates the importance of proximity of public transport in the design of a safe access zone. The Pregnancy Advisory Centre in Woodville is very close to public transport and within a 150 metre radius. It is important to consider the consequence if the public transport stops were outside the safe access zone.</w:t>
      </w:r>
    </w:p>
    <w:p w14:paraId="342E52F4" w14:textId="77777777" w:rsidR="009A2C73" w:rsidRPr="009827AC" w:rsidRDefault="009A2C73" w:rsidP="003308BA">
      <w:pPr>
        <w:spacing w:before="240" w:after="240"/>
        <w:rPr>
          <w:rFonts w:eastAsia="Calibri" w:cs="Arial"/>
          <w:szCs w:val="24"/>
        </w:rPr>
      </w:pPr>
      <w:r w:rsidRPr="009827AC">
        <w:rPr>
          <w:rFonts w:cs="Arial"/>
          <w:szCs w:val="24"/>
        </w:rPr>
        <w:t xml:space="preserve">Opposers of safe access zones submitted to SALRI that existing laws are sufficient to address any misconduct occurring at abortion clinics. However, the Law Society of SA noted that s 7 of the </w:t>
      </w:r>
      <w:r w:rsidRPr="009827AC">
        <w:rPr>
          <w:rFonts w:cs="Arial"/>
          <w:i/>
          <w:szCs w:val="24"/>
        </w:rPr>
        <w:t>Summary Offences Act 1953 (SA)</w:t>
      </w:r>
      <w:r w:rsidRPr="009827AC">
        <w:rPr>
          <w:rFonts w:cs="Arial"/>
          <w:szCs w:val="24"/>
        </w:rPr>
        <w:t xml:space="preserve"> (concerning public nuisance) is unlikely to provide complete and adequate protection to women from the behaviours observed outside abortion clinics.</w:t>
      </w:r>
      <w:r w:rsidRPr="009827AC">
        <w:rPr>
          <w:rFonts w:eastAsia="Calibri" w:cs="Arial"/>
          <w:szCs w:val="24"/>
          <w:vertAlign w:val="superscript"/>
        </w:rPr>
        <w:footnoteReference w:id="72"/>
      </w:r>
    </w:p>
    <w:p w14:paraId="70312C16" w14:textId="77777777" w:rsidR="009A2C73" w:rsidRPr="009827AC" w:rsidRDefault="009A2C73" w:rsidP="003308BA">
      <w:pPr>
        <w:spacing w:before="240" w:after="240"/>
        <w:rPr>
          <w:rFonts w:cs="Arial"/>
          <w:szCs w:val="24"/>
        </w:rPr>
      </w:pPr>
      <w:r w:rsidRPr="009827AC">
        <w:rPr>
          <w:rFonts w:cs="Arial"/>
          <w:szCs w:val="24"/>
        </w:rPr>
        <w:lastRenderedPageBreak/>
        <w:t>Significantly, it has been argued that SA does not require safe access zones because no demonstrable harm has been caused.</w:t>
      </w:r>
      <w:r w:rsidRPr="009827AC">
        <w:rPr>
          <w:rFonts w:eastAsia="Calibri" w:cs="Arial"/>
          <w:szCs w:val="24"/>
          <w:vertAlign w:val="superscript"/>
        </w:rPr>
        <w:footnoteReference w:id="73"/>
      </w:r>
      <w:r w:rsidRPr="009827AC">
        <w:rPr>
          <w:rFonts w:cs="Arial"/>
          <w:szCs w:val="24"/>
        </w:rPr>
        <w:t xml:space="preserve"> There had not been a prosecution of an individual for activities outside the Woodville clinic since 2012 and the 2012 charge was eventually dropped; these facts were used in support of the contention that safe access zones are unnecessary in SA. Comparison was drawn in submissions to SALRI between SA and Victoria, where there was evidence of ongoing conflict between the staff and pro-life activists at the East Melbourne clinic. 40 Days for Life, an anti-abortionist group, submitted that the only conduct that is observed at the Woodville clinic is peaceful quiet prayer vigil well away from the entrance.</w:t>
      </w:r>
      <w:r w:rsidRPr="009827AC">
        <w:rPr>
          <w:rFonts w:eastAsia="Calibri" w:cs="Arial"/>
          <w:szCs w:val="24"/>
          <w:vertAlign w:val="superscript"/>
        </w:rPr>
        <w:footnoteReference w:id="74"/>
      </w:r>
      <w:r w:rsidRPr="009827AC">
        <w:rPr>
          <w:rFonts w:eastAsia="Calibri" w:cs="Arial"/>
          <w:szCs w:val="24"/>
        </w:rPr>
        <w:t xml:space="preserve"> </w:t>
      </w:r>
      <w:r w:rsidRPr="009827AC">
        <w:rPr>
          <w:rFonts w:cs="Arial"/>
          <w:szCs w:val="24"/>
        </w:rPr>
        <w:t xml:space="preserve">Employees of the Central Adelaide Local Health Network (Pregnancy Advisory Centre) have contended differently. The Centre stated that regular groups of protestors gather outside the Pregnancy Advisory Centre every week with the intent to stop women from receiving abortion services. The protestors attempted to video staff and </w:t>
      </w:r>
      <w:r w:rsidR="00865BC8">
        <w:rPr>
          <w:rFonts w:cs="Arial"/>
          <w:szCs w:val="24"/>
        </w:rPr>
        <w:t>patients</w:t>
      </w:r>
      <w:r w:rsidRPr="009827AC">
        <w:rPr>
          <w:rFonts w:cs="Arial"/>
          <w:szCs w:val="24"/>
        </w:rPr>
        <w:t>, and have attempted to stop women accessing the clinic. Additionally, the Human Rights Law Centre noted that anti-abortion activities had taken placed every week for 25 years outside the Woodville facility. Significantly, Dr Jane Baird, the Director of the Pregnancy Advisory Centre, argued that the current practice of these groups is irrelevant because the law is being made for the future.</w:t>
      </w:r>
    </w:p>
    <w:p w14:paraId="297532D7" w14:textId="77777777" w:rsidR="009A2C73" w:rsidRDefault="009A2C73" w:rsidP="003308BA">
      <w:pPr>
        <w:spacing w:before="240" w:after="240"/>
        <w:rPr>
          <w:rFonts w:cs="Arial"/>
          <w:szCs w:val="24"/>
        </w:rPr>
      </w:pPr>
      <w:r w:rsidRPr="009827AC">
        <w:rPr>
          <w:rFonts w:cs="Arial"/>
          <w:szCs w:val="24"/>
        </w:rPr>
        <w:t>SALRI observed that there is a real possibility that SA clinics will become the focus for protest or national campaigns because all Australian jurisdictions except SA and WA (which is in the process of introducing safe access zones) have safe access zones. It was observed that the absence of safe access zones in SA ‘allows, and almost invites’ anti-abortion campaigns.</w:t>
      </w:r>
      <w:r w:rsidRPr="009827AC">
        <w:rPr>
          <w:rFonts w:eastAsia="Calibri" w:cs="Arial"/>
          <w:szCs w:val="24"/>
          <w:vertAlign w:val="superscript"/>
        </w:rPr>
        <w:footnoteReference w:id="75"/>
      </w:r>
    </w:p>
    <w:p w14:paraId="102C3CD9" w14:textId="77777777" w:rsidR="009827AC" w:rsidRPr="009827AC" w:rsidRDefault="009827AC" w:rsidP="003308BA">
      <w:pPr>
        <w:spacing w:before="240" w:after="240"/>
        <w:rPr>
          <w:rFonts w:cs="Arial"/>
          <w:color w:val="000000"/>
          <w:szCs w:val="24"/>
        </w:rPr>
      </w:pPr>
    </w:p>
    <w:p w14:paraId="0C27030A" w14:textId="1BCEBBC8" w:rsidR="009A2C73" w:rsidRPr="009A2C73" w:rsidRDefault="007254D1" w:rsidP="003308BA">
      <w:pPr>
        <w:pStyle w:val="Heading2"/>
        <w:rPr>
          <w:color w:val="5B9BD5" w:themeColor="accent1"/>
        </w:rPr>
      </w:pPr>
      <w:bookmarkStart w:id="78" w:name="_Toc47512458"/>
      <w:bookmarkStart w:id="79" w:name="_Toc47278200"/>
      <w:bookmarkStart w:id="80" w:name="_Toc49947635"/>
      <w:r>
        <w:t>5</w:t>
      </w:r>
      <w:r w:rsidR="009827AC">
        <w:t xml:space="preserve">.3 </w:t>
      </w:r>
      <w:r w:rsidR="009A2C73" w:rsidRPr="009A2C73">
        <w:t>Western Australia: Context-Specific Considerations</w:t>
      </w:r>
      <w:bookmarkEnd w:id="78"/>
      <w:bookmarkEnd w:id="79"/>
      <w:bookmarkEnd w:id="80"/>
    </w:p>
    <w:p w14:paraId="4FAC3E92"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highlight w:val="yellow"/>
        </w:rPr>
      </w:pPr>
      <w:r w:rsidRPr="009827AC">
        <w:rPr>
          <w:rFonts w:ascii="Arial" w:hAnsi="Arial" w:cs="Arial"/>
          <w:sz w:val="24"/>
          <w:szCs w:val="24"/>
        </w:rPr>
        <w:t xml:space="preserve">Abortion was legalised in WA through the enactment of </w:t>
      </w:r>
      <w:r w:rsidRPr="009827AC">
        <w:rPr>
          <w:rFonts w:ascii="Arial" w:hAnsi="Arial" w:cs="Arial"/>
          <w:i/>
          <w:iCs/>
          <w:sz w:val="24"/>
          <w:szCs w:val="24"/>
        </w:rPr>
        <w:t>Acts Amendment (Abortion) Act</w:t>
      </w:r>
      <w:r w:rsidRPr="009827AC">
        <w:rPr>
          <w:rStyle w:val="FootnoteReference"/>
          <w:rFonts w:ascii="Arial" w:hAnsi="Arial" w:cs="Arial"/>
          <w:i/>
          <w:iCs/>
          <w:sz w:val="24"/>
          <w:szCs w:val="24"/>
        </w:rPr>
        <w:footnoteReference w:id="76"/>
      </w:r>
      <w:r w:rsidRPr="009827AC">
        <w:rPr>
          <w:rFonts w:ascii="Arial" w:hAnsi="Arial" w:cs="Arial"/>
          <w:sz w:val="24"/>
          <w:szCs w:val="24"/>
        </w:rPr>
        <w:t xml:space="preserve"> in 1998. The provisions pertaining to abortion are contained in the </w:t>
      </w:r>
      <w:r w:rsidRPr="009827AC">
        <w:rPr>
          <w:rFonts w:ascii="Arial" w:hAnsi="Arial" w:cs="Arial"/>
          <w:i/>
          <w:iCs/>
          <w:sz w:val="24"/>
          <w:szCs w:val="24"/>
        </w:rPr>
        <w:t xml:space="preserve">Health (Miscellaneous Provisions) Act 1911 </w:t>
      </w:r>
      <w:r w:rsidRPr="009827AC">
        <w:rPr>
          <w:rFonts w:ascii="Arial" w:hAnsi="Arial" w:cs="Arial"/>
          <w:sz w:val="24"/>
          <w:szCs w:val="24"/>
        </w:rPr>
        <w:t>(WA). Since abortion was legalised, there have been ongoing instances of individuals accessing abortion services being approached by picketers outside clinics.</w:t>
      </w:r>
      <w:r w:rsidRPr="009827AC">
        <w:rPr>
          <w:rStyle w:val="FootnoteReference"/>
          <w:rFonts w:ascii="Arial" w:hAnsi="Arial" w:cs="Arial"/>
          <w:sz w:val="24"/>
          <w:szCs w:val="24"/>
        </w:rPr>
        <w:footnoteReference w:id="77"/>
      </w:r>
    </w:p>
    <w:p w14:paraId="6762A78A" w14:textId="77777777" w:rsidR="00850563" w:rsidRDefault="00850563" w:rsidP="003308BA">
      <w:pPr>
        <w:pStyle w:val="ListNumber0"/>
        <w:numPr>
          <w:ilvl w:val="0"/>
          <w:numId w:val="0"/>
        </w:numPr>
        <w:tabs>
          <w:tab w:val="left" w:pos="720"/>
        </w:tabs>
        <w:spacing w:line="276" w:lineRule="auto"/>
        <w:rPr>
          <w:rFonts w:ascii="Arial" w:hAnsi="Arial" w:cs="Arial"/>
          <w:sz w:val="24"/>
          <w:szCs w:val="24"/>
        </w:rPr>
      </w:pPr>
    </w:p>
    <w:p w14:paraId="1DE939C3" w14:textId="0A11C942"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lastRenderedPageBreak/>
        <w:t>In WA, abortion services may be provided by public hospitals, private hospitals, clinics, general practices and telehealth services.</w:t>
      </w:r>
      <w:r w:rsidRPr="009827AC">
        <w:rPr>
          <w:rStyle w:val="FootnoteReference"/>
          <w:rFonts w:ascii="Arial" w:hAnsi="Arial" w:cs="Arial"/>
          <w:sz w:val="24"/>
          <w:szCs w:val="24"/>
        </w:rPr>
        <w:footnoteReference w:id="78"/>
      </w:r>
      <w:r w:rsidRPr="009827AC">
        <w:rPr>
          <w:rFonts w:ascii="Arial" w:hAnsi="Arial" w:cs="Arial"/>
          <w:sz w:val="24"/>
          <w:szCs w:val="24"/>
        </w:rPr>
        <w:t xml:space="preserve">  Registered pharmacists may supply medications for abortions. Two private abortion clinics operate in WA, run by Marie Stopes WA and Nanyara Medical Group respectively.</w:t>
      </w:r>
    </w:p>
    <w:p w14:paraId="1759B5B3"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Of the 7,816 abortions notified to the WA Department of Health in 2018,</w:t>
      </w:r>
      <w:r w:rsidRPr="009827AC">
        <w:rPr>
          <w:rStyle w:val="FootnoteReference"/>
          <w:rFonts w:ascii="Arial" w:hAnsi="Arial" w:cs="Arial"/>
          <w:sz w:val="24"/>
          <w:szCs w:val="24"/>
        </w:rPr>
        <w:footnoteReference w:id="79"/>
      </w:r>
      <w:r w:rsidRPr="009827AC">
        <w:rPr>
          <w:rFonts w:ascii="Arial" w:hAnsi="Arial" w:cs="Arial"/>
          <w:sz w:val="24"/>
          <w:szCs w:val="24"/>
        </w:rPr>
        <w:t xml:space="preserve"> nearly 83 per cent of them were provided by Marie Stopes WA and Nanyara Medical Group.</w:t>
      </w:r>
      <w:r w:rsidRPr="009827AC">
        <w:rPr>
          <w:rStyle w:val="FootnoteReference"/>
          <w:rFonts w:ascii="Arial" w:hAnsi="Arial" w:cs="Arial"/>
          <w:sz w:val="24"/>
          <w:szCs w:val="24"/>
        </w:rPr>
        <w:footnoteReference w:id="80"/>
      </w:r>
      <w:r w:rsidRPr="009827AC">
        <w:rPr>
          <w:rFonts w:ascii="Arial" w:hAnsi="Arial" w:cs="Arial"/>
          <w:sz w:val="24"/>
          <w:szCs w:val="24"/>
        </w:rPr>
        <w:t xml:space="preserve"> These two clinics are the most highly impacted by the behaviour of picketers. As a result, potentially thousands of people are impacted by the regular picketing that takes place outside these clinics every year.</w:t>
      </w:r>
      <w:r w:rsidRPr="009827AC">
        <w:rPr>
          <w:rStyle w:val="FootnoteReference"/>
          <w:rFonts w:ascii="Arial" w:hAnsi="Arial" w:cs="Arial"/>
          <w:sz w:val="24"/>
          <w:szCs w:val="24"/>
        </w:rPr>
        <w:footnoteReference w:id="81"/>
      </w:r>
      <w:r w:rsidRPr="009827AC">
        <w:rPr>
          <w:rFonts w:ascii="Arial" w:hAnsi="Arial" w:cs="Arial"/>
          <w:sz w:val="24"/>
          <w:szCs w:val="24"/>
        </w:rPr>
        <w:t xml:space="preserve"> Both patients and those accompanying patients to the clinic are affected by this behaviour. Staff working at these clinics, such as medical, legal and counselling staff, also experience harassment and intimidation by picketers.</w:t>
      </w:r>
      <w:r w:rsidRPr="009827AC">
        <w:rPr>
          <w:rStyle w:val="FootnoteReference"/>
          <w:rFonts w:ascii="Arial" w:hAnsi="Arial" w:cs="Arial"/>
          <w:sz w:val="24"/>
          <w:szCs w:val="24"/>
        </w:rPr>
        <w:footnoteReference w:id="82"/>
      </w:r>
    </w:p>
    <w:p w14:paraId="679C4EEB"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Through interviews with Marie Stopes Centre Manager and Nanyara Medical Clinic General Practitioner in 2018, the Department of Health documented the behaviour of picketers outside the clinics.</w:t>
      </w:r>
      <w:r w:rsidRPr="009827AC">
        <w:rPr>
          <w:rStyle w:val="FootnoteReference"/>
          <w:rFonts w:ascii="Arial" w:hAnsi="Arial" w:cs="Arial"/>
          <w:sz w:val="24"/>
          <w:szCs w:val="24"/>
        </w:rPr>
        <w:footnoteReference w:id="83"/>
      </w:r>
      <w:r w:rsidRPr="009827AC">
        <w:rPr>
          <w:rFonts w:ascii="Arial" w:hAnsi="Arial" w:cs="Arial"/>
          <w:sz w:val="24"/>
          <w:szCs w:val="24"/>
        </w:rPr>
        <w:t xml:space="preserve"> Their behaviour includes confronting verbal communications, and approaching patients to try and change the minds of women seeking abortions; taking visual recordings of patients without their consent; giving gift bags containing food (to precipitate cancelling procedures that require fasting), and information pamphlets with emotive and non-evidence based information about abortion and its health impacts; visual communication through placards and posters set up at clinics with words to discourage the termination of pregnancies alongside emotional imagery of babies and foetuses; assembling outside clinics for at least two hours at a time (these groups can range from three demonstrators to 30 demonstrators); creating a physical barrier impeding a patient’s free access to a clinic, or walking back and forth in front of the entry to the clinic and singing outside clinics at a volume that can be heard within the clinics.</w:t>
      </w:r>
      <w:r w:rsidRPr="009827AC">
        <w:rPr>
          <w:rStyle w:val="FootnoteReference"/>
          <w:rFonts w:ascii="Arial" w:hAnsi="Arial" w:cs="Arial"/>
          <w:sz w:val="24"/>
          <w:szCs w:val="24"/>
        </w:rPr>
        <w:footnoteReference w:id="84"/>
      </w:r>
    </w:p>
    <w:p w14:paraId="0F043FC6" w14:textId="77777777" w:rsidR="00850563" w:rsidRDefault="00850563" w:rsidP="003308BA">
      <w:pPr>
        <w:rPr>
          <w:rFonts w:cs="Arial"/>
          <w:szCs w:val="24"/>
        </w:rPr>
      </w:pPr>
    </w:p>
    <w:p w14:paraId="32453803" w14:textId="77777777" w:rsidR="00850563" w:rsidRDefault="00850563" w:rsidP="003308BA">
      <w:pPr>
        <w:rPr>
          <w:rFonts w:cs="Arial"/>
          <w:szCs w:val="24"/>
        </w:rPr>
      </w:pPr>
    </w:p>
    <w:p w14:paraId="43D5A66F" w14:textId="77777777" w:rsidR="00850563" w:rsidRDefault="00850563" w:rsidP="003308BA">
      <w:pPr>
        <w:rPr>
          <w:rFonts w:cs="Arial"/>
          <w:szCs w:val="24"/>
        </w:rPr>
      </w:pPr>
    </w:p>
    <w:p w14:paraId="2D19E375" w14:textId="77777777" w:rsidR="00850563" w:rsidRDefault="00850563" w:rsidP="003308BA">
      <w:pPr>
        <w:rPr>
          <w:rFonts w:cs="Arial"/>
          <w:szCs w:val="24"/>
        </w:rPr>
      </w:pPr>
    </w:p>
    <w:p w14:paraId="728C84BB" w14:textId="765EC78A" w:rsidR="009A2C73" w:rsidRPr="009827AC" w:rsidRDefault="009A2C73" w:rsidP="003308BA">
      <w:pPr>
        <w:rPr>
          <w:rFonts w:cs="Arial"/>
          <w:szCs w:val="24"/>
        </w:rPr>
      </w:pPr>
      <w:r w:rsidRPr="009827AC">
        <w:rPr>
          <w:rFonts w:cs="Arial"/>
          <w:szCs w:val="24"/>
        </w:rPr>
        <w:lastRenderedPageBreak/>
        <w:t>Recent reports of harassment and obstruction of patients and staff by picketers have been documented.</w:t>
      </w:r>
      <w:r w:rsidRPr="009827AC">
        <w:rPr>
          <w:rStyle w:val="FootnoteReference"/>
          <w:rFonts w:cs="Arial"/>
          <w:szCs w:val="24"/>
        </w:rPr>
        <w:footnoteReference w:id="85"/>
      </w:r>
      <w:r w:rsidRPr="009827AC">
        <w:rPr>
          <w:rFonts w:cs="Arial"/>
          <w:szCs w:val="24"/>
        </w:rPr>
        <w:t xml:space="preserve">  In March 2020, following the COVID-19 pandemic, the picketers who regularly gathered outside the Marie Stopes clinic in Midland, had their permission to protest rescinded. Despite this, staff at the clinic reported that they had to call the police after the picketers gathered on 27 March.</w:t>
      </w:r>
      <w:r w:rsidRPr="009827AC">
        <w:rPr>
          <w:rStyle w:val="FootnoteReference"/>
          <w:rFonts w:cs="Arial"/>
          <w:szCs w:val="24"/>
        </w:rPr>
        <w:footnoteReference w:id="86"/>
      </w:r>
      <w:r w:rsidRPr="009827AC">
        <w:rPr>
          <w:rFonts w:cs="Arial"/>
          <w:szCs w:val="24"/>
        </w:rPr>
        <w:t xml:space="preserve"> However, with restrictions easing, picketers have resumed their activities outside the clinic. In a June 2020 situational report by Marie Stopes Australia, it was noted that the presence of anti-choice picketers ‘is intimidating and stressful for patients, their support people and health workers. In the pandemic context, the harm caused by their behaviour is magnified.’</w:t>
      </w:r>
      <w:r w:rsidRPr="009827AC">
        <w:rPr>
          <w:rStyle w:val="FootnoteReference"/>
          <w:rFonts w:cs="Arial"/>
          <w:szCs w:val="24"/>
        </w:rPr>
        <w:footnoteReference w:id="87"/>
      </w:r>
      <w:r w:rsidRPr="009827AC">
        <w:rPr>
          <w:rFonts w:cs="Arial"/>
          <w:szCs w:val="24"/>
        </w:rPr>
        <w:t xml:space="preserve"> The impact on staff and patients was also recognised by Health Minister, Roger Cook, who stated that  ‘[d]emonstrations outside abortion services act as a barrier to accessing legal health services, cause distress and anxiety to patients and staff, and are unable to be adequately managed by existing laws.’</w:t>
      </w:r>
      <w:r w:rsidRPr="009827AC">
        <w:rPr>
          <w:rStyle w:val="FootnoteReference"/>
          <w:rFonts w:cs="Arial"/>
          <w:szCs w:val="24"/>
        </w:rPr>
        <w:footnoteReference w:id="88"/>
      </w:r>
    </w:p>
    <w:p w14:paraId="13CCE156"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Currently, picketing outside termination service providers is regulated by the WA Police through various powers including permits under the </w:t>
      </w:r>
      <w:r w:rsidRPr="009827AC">
        <w:rPr>
          <w:rFonts w:ascii="Arial" w:hAnsi="Arial" w:cs="Arial"/>
          <w:i/>
          <w:iCs/>
          <w:sz w:val="24"/>
          <w:szCs w:val="24"/>
        </w:rPr>
        <w:t>Public Order in Streets Act 1984</w:t>
      </w:r>
      <w:r w:rsidRPr="009827AC">
        <w:rPr>
          <w:rFonts w:ascii="Arial" w:hAnsi="Arial" w:cs="Arial"/>
          <w:sz w:val="24"/>
          <w:szCs w:val="24"/>
        </w:rPr>
        <w:t xml:space="preserve"> (WA) and Move On Orders under the </w:t>
      </w:r>
      <w:r w:rsidRPr="009827AC">
        <w:rPr>
          <w:rFonts w:ascii="Arial" w:hAnsi="Arial" w:cs="Arial"/>
          <w:i/>
          <w:iCs/>
          <w:sz w:val="24"/>
          <w:szCs w:val="24"/>
        </w:rPr>
        <w:t xml:space="preserve">Criminal Investigations Act 2006 </w:t>
      </w:r>
      <w:r w:rsidRPr="009827AC">
        <w:rPr>
          <w:rFonts w:ascii="Arial" w:hAnsi="Arial" w:cs="Arial"/>
          <w:sz w:val="24"/>
          <w:szCs w:val="24"/>
        </w:rPr>
        <w:t>(WA).</w:t>
      </w:r>
      <w:r w:rsidRPr="009827AC">
        <w:rPr>
          <w:rStyle w:val="FootnoteReference"/>
          <w:rFonts w:ascii="Arial" w:hAnsi="Arial" w:cs="Arial"/>
          <w:sz w:val="24"/>
          <w:szCs w:val="24"/>
        </w:rPr>
        <w:footnoteReference w:id="89"/>
      </w:r>
      <w:r w:rsidRPr="009827AC">
        <w:rPr>
          <w:rFonts w:ascii="Arial" w:hAnsi="Arial" w:cs="Arial"/>
          <w:sz w:val="24"/>
          <w:szCs w:val="24"/>
        </w:rPr>
        <w:t xml:space="preserve"> In its 2020 report, the Department of Health recognised that ‘WA’s existing laws do not adequately address the full range of behaviours engaged in by people who demonstrate at, or near, premises at which abortions are provided’.</w:t>
      </w:r>
      <w:r w:rsidRPr="009827AC">
        <w:rPr>
          <w:rStyle w:val="FootnoteReference"/>
          <w:rFonts w:ascii="Arial" w:hAnsi="Arial" w:cs="Arial"/>
          <w:sz w:val="24"/>
          <w:szCs w:val="24"/>
        </w:rPr>
        <w:footnoteReference w:id="90"/>
      </w:r>
    </w:p>
    <w:p w14:paraId="5929E731" w14:textId="77777777" w:rsidR="00850563" w:rsidRDefault="00850563" w:rsidP="003308BA">
      <w:pPr>
        <w:pStyle w:val="ListNumber0"/>
        <w:numPr>
          <w:ilvl w:val="0"/>
          <w:numId w:val="0"/>
        </w:numPr>
        <w:tabs>
          <w:tab w:val="left" w:pos="720"/>
        </w:tabs>
        <w:spacing w:line="276" w:lineRule="auto"/>
        <w:rPr>
          <w:rFonts w:ascii="Arial" w:hAnsi="Arial" w:cs="Arial"/>
          <w:sz w:val="24"/>
          <w:szCs w:val="24"/>
        </w:rPr>
      </w:pPr>
    </w:p>
    <w:p w14:paraId="35ED6D32" w14:textId="5537CFC0"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lastRenderedPageBreak/>
        <w:t>The WA Government is currently in the process of drafting legislation to establish safe access zones.</w:t>
      </w:r>
      <w:r w:rsidRPr="009827AC">
        <w:rPr>
          <w:rStyle w:val="FootnoteReference"/>
          <w:rFonts w:ascii="Arial" w:hAnsi="Arial" w:cs="Arial"/>
          <w:sz w:val="24"/>
          <w:szCs w:val="24"/>
        </w:rPr>
        <w:footnoteReference w:id="91"/>
      </w:r>
      <w:r w:rsidRPr="009827AC">
        <w:rPr>
          <w:rFonts w:ascii="Arial" w:hAnsi="Arial" w:cs="Arial"/>
          <w:sz w:val="24"/>
          <w:szCs w:val="24"/>
        </w:rPr>
        <w:t xml:space="preserve"> In February 2020, it was announced that the legislation is expected to be introduced into Parliament later in the year. </w:t>
      </w:r>
    </w:p>
    <w:p w14:paraId="7082DF8B"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The proposed safe access zone will provide a 150-metre buffer around premises at which abortions are provided. The establishment of safe access zones will bring WA into line with all other jurisdictions, apart from SA. Seventy per cent of respondents to the Department of Health’s online survey in 2019 supported the introduction of safe access zones around premises at which abortions are provided in WA.</w:t>
      </w:r>
      <w:r w:rsidRPr="009827AC">
        <w:rPr>
          <w:rStyle w:val="FootnoteReference"/>
          <w:rFonts w:ascii="Arial" w:hAnsi="Arial" w:cs="Arial"/>
          <w:sz w:val="24"/>
          <w:szCs w:val="24"/>
        </w:rPr>
        <w:footnoteReference w:id="92"/>
      </w:r>
    </w:p>
    <w:p w14:paraId="67C6C32A"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The safe access zones in the proposed legislation will operate 24 hours-a-day and seven days-a-week. The legislation will also set out prohibited behaviours in safe access zones, such as harassment, intimidation and obstruction, along with penalties for non-compliance.</w:t>
      </w:r>
      <w:r w:rsidRPr="009827AC">
        <w:rPr>
          <w:rStyle w:val="FootnoteReference"/>
          <w:rFonts w:ascii="Arial" w:hAnsi="Arial" w:cs="Arial"/>
          <w:sz w:val="24"/>
          <w:szCs w:val="24"/>
        </w:rPr>
        <w:footnoteReference w:id="93"/>
      </w:r>
    </w:p>
    <w:p w14:paraId="4F3A2335"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p>
    <w:p w14:paraId="04659940" w14:textId="77777777" w:rsidR="009827AC" w:rsidRDefault="009827AC" w:rsidP="003308BA">
      <w:pPr>
        <w:spacing w:after="160" w:line="259" w:lineRule="auto"/>
        <w:rPr>
          <w:rFonts w:eastAsiaTheme="majorEastAsia" w:cs="Arial"/>
          <w:b/>
          <w:sz w:val="32"/>
          <w:szCs w:val="32"/>
        </w:rPr>
      </w:pPr>
      <w:bookmarkStart w:id="81" w:name="_Toc47512459"/>
      <w:bookmarkStart w:id="82" w:name="_Toc47278201"/>
      <w:r>
        <w:rPr>
          <w:rFonts w:cs="Arial"/>
        </w:rPr>
        <w:br w:type="page"/>
      </w:r>
    </w:p>
    <w:p w14:paraId="48B4DC6E" w14:textId="083F3A08" w:rsidR="009A2C73" w:rsidRPr="009A2C73" w:rsidRDefault="007254D1" w:rsidP="003308BA">
      <w:pPr>
        <w:pStyle w:val="Heading1"/>
        <w:rPr>
          <w:rFonts w:cs="Arial"/>
          <w:sz w:val="36"/>
        </w:rPr>
      </w:pPr>
      <w:bookmarkStart w:id="83" w:name="_Toc49947636"/>
      <w:r>
        <w:rPr>
          <w:rFonts w:cs="Arial"/>
        </w:rPr>
        <w:lastRenderedPageBreak/>
        <w:t>6</w:t>
      </w:r>
      <w:r w:rsidR="009827AC">
        <w:rPr>
          <w:rFonts w:cs="Arial"/>
        </w:rPr>
        <w:t xml:space="preserve">. </w:t>
      </w:r>
      <w:r w:rsidR="009A2C73" w:rsidRPr="009A2C73">
        <w:rPr>
          <w:rFonts w:cs="Arial"/>
        </w:rPr>
        <w:t>Recommendations</w:t>
      </w:r>
      <w:bookmarkEnd w:id="81"/>
      <w:bookmarkEnd w:id="82"/>
      <w:bookmarkEnd w:id="83"/>
    </w:p>
    <w:p w14:paraId="5D7939EE" w14:textId="3767F4F7" w:rsidR="009A2C73" w:rsidRPr="009A2C73" w:rsidRDefault="007254D1" w:rsidP="003308BA">
      <w:pPr>
        <w:pStyle w:val="Heading2"/>
      </w:pPr>
      <w:bookmarkStart w:id="84" w:name="_Toc47512460"/>
      <w:bookmarkStart w:id="85" w:name="_Toc47278202"/>
      <w:bookmarkStart w:id="86" w:name="_Toc49947637"/>
      <w:r>
        <w:t>6</w:t>
      </w:r>
      <w:r w:rsidR="009827AC">
        <w:t xml:space="preserve">.1 </w:t>
      </w:r>
      <w:r w:rsidR="009A2C73" w:rsidRPr="009A2C73">
        <w:t>Size</w:t>
      </w:r>
      <w:bookmarkEnd w:id="84"/>
      <w:bookmarkEnd w:id="85"/>
      <w:bookmarkEnd w:id="86"/>
    </w:p>
    <w:p w14:paraId="0EB054BA"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It is recommended that safe access zones in SA and WA should be 150 metres from the termination service premises, unless the Minister otherwise prescribes a distance, being not less than 150 metres, by regulation. A radius of 150 metres for safe access zones has been recommended in various law reform reports including in Queensland,</w:t>
      </w:r>
      <w:r w:rsidRPr="009827AC">
        <w:rPr>
          <w:rStyle w:val="FootnoteReference"/>
          <w:rFonts w:ascii="Arial" w:hAnsi="Arial" w:cs="Arial"/>
          <w:sz w:val="24"/>
          <w:szCs w:val="24"/>
        </w:rPr>
        <w:footnoteReference w:id="94"/>
      </w:r>
      <w:r w:rsidRPr="009827AC">
        <w:rPr>
          <w:rFonts w:ascii="Arial" w:hAnsi="Arial" w:cs="Arial"/>
          <w:sz w:val="24"/>
          <w:szCs w:val="24"/>
        </w:rPr>
        <w:t xml:space="preserve"> SA</w:t>
      </w:r>
      <w:r w:rsidRPr="009827AC">
        <w:rPr>
          <w:rStyle w:val="FootnoteReference"/>
          <w:rFonts w:ascii="Arial" w:hAnsi="Arial" w:cs="Arial"/>
          <w:sz w:val="24"/>
          <w:szCs w:val="24"/>
        </w:rPr>
        <w:footnoteReference w:id="95"/>
      </w:r>
      <w:r w:rsidRPr="009827AC">
        <w:rPr>
          <w:rFonts w:ascii="Arial" w:hAnsi="Arial" w:cs="Arial"/>
          <w:sz w:val="24"/>
          <w:szCs w:val="24"/>
        </w:rPr>
        <w:t xml:space="preserve"> and WA.</w:t>
      </w:r>
      <w:r w:rsidRPr="009827AC">
        <w:rPr>
          <w:rStyle w:val="FootnoteReference"/>
          <w:rFonts w:ascii="Arial" w:hAnsi="Arial" w:cs="Arial"/>
          <w:sz w:val="24"/>
          <w:szCs w:val="24"/>
        </w:rPr>
        <w:footnoteReference w:id="96"/>
      </w:r>
      <w:r w:rsidRPr="009827AC">
        <w:rPr>
          <w:rFonts w:ascii="Arial" w:hAnsi="Arial" w:cs="Arial"/>
          <w:sz w:val="24"/>
          <w:szCs w:val="24"/>
        </w:rPr>
        <w:t xml:space="preserve"> A radius of 150 metres has also been found to be sufficient in meeting the object of the legislation. In an analysis of the effectiveness of Victoria’s safe access zones, Sifris and Penovic conclude that ‘[t]he empirical data we have obtained concerning the impact of protest and the operation of safe access zones supports the conclusion that the zones’ 150 metre radius is appropriate to achieve the legislation’s protective function.’</w:t>
      </w:r>
      <w:r w:rsidRPr="009827AC">
        <w:rPr>
          <w:rStyle w:val="FootnoteReference"/>
          <w:rFonts w:ascii="Arial" w:hAnsi="Arial" w:cs="Arial"/>
          <w:sz w:val="24"/>
          <w:szCs w:val="24"/>
        </w:rPr>
        <w:footnoteReference w:id="97"/>
      </w:r>
      <w:r w:rsidRPr="009827AC">
        <w:rPr>
          <w:rFonts w:ascii="Arial" w:hAnsi="Arial" w:cs="Arial"/>
          <w:sz w:val="24"/>
          <w:szCs w:val="24"/>
        </w:rPr>
        <w:t xml:space="preserve"> This approach is also consistent with every other jurisdiction with safe access zones, apart from the ACT. Safe access zones of 150 metres have also been upheld by the High Court.</w:t>
      </w:r>
      <w:r w:rsidRPr="009827AC">
        <w:rPr>
          <w:rStyle w:val="FootnoteReference"/>
          <w:rFonts w:ascii="Arial" w:hAnsi="Arial" w:cs="Arial"/>
          <w:sz w:val="24"/>
          <w:szCs w:val="24"/>
        </w:rPr>
        <w:footnoteReference w:id="98"/>
      </w:r>
    </w:p>
    <w:p w14:paraId="1DAF2150"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The Bill before the SA Parliament establishes the default radius for safe access zones as 150 metres; however, it provides that: </w:t>
      </w:r>
    </w:p>
    <w:p w14:paraId="629DC750" w14:textId="77777777" w:rsidR="009A2C73" w:rsidRPr="009827AC" w:rsidRDefault="009A2C73" w:rsidP="003308BA">
      <w:pPr>
        <w:pStyle w:val="ListNumber0"/>
        <w:numPr>
          <w:ilvl w:val="0"/>
          <w:numId w:val="0"/>
        </w:numPr>
        <w:tabs>
          <w:tab w:val="left" w:pos="720"/>
        </w:tabs>
        <w:spacing w:line="276" w:lineRule="auto"/>
        <w:ind w:left="720"/>
        <w:rPr>
          <w:rFonts w:ascii="Arial" w:hAnsi="Arial" w:cs="Arial"/>
          <w:sz w:val="24"/>
          <w:szCs w:val="24"/>
        </w:rPr>
      </w:pPr>
      <w:r w:rsidRPr="009827AC">
        <w:rPr>
          <w:rFonts w:ascii="Arial" w:hAnsi="Arial" w:cs="Arial"/>
          <w:sz w:val="24"/>
          <w:szCs w:val="24"/>
        </w:rPr>
        <w:t xml:space="preserve">(i) if the Minister, by notice in the Gazette, specifies a distance (being not less than 150 metres) from the 20 protected premises for the purposes of this paragraph—within that distance of the protected premises; </w:t>
      </w:r>
      <w:r w:rsidRPr="009827AC">
        <w:rPr>
          <w:rStyle w:val="FootnoteReference"/>
          <w:rFonts w:ascii="Arial" w:hAnsi="Arial" w:cs="Arial"/>
          <w:sz w:val="24"/>
          <w:szCs w:val="24"/>
        </w:rPr>
        <w:footnoteReference w:id="99"/>
      </w:r>
    </w:p>
    <w:p w14:paraId="59F42C51"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This approach allows for flexibility if, for example, there is a 200-metre walk from the closest bus stop to the termination service provider, the safe access zone could be enlarged to 200 metres. The benefits of flexibility was recognised by the QLRC: </w:t>
      </w:r>
    </w:p>
    <w:p w14:paraId="0754FA9E" w14:textId="77777777" w:rsidR="009A2C73" w:rsidRPr="009827AC" w:rsidRDefault="009A2C73" w:rsidP="003308BA">
      <w:pPr>
        <w:pStyle w:val="ListNumber0"/>
        <w:numPr>
          <w:ilvl w:val="0"/>
          <w:numId w:val="0"/>
        </w:numPr>
        <w:tabs>
          <w:tab w:val="left" w:pos="720"/>
        </w:tabs>
        <w:spacing w:line="276" w:lineRule="auto"/>
        <w:ind w:left="720"/>
        <w:rPr>
          <w:rFonts w:ascii="Arial" w:hAnsi="Arial" w:cs="Arial"/>
          <w:sz w:val="24"/>
          <w:szCs w:val="24"/>
        </w:rPr>
      </w:pPr>
      <w:r w:rsidRPr="009827AC">
        <w:rPr>
          <w:rFonts w:ascii="Arial" w:hAnsi="Arial" w:cs="Arial"/>
          <w:sz w:val="24"/>
          <w:szCs w:val="24"/>
        </w:rPr>
        <w:t>there may be cases where, due to the particular location or features of the premises, it is necessary to alter the distance of 150 metres (for example, if the termination services premises is part of a multi-level, multi complex building). For this reason, the draft legislation should also provide that the Minister may prescribe another distance by regulation.</w:t>
      </w:r>
      <w:r w:rsidRPr="009827AC">
        <w:rPr>
          <w:rStyle w:val="FootnoteReference"/>
          <w:rFonts w:ascii="Arial" w:hAnsi="Arial" w:cs="Arial"/>
          <w:sz w:val="24"/>
          <w:szCs w:val="24"/>
        </w:rPr>
        <w:footnoteReference w:id="100"/>
      </w:r>
    </w:p>
    <w:p w14:paraId="3F71205D" w14:textId="77777777" w:rsidR="00850563" w:rsidRDefault="00850563">
      <w:pPr>
        <w:spacing w:after="160" w:line="259" w:lineRule="auto"/>
        <w:rPr>
          <w:rFonts w:cs="Arial"/>
          <w:szCs w:val="24"/>
        </w:rPr>
      </w:pPr>
      <w:r>
        <w:rPr>
          <w:rFonts w:cs="Arial"/>
          <w:szCs w:val="24"/>
        </w:rPr>
        <w:br w:type="page"/>
      </w:r>
    </w:p>
    <w:p w14:paraId="621F350C" w14:textId="379738F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lastRenderedPageBreak/>
        <w:t xml:space="preserve">The model proposed in the 2020 SA Bill is similar to that currently in Queensland; however, unlike the Queensland legislation, the Minister is unable to specific a distance less than 150 metres in the SA model. The 2020 SA Bill, however, adopts the NSW, NT, Tasmanian and Victorian model with a safe access zone of 150 metres with no room for Ministerial discretion as to its size.  </w:t>
      </w:r>
    </w:p>
    <w:p w14:paraId="6242E94B"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While being able to extend the safe access zones provides benefits, it has yet to be tested by the High Court. This may invite challenges as: </w:t>
      </w:r>
    </w:p>
    <w:p w14:paraId="3BFCDD94" w14:textId="77777777" w:rsidR="009A2C73" w:rsidRPr="009827AC" w:rsidRDefault="009A2C73" w:rsidP="003308BA">
      <w:pPr>
        <w:pStyle w:val="ListNumber0"/>
        <w:numPr>
          <w:ilvl w:val="0"/>
          <w:numId w:val="0"/>
        </w:numPr>
        <w:tabs>
          <w:tab w:val="left" w:pos="720"/>
        </w:tabs>
        <w:spacing w:line="276" w:lineRule="auto"/>
        <w:ind w:left="720"/>
        <w:rPr>
          <w:rFonts w:ascii="Arial" w:hAnsi="Arial" w:cs="Arial"/>
          <w:sz w:val="24"/>
          <w:szCs w:val="24"/>
        </w:rPr>
      </w:pPr>
      <w:r w:rsidRPr="009827AC">
        <w:rPr>
          <w:rFonts w:ascii="Arial" w:hAnsi="Arial" w:cs="Arial"/>
          <w:sz w:val="24"/>
          <w:szCs w:val="24"/>
        </w:rPr>
        <w:t>the High Court has indicated that any burden imposed through the extension of safe access zones beyond 150 metres will need to be proportionate to the object sought to be achieved. The area of the safe access zone in Victoria, namely 150 metres, was considered a critical factor in the High Court upholding its constitutional validity.</w:t>
      </w:r>
      <w:r w:rsidRPr="009827AC">
        <w:rPr>
          <w:rStyle w:val="FootnoteReference"/>
          <w:rFonts w:ascii="Arial" w:hAnsi="Arial" w:cs="Arial"/>
          <w:sz w:val="24"/>
          <w:szCs w:val="24"/>
        </w:rPr>
        <w:footnoteReference w:id="101"/>
      </w:r>
    </w:p>
    <w:p w14:paraId="6ECD4FDA" w14:textId="77777777" w:rsidR="009A2C73" w:rsidRPr="009827AC" w:rsidRDefault="009A2C73" w:rsidP="003308BA">
      <w:pPr>
        <w:pStyle w:val="ListNumber0"/>
        <w:numPr>
          <w:ilvl w:val="0"/>
          <w:numId w:val="0"/>
        </w:numPr>
        <w:tabs>
          <w:tab w:val="left" w:pos="720"/>
        </w:tabs>
        <w:spacing w:line="276" w:lineRule="auto"/>
        <w:rPr>
          <w:rFonts w:ascii="Arial" w:hAnsi="Arial" w:cs="Arial"/>
          <w:sz w:val="24"/>
          <w:szCs w:val="24"/>
        </w:rPr>
      </w:pPr>
      <w:r w:rsidRPr="009827AC">
        <w:rPr>
          <w:rFonts w:ascii="Arial" w:hAnsi="Arial" w:cs="Arial"/>
          <w:sz w:val="24"/>
          <w:szCs w:val="24"/>
        </w:rPr>
        <w:t xml:space="preserve">Therefore, any extension of the safe access zone would need to be proportionate to the object it sought to achieve. With this in mind, the benefits of flexibility support the discretion of the Minister to increase the safe access zone in circumstances where this is required to fulfil the purposes of the legislation. It is therefore recommended that in SA and WA, safe access zones should be 150 metres from the termination service premises, unless the Minister otherwise prescribes a distance, bring not less than 150 metres, by regulation. </w:t>
      </w:r>
    </w:p>
    <w:p w14:paraId="557D5D46" w14:textId="77777777" w:rsidR="008A0ACD" w:rsidRDefault="008A0ACD" w:rsidP="003308BA">
      <w:pPr>
        <w:pStyle w:val="Heading2"/>
        <w:rPr>
          <w:rFonts w:eastAsiaTheme="minorHAnsi"/>
          <w:b w:val="0"/>
          <w:sz w:val="22"/>
          <w:szCs w:val="22"/>
        </w:rPr>
      </w:pPr>
      <w:bookmarkStart w:id="87" w:name="_Toc47512461"/>
      <w:bookmarkStart w:id="88" w:name="_Toc47278203"/>
    </w:p>
    <w:p w14:paraId="457022AB" w14:textId="4AFC9838" w:rsidR="009A2C73" w:rsidRPr="009A2C73" w:rsidRDefault="007254D1" w:rsidP="003308BA">
      <w:pPr>
        <w:pStyle w:val="Heading2"/>
      </w:pPr>
      <w:bookmarkStart w:id="89" w:name="_Toc49947638"/>
      <w:r>
        <w:t>6</w:t>
      </w:r>
      <w:r w:rsidR="008A0ACD" w:rsidRPr="008A0ACD">
        <w:t>.2</w:t>
      </w:r>
      <w:r w:rsidR="008A0ACD">
        <w:t xml:space="preserve"> </w:t>
      </w:r>
      <w:r w:rsidR="009A2C73" w:rsidRPr="008A0ACD">
        <w:t>‘Prohibited</w:t>
      </w:r>
      <w:r w:rsidR="009A2C73" w:rsidRPr="009A2C73">
        <w:t xml:space="preserve"> Behaviour’</w:t>
      </w:r>
      <w:bookmarkEnd w:id="87"/>
      <w:bookmarkEnd w:id="88"/>
      <w:bookmarkEnd w:id="89"/>
    </w:p>
    <w:p w14:paraId="79EEC499" w14:textId="77777777" w:rsidR="009A2C73" w:rsidRPr="009827AC" w:rsidRDefault="009A2C73" w:rsidP="003308BA">
      <w:pPr>
        <w:spacing w:before="240" w:after="240"/>
        <w:rPr>
          <w:rFonts w:cs="Arial"/>
          <w:szCs w:val="24"/>
        </w:rPr>
      </w:pPr>
      <w:r w:rsidRPr="009827AC">
        <w:rPr>
          <w:rFonts w:cs="Arial"/>
          <w:szCs w:val="24"/>
        </w:rPr>
        <w:t>It is recommended that South Australia and Western Australia define ‘prohibited behaviour as the Victorian legislation does.</w:t>
      </w:r>
    </w:p>
    <w:p w14:paraId="57F9108D" w14:textId="77777777" w:rsidR="009A2C73" w:rsidRPr="009827AC" w:rsidRDefault="009A2C73" w:rsidP="003308BA">
      <w:pPr>
        <w:spacing w:before="240" w:after="240"/>
        <w:rPr>
          <w:rFonts w:cs="Arial"/>
          <w:szCs w:val="24"/>
        </w:rPr>
      </w:pPr>
      <w:r w:rsidRPr="009827AC">
        <w:rPr>
          <w:rFonts w:cs="Arial"/>
          <w:szCs w:val="24"/>
        </w:rPr>
        <w:t xml:space="preserve">The </w:t>
      </w:r>
      <w:r w:rsidRPr="009827AC">
        <w:rPr>
          <w:rFonts w:cs="Arial"/>
          <w:i/>
          <w:szCs w:val="24"/>
        </w:rPr>
        <w:t xml:space="preserve">Health Care (Health Access Zones) Amendment Bill 2019 </w:t>
      </w:r>
      <w:r w:rsidRPr="009827AC">
        <w:rPr>
          <w:rFonts w:cs="Arial"/>
          <w:szCs w:val="24"/>
        </w:rPr>
        <w:t xml:space="preserve">(SA) (the 2019 Bill) is more expansive than existing safe access zone legislation in other jurisdictions, particularly with respect to the definition of ‘prohibited behaviour’. Communications, and attempts to communicate, with a person about the subject of abortion are prohibited. No other Australian legislation prohibits attempts to communicate. SALRI, the Human Rights Law Centre and other parties, both supportive and opposed to safe access zones, have expressed concern that this imposes too great a burden on the implied freedom of political communication. Additionally, the Bill does not limit prohibited communication to that which is reasonably likely to cause distress or anxiety, as the Victorian legislation does; all communications on the subject of abortion are prohibited, regardless of their effect on a person.  </w:t>
      </w:r>
    </w:p>
    <w:p w14:paraId="08FCCB84" w14:textId="77777777" w:rsidR="009A2C73" w:rsidRPr="009827AC" w:rsidRDefault="009A2C73" w:rsidP="003308BA">
      <w:pPr>
        <w:spacing w:before="240" w:after="240"/>
        <w:rPr>
          <w:rFonts w:cs="Arial"/>
          <w:szCs w:val="24"/>
        </w:rPr>
      </w:pPr>
      <w:r w:rsidRPr="009827AC">
        <w:rPr>
          <w:rFonts w:cs="Arial"/>
          <w:szCs w:val="24"/>
        </w:rPr>
        <w:lastRenderedPageBreak/>
        <w:t xml:space="preserve">Conversely, the </w:t>
      </w:r>
      <w:r w:rsidRPr="009827AC">
        <w:rPr>
          <w:rFonts w:cs="Arial"/>
          <w:i/>
          <w:iCs/>
          <w:szCs w:val="24"/>
        </w:rPr>
        <w:t>Health Care (Safe Access) Amendment Bill 2020</w:t>
      </w:r>
      <w:r w:rsidRPr="009827AC">
        <w:rPr>
          <w:rFonts w:cs="Arial"/>
          <w:szCs w:val="24"/>
        </w:rPr>
        <w:t xml:space="preserve"> (SA) (the 2020 Bill) is similar to the Victorian Act. Attempts to communicate are not prohibited and communication must be reasonably likely to cause distress or anxiety. Besides these key differences, the </w:t>
      </w:r>
      <w:r w:rsidRPr="009827AC">
        <w:rPr>
          <w:rFonts w:cs="Arial"/>
          <w:iCs/>
          <w:szCs w:val="24"/>
        </w:rPr>
        <w:t>2019</w:t>
      </w:r>
      <w:r w:rsidRPr="009827AC">
        <w:rPr>
          <w:rFonts w:cs="Arial"/>
          <w:i/>
          <w:szCs w:val="24"/>
        </w:rPr>
        <w:t xml:space="preserve"> </w:t>
      </w:r>
      <w:r w:rsidRPr="009827AC">
        <w:rPr>
          <w:rFonts w:cs="Arial"/>
          <w:iCs/>
          <w:szCs w:val="24"/>
        </w:rPr>
        <w:t xml:space="preserve">Bill </w:t>
      </w:r>
      <w:r w:rsidRPr="009827AC">
        <w:rPr>
          <w:rFonts w:cs="Arial"/>
          <w:szCs w:val="24"/>
        </w:rPr>
        <w:t xml:space="preserve">is broadly similar to the Victorian Act and the 2020 Bill. Therefore, it is recommended that the 2020 Bill be enacted or the 2019 Bill be amended to replicate the Victorian Act. Adopting the Victorian approach is also advantageous because the </w:t>
      </w:r>
      <w:r w:rsidRPr="009827AC">
        <w:rPr>
          <w:rFonts w:cs="Arial"/>
          <w:i/>
          <w:iCs/>
          <w:szCs w:val="24"/>
        </w:rPr>
        <w:t>Public</w:t>
      </w:r>
      <w:r w:rsidRPr="009827AC">
        <w:rPr>
          <w:rFonts w:cs="Arial"/>
          <w:szCs w:val="24"/>
        </w:rPr>
        <w:t xml:space="preserve"> </w:t>
      </w:r>
      <w:r w:rsidRPr="009827AC">
        <w:rPr>
          <w:rFonts w:cs="Arial"/>
          <w:i/>
          <w:szCs w:val="24"/>
        </w:rPr>
        <w:t xml:space="preserve">Health and Wellbeing Act 2008 </w:t>
      </w:r>
      <w:r w:rsidRPr="009827AC">
        <w:rPr>
          <w:rFonts w:cs="Arial"/>
          <w:szCs w:val="24"/>
        </w:rPr>
        <w:t>(Vic) provisions have been tested and affirmed as lawful by the High Court. Any law that restricts the implied freedom of political communication must strike a careful balance between its burden on the freedom and its effectiveness in achieving its legitimate purpose. Consequently, it is possible that, if tested, the Bill in its current state would not be found to strike an appropriate balance and would be found unlawful for impermissibly burdening the freedom.</w:t>
      </w:r>
    </w:p>
    <w:p w14:paraId="651835B5" w14:textId="77777777" w:rsidR="009A2C73" w:rsidRPr="009827AC" w:rsidRDefault="009A2C73" w:rsidP="003308BA">
      <w:pPr>
        <w:spacing w:before="240" w:after="240"/>
        <w:rPr>
          <w:rFonts w:cs="Arial"/>
          <w:szCs w:val="24"/>
        </w:rPr>
      </w:pPr>
      <w:r w:rsidRPr="009827AC">
        <w:rPr>
          <w:rFonts w:cs="Arial"/>
          <w:szCs w:val="24"/>
        </w:rPr>
        <w:t>The 2019 SA Bill is also expansive in its provision concerning recording of person in a safe access zone. The Bill provides that a person engages in prohibited behaviour if the person ‘records’, while the Victorian Act provides that ‘intentionally recording… without reasonable excuse’ is prohibited behaviour. Similarly, the Tasmanian Act provides that ‘intentionally recording… without that person’s consent’ is prohibited behaviour. Both the Victorian and Tasmanian legislation have been affirmed by the High Court.</w:t>
      </w:r>
    </w:p>
    <w:p w14:paraId="6CD147C7" w14:textId="77777777" w:rsidR="009A2C73" w:rsidRPr="009827AC" w:rsidRDefault="009A2C73" w:rsidP="003308BA">
      <w:pPr>
        <w:spacing w:before="240" w:after="240"/>
        <w:rPr>
          <w:rFonts w:cs="Arial"/>
          <w:szCs w:val="24"/>
        </w:rPr>
      </w:pPr>
      <w:r w:rsidRPr="009827AC">
        <w:rPr>
          <w:rFonts w:cs="Arial"/>
          <w:szCs w:val="24"/>
        </w:rPr>
        <w:t xml:space="preserve">It is recommended that the definition of ‘prohibited behaviour’ be amended, and enacted in the proposed Western Australia bill, as follows: </w:t>
      </w:r>
    </w:p>
    <w:p w14:paraId="33BB9421" w14:textId="77777777" w:rsidR="009A2C73" w:rsidRPr="009827AC" w:rsidRDefault="009A2C73" w:rsidP="003308BA">
      <w:pPr>
        <w:spacing w:before="240" w:after="240"/>
        <w:ind w:left="360"/>
        <w:rPr>
          <w:rFonts w:cs="Arial"/>
          <w:szCs w:val="24"/>
        </w:rPr>
      </w:pPr>
      <w:r w:rsidRPr="009827AC">
        <w:rPr>
          <w:rFonts w:cs="Arial"/>
          <w:szCs w:val="24"/>
        </w:rPr>
        <w:t>(2) For the purposes of subsection (1), a person engages in prohibited behaviour if the person –</w:t>
      </w:r>
    </w:p>
    <w:p w14:paraId="3E2E9320" w14:textId="77777777" w:rsidR="009A2C73" w:rsidRPr="009827AC" w:rsidRDefault="009A2C73" w:rsidP="00A736A6">
      <w:pPr>
        <w:pStyle w:val="ListParagraph"/>
        <w:numPr>
          <w:ilvl w:val="1"/>
          <w:numId w:val="21"/>
        </w:numPr>
        <w:spacing w:before="240" w:after="240"/>
        <w:contextualSpacing w:val="0"/>
        <w:rPr>
          <w:rFonts w:cs="Arial"/>
          <w:szCs w:val="24"/>
        </w:rPr>
      </w:pPr>
      <w:r w:rsidRPr="009827AC">
        <w:rPr>
          <w:rFonts w:cs="Arial"/>
          <w:szCs w:val="24"/>
        </w:rPr>
        <w:t>threatens, intimidates or harasses another person; or</w:t>
      </w:r>
    </w:p>
    <w:p w14:paraId="1BCF0400" w14:textId="77777777" w:rsidR="009A2C73" w:rsidRPr="009827AC" w:rsidRDefault="009A2C73" w:rsidP="00A736A6">
      <w:pPr>
        <w:pStyle w:val="ListParagraph"/>
        <w:numPr>
          <w:ilvl w:val="1"/>
          <w:numId w:val="21"/>
        </w:numPr>
        <w:spacing w:before="240" w:after="240"/>
        <w:contextualSpacing w:val="0"/>
        <w:rPr>
          <w:rFonts w:cs="Arial"/>
          <w:szCs w:val="24"/>
        </w:rPr>
      </w:pPr>
      <w:r w:rsidRPr="009827AC">
        <w:rPr>
          <w:rFonts w:cs="Arial"/>
          <w:szCs w:val="24"/>
        </w:rPr>
        <w:t>obstructs another person approaching, entering or leaving protected premises; or</w:t>
      </w:r>
    </w:p>
    <w:p w14:paraId="6FD93183" w14:textId="77777777" w:rsidR="009A2C73" w:rsidRPr="009827AC" w:rsidRDefault="009A2C73" w:rsidP="00A736A6">
      <w:pPr>
        <w:pStyle w:val="ListParagraph"/>
        <w:numPr>
          <w:ilvl w:val="1"/>
          <w:numId w:val="21"/>
        </w:numPr>
        <w:spacing w:before="240" w:after="240"/>
        <w:contextualSpacing w:val="0"/>
        <w:rPr>
          <w:rFonts w:cs="Arial"/>
          <w:szCs w:val="24"/>
        </w:rPr>
      </w:pPr>
      <w:r w:rsidRPr="009827AC">
        <w:rPr>
          <w:rFonts w:cs="Arial"/>
          <w:szCs w:val="24"/>
        </w:rPr>
        <w:t>records (by any means whatsoever) images of a person approaching, entering or leaving protected premises; or</w:t>
      </w:r>
    </w:p>
    <w:p w14:paraId="7A4D73A9" w14:textId="77777777" w:rsidR="009A2C73" w:rsidRPr="009827AC" w:rsidRDefault="009A2C73" w:rsidP="00A736A6">
      <w:pPr>
        <w:pStyle w:val="ListParagraph"/>
        <w:numPr>
          <w:ilvl w:val="1"/>
          <w:numId w:val="21"/>
        </w:numPr>
        <w:spacing w:before="240" w:after="240"/>
        <w:contextualSpacing w:val="0"/>
        <w:rPr>
          <w:rFonts w:cs="Arial"/>
          <w:szCs w:val="24"/>
        </w:rPr>
      </w:pPr>
      <w:r w:rsidRPr="009827AC">
        <w:rPr>
          <w:rFonts w:cs="Arial"/>
          <w:szCs w:val="24"/>
        </w:rPr>
        <w:t>communicates with a person about the subject of abortion that is able to be seen or heard by a person accessing, attempting to access, or leaving premises at which abortions are provided and is reasonably likely to cause distress or anxiety.</w:t>
      </w:r>
    </w:p>
    <w:p w14:paraId="245B5773" w14:textId="77777777" w:rsidR="00850563" w:rsidRDefault="00850563">
      <w:pPr>
        <w:spacing w:after="160" w:line="259" w:lineRule="auto"/>
        <w:rPr>
          <w:rFonts w:cs="Arial"/>
          <w:szCs w:val="24"/>
        </w:rPr>
      </w:pPr>
      <w:r>
        <w:rPr>
          <w:rFonts w:cs="Arial"/>
          <w:szCs w:val="24"/>
        </w:rPr>
        <w:br w:type="page"/>
      </w:r>
    </w:p>
    <w:p w14:paraId="27C24C3B" w14:textId="67A42716" w:rsidR="009A2C73" w:rsidRPr="00E554A7" w:rsidRDefault="009A2C73" w:rsidP="003308BA">
      <w:pPr>
        <w:spacing w:before="240" w:after="240"/>
        <w:rPr>
          <w:rFonts w:cs="Arial"/>
          <w:szCs w:val="24"/>
        </w:rPr>
      </w:pPr>
      <w:r w:rsidRPr="009827AC">
        <w:rPr>
          <w:rFonts w:cs="Arial"/>
          <w:szCs w:val="24"/>
        </w:rPr>
        <w:lastRenderedPageBreak/>
        <w:t>SALRI recommends that an alternative definition of ‘prohibited behaviour’ be adopted. It recommends that ‘prohibited behaviour’ should be defined to mean ‘intimidation, obstruction, impeding access, harassment or other conduct that relates to abortions or could reasonably be perceived as relating to abortions and would be visible or audible to another person entering, leaving or in the premises; and would be reasonably likely to deter a person from entering or leaving, or from requesting, undergoing, performing or assisting in the performance of, an abortion.’ This appears to be an appropriation of the Queensland legislation, with some modifications. By stating that a person’s conduct may be prohibited whether or not another person sees or hears the conduct or is deterred, it ensures that a breach of the offence can be proved without the need to call a person protected by legislation to give evidence.</w:t>
      </w:r>
      <w:r w:rsidRPr="009827AC">
        <w:rPr>
          <w:rFonts w:eastAsia="Calibri" w:cs="Arial"/>
          <w:szCs w:val="24"/>
          <w:vertAlign w:val="superscript"/>
        </w:rPr>
        <w:footnoteReference w:id="102"/>
      </w:r>
      <w:r w:rsidRPr="009827AC">
        <w:rPr>
          <w:rFonts w:cs="Arial"/>
          <w:szCs w:val="24"/>
        </w:rPr>
        <w:t xml:space="preserve"> This is an important protection for vulnerable women. However, this legislation has not been tested, and the Queensland legislation has not been tested, so it is unclear whether this legislation would be held to impose too great a burden on the freedom of political communication. Accordingly, it is recommended that the Victorian approach is adopted.</w:t>
      </w:r>
    </w:p>
    <w:p w14:paraId="63F33A9D" w14:textId="33A16AD7" w:rsidR="009A2C73" w:rsidRPr="009A2C73" w:rsidRDefault="007254D1" w:rsidP="003308BA">
      <w:pPr>
        <w:pStyle w:val="Heading2"/>
      </w:pPr>
      <w:bookmarkStart w:id="90" w:name="_Toc47512462"/>
      <w:bookmarkStart w:id="91" w:name="_Toc47278204"/>
      <w:bookmarkStart w:id="92" w:name="_Toc49947639"/>
      <w:r>
        <w:t>6</w:t>
      </w:r>
      <w:r w:rsidR="009827AC">
        <w:t xml:space="preserve">.3 </w:t>
      </w:r>
      <w:r w:rsidR="009A2C73" w:rsidRPr="009A2C73">
        <w:t>‘Premises’</w:t>
      </w:r>
      <w:bookmarkEnd w:id="90"/>
      <w:bookmarkEnd w:id="91"/>
      <w:bookmarkEnd w:id="92"/>
    </w:p>
    <w:p w14:paraId="051C884F" w14:textId="77777777" w:rsidR="009A2C73" w:rsidRPr="00B00D4C" w:rsidRDefault="009A2C73" w:rsidP="003308BA">
      <w:pPr>
        <w:spacing w:before="240" w:after="240"/>
        <w:rPr>
          <w:rFonts w:cs="Arial"/>
          <w:szCs w:val="24"/>
        </w:rPr>
      </w:pPr>
      <w:r w:rsidRPr="00B00D4C">
        <w:rPr>
          <w:rFonts w:cs="Arial"/>
          <w:szCs w:val="24"/>
        </w:rPr>
        <w:t xml:space="preserve">It is recommended that the premises around which safe access zones are to be established be defined in the SA and WA legislation as they are defined broadly. In SA, many abortions take place in public hospitals. Consequently, it is vital that the premises around which safe access zones exist include public hospitals, as well as clinics. The </w:t>
      </w:r>
      <w:r w:rsidRPr="00B00D4C">
        <w:rPr>
          <w:rFonts w:cs="Arial"/>
          <w:i/>
          <w:szCs w:val="24"/>
        </w:rPr>
        <w:t xml:space="preserve">Health and Wellbeing Act 2008 </w:t>
      </w:r>
      <w:r w:rsidRPr="00B00D4C">
        <w:rPr>
          <w:rFonts w:cs="Arial"/>
          <w:szCs w:val="24"/>
        </w:rPr>
        <w:t>(Vic) is simple and explicit in its definition, stating that protected premises are premises at which abortions are provided. It explicitly states that this does not include a pharmacy. Similarly, the 2020 SA Bill defines ‘protected premises’ as any premises at which abortions are lawfully performed, but does not include a pharmacy’.</w:t>
      </w:r>
      <w:r w:rsidRPr="00B00D4C">
        <w:rPr>
          <w:rStyle w:val="FootnoteReference"/>
          <w:rFonts w:cs="Arial"/>
          <w:szCs w:val="24"/>
        </w:rPr>
        <w:footnoteReference w:id="103"/>
      </w:r>
      <w:r w:rsidRPr="00B00D4C">
        <w:rPr>
          <w:rFonts w:cs="Arial"/>
          <w:szCs w:val="24"/>
        </w:rPr>
        <w:t xml:space="preserve"> It is recommended that protected premises are broadly defined in the manner of the 2020 Bill or the Victorian Act. </w:t>
      </w:r>
    </w:p>
    <w:p w14:paraId="32A5E810" w14:textId="7F9F9EFD" w:rsidR="009A2C73" w:rsidRPr="006850C6" w:rsidRDefault="009A2C73" w:rsidP="006850C6">
      <w:pPr>
        <w:spacing w:before="240" w:after="240"/>
        <w:rPr>
          <w:rFonts w:cs="Arial"/>
          <w:szCs w:val="24"/>
        </w:rPr>
      </w:pPr>
      <w:r w:rsidRPr="00B00D4C">
        <w:rPr>
          <w:rFonts w:cs="Arial"/>
          <w:szCs w:val="24"/>
        </w:rPr>
        <w:t xml:space="preserve">The clarification in the 2020 Bill and the Victorian Act that pharmacies are excluded ensures that safe access zones do not unduly infringe the freedom of political communication. There are many pharmacies within a city or regional centre and consequently, the restriction imposed by safe access zones would be extensive. Zones may overlap and consequently prohibit political communication through a vast area of a city or regional centre. </w:t>
      </w:r>
      <w:r w:rsidRPr="006850C6">
        <w:rPr>
          <w:rFonts w:cs="Arial"/>
          <w:szCs w:val="24"/>
        </w:rPr>
        <w:t>Additionally, it may become unclear where safe access zones are or are not if there is considerable overlap; uncertainty is not desirable.</w:t>
      </w:r>
      <w:r w:rsidRPr="00B00D4C">
        <w:rPr>
          <w:rFonts w:eastAsia="Calibri"/>
          <w:vertAlign w:val="superscript"/>
        </w:rPr>
        <w:footnoteReference w:id="104"/>
      </w:r>
    </w:p>
    <w:p w14:paraId="075C13F8" w14:textId="443BD286" w:rsidR="009A2C73" w:rsidRPr="009A2C73" w:rsidRDefault="007254D1" w:rsidP="003308BA">
      <w:pPr>
        <w:pStyle w:val="Heading2"/>
        <w:rPr>
          <w:szCs w:val="26"/>
        </w:rPr>
      </w:pPr>
      <w:bookmarkStart w:id="93" w:name="_Toc47512463"/>
      <w:bookmarkStart w:id="94" w:name="_Toc47278205"/>
      <w:bookmarkStart w:id="95" w:name="_Toc49947640"/>
      <w:r>
        <w:lastRenderedPageBreak/>
        <w:t>6</w:t>
      </w:r>
      <w:r w:rsidR="009827AC">
        <w:t xml:space="preserve">.4 </w:t>
      </w:r>
      <w:r w:rsidR="009A2C73" w:rsidRPr="009A2C73">
        <w:t>Penalties</w:t>
      </w:r>
      <w:bookmarkEnd w:id="93"/>
      <w:bookmarkEnd w:id="94"/>
      <w:bookmarkEnd w:id="95"/>
    </w:p>
    <w:p w14:paraId="7276D31A" w14:textId="77777777" w:rsidR="009A2C73" w:rsidRPr="00B00D4C" w:rsidRDefault="009A2C73" w:rsidP="003308BA">
      <w:pPr>
        <w:pStyle w:val="ListNumber0"/>
        <w:numPr>
          <w:ilvl w:val="0"/>
          <w:numId w:val="0"/>
        </w:numPr>
        <w:tabs>
          <w:tab w:val="left" w:pos="720"/>
        </w:tabs>
        <w:spacing w:line="276" w:lineRule="auto"/>
        <w:rPr>
          <w:rFonts w:ascii="Arial" w:hAnsi="Arial" w:cs="Arial"/>
          <w:sz w:val="24"/>
          <w:szCs w:val="24"/>
        </w:rPr>
      </w:pPr>
      <w:r w:rsidRPr="00B00D4C">
        <w:rPr>
          <w:rFonts w:ascii="Arial" w:hAnsi="Arial" w:cs="Arial"/>
          <w:sz w:val="24"/>
          <w:szCs w:val="24"/>
        </w:rPr>
        <w:t>It is recommended that 12-months imprisonment and/or an appropriate fine be introduced as a penalty for engaging in prohibited behaviour in a safe access zone. A term of 12 months’ imprisonment is consistent with Queensland,</w:t>
      </w:r>
      <w:r w:rsidRPr="00B00D4C">
        <w:rPr>
          <w:rStyle w:val="FootnoteReference"/>
          <w:rFonts w:ascii="Arial" w:hAnsi="Arial" w:cs="Arial"/>
          <w:sz w:val="24"/>
          <w:szCs w:val="24"/>
        </w:rPr>
        <w:footnoteReference w:id="105"/>
      </w:r>
      <w:r w:rsidRPr="00B00D4C">
        <w:rPr>
          <w:rFonts w:ascii="Arial" w:hAnsi="Arial" w:cs="Arial"/>
          <w:sz w:val="24"/>
          <w:szCs w:val="24"/>
        </w:rPr>
        <w:t xml:space="preserve"> NT,</w:t>
      </w:r>
      <w:r w:rsidRPr="00B00D4C">
        <w:rPr>
          <w:rStyle w:val="FootnoteReference"/>
          <w:rFonts w:ascii="Arial" w:hAnsi="Arial" w:cs="Arial"/>
          <w:sz w:val="24"/>
          <w:szCs w:val="24"/>
        </w:rPr>
        <w:footnoteReference w:id="106"/>
      </w:r>
      <w:r w:rsidRPr="00B00D4C">
        <w:rPr>
          <w:rFonts w:ascii="Arial" w:hAnsi="Arial" w:cs="Arial"/>
          <w:sz w:val="24"/>
          <w:szCs w:val="24"/>
        </w:rPr>
        <w:t xml:space="preserve"> Victoria</w:t>
      </w:r>
      <w:r w:rsidRPr="00B00D4C">
        <w:rPr>
          <w:rStyle w:val="FootnoteReference"/>
          <w:rFonts w:ascii="Arial" w:hAnsi="Arial" w:cs="Arial"/>
          <w:sz w:val="24"/>
          <w:szCs w:val="24"/>
        </w:rPr>
        <w:footnoteReference w:id="107"/>
      </w:r>
      <w:r w:rsidRPr="00B00D4C">
        <w:rPr>
          <w:rFonts w:ascii="Arial" w:hAnsi="Arial" w:cs="Arial"/>
          <w:sz w:val="24"/>
          <w:szCs w:val="24"/>
        </w:rPr>
        <w:t xml:space="preserve"> and Tasmania.</w:t>
      </w:r>
      <w:r w:rsidRPr="00B00D4C">
        <w:rPr>
          <w:rStyle w:val="FootnoteReference"/>
          <w:rFonts w:ascii="Arial" w:hAnsi="Arial" w:cs="Arial"/>
          <w:sz w:val="24"/>
          <w:szCs w:val="24"/>
        </w:rPr>
        <w:footnoteReference w:id="108"/>
      </w:r>
      <w:r w:rsidRPr="00B00D4C">
        <w:rPr>
          <w:rFonts w:ascii="Arial" w:hAnsi="Arial" w:cs="Arial"/>
          <w:sz w:val="24"/>
          <w:szCs w:val="24"/>
        </w:rPr>
        <w:t xml:space="preserve"> In NSW, 12 months’ imprisonment is the period for a subsequent offence.</w:t>
      </w:r>
      <w:r w:rsidRPr="00B00D4C">
        <w:rPr>
          <w:rStyle w:val="FootnoteReference"/>
          <w:rFonts w:ascii="Arial" w:hAnsi="Arial" w:cs="Arial"/>
          <w:sz w:val="24"/>
          <w:szCs w:val="24"/>
        </w:rPr>
        <w:footnoteReference w:id="109"/>
      </w:r>
      <w:r w:rsidRPr="00B00D4C">
        <w:rPr>
          <w:rFonts w:ascii="Arial" w:hAnsi="Arial" w:cs="Arial"/>
          <w:sz w:val="24"/>
          <w:szCs w:val="24"/>
        </w:rPr>
        <w:t xml:space="preserve"> A maximum penalty of 12 months’ imprisonment was also recommended by the WA Department of Health and South Australian Law Reform Institute.</w:t>
      </w:r>
      <w:r w:rsidRPr="00B00D4C">
        <w:rPr>
          <w:rStyle w:val="FootnoteReference"/>
          <w:rFonts w:ascii="Arial" w:hAnsi="Arial" w:cs="Arial"/>
          <w:sz w:val="24"/>
          <w:szCs w:val="24"/>
        </w:rPr>
        <w:footnoteReference w:id="110"/>
      </w:r>
    </w:p>
    <w:p w14:paraId="538D8D9F" w14:textId="77777777" w:rsidR="009A2C73" w:rsidRPr="00B00D4C" w:rsidRDefault="009A2C73" w:rsidP="003308BA">
      <w:pPr>
        <w:pStyle w:val="ListNumber0"/>
        <w:numPr>
          <w:ilvl w:val="0"/>
          <w:numId w:val="0"/>
        </w:numPr>
        <w:tabs>
          <w:tab w:val="left" w:pos="720"/>
        </w:tabs>
        <w:spacing w:line="276" w:lineRule="auto"/>
        <w:rPr>
          <w:rFonts w:ascii="Arial" w:hAnsi="Arial" w:cs="Arial"/>
          <w:sz w:val="24"/>
          <w:szCs w:val="24"/>
        </w:rPr>
      </w:pPr>
      <w:r w:rsidRPr="00B00D4C">
        <w:rPr>
          <w:rFonts w:ascii="Arial" w:hAnsi="Arial" w:cs="Arial"/>
          <w:sz w:val="24"/>
          <w:szCs w:val="24"/>
        </w:rPr>
        <w:t>The Bill currently before the SA Parliament prescribes a maximum penalty of two years imprisonment.</w:t>
      </w:r>
      <w:r w:rsidRPr="00B00D4C">
        <w:rPr>
          <w:rStyle w:val="FootnoteReference"/>
          <w:rFonts w:ascii="Arial" w:hAnsi="Arial" w:cs="Arial"/>
          <w:sz w:val="24"/>
          <w:szCs w:val="24"/>
        </w:rPr>
        <w:footnoteReference w:id="111"/>
      </w:r>
      <w:r w:rsidRPr="00B00D4C">
        <w:rPr>
          <w:rFonts w:ascii="Arial" w:hAnsi="Arial" w:cs="Arial"/>
          <w:sz w:val="24"/>
          <w:szCs w:val="24"/>
        </w:rPr>
        <w:t xml:space="preserve"> This penalty has been criticised as being excessive.</w:t>
      </w:r>
      <w:r w:rsidRPr="00B00D4C">
        <w:rPr>
          <w:rStyle w:val="FootnoteReference"/>
          <w:rFonts w:ascii="Arial" w:hAnsi="Arial" w:cs="Arial"/>
          <w:sz w:val="24"/>
          <w:szCs w:val="24"/>
        </w:rPr>
        <w:footnoteReference w:id="112"/>
      </w:r>
      <w:r w:rsidRPr="00B00D4C">
        <w:rPr>
          <w:rFonts w:ascii="Arial" w:hAnsi="Arial" w:cs="Arial"/>
          <w:sz w:val="24"/>
          <w:szCs w:val="24"/>
        </w:rPr>
        <w:t xml:space="preserve">  Therefore, it is recommended that the maximum penalty vis-à-vis imprisonment for both legislation in WA and SA be 12 months’ imprisonment. </w:t>
      </w:r>
    </w:p>
    <w:p w14:paraId="787EEC4B" w14:textId="77777777" w:rsidR="009A2C73" w:rsidRPr="00B00D4C" w:rsidRDefault="009A2C73" w:rsidP="003308BA">
      <w:pPr>
        <w:pStyle w:val="ListNumber0"/>
        <w:numPr>
          <w:ilvl w:val="0"/>
          <w:numId w:val="0"/>
        </w:numPr>
        <w:tabs>
          <w:tab w:val="left" w:pos="720"/>
        </w:tabs>
        <w:spacing w:line="276" w:lineRule="auto"/>
        <w:rPr>
          <w:rFonts w:ascii="Arial" w:hAnsi="Arial" w:cs="Arial"/>
          <w:sz w:val="24"/>
          <w:szCs w:val="24"/>
        </w:rPr>
      </w:pPr>
      <w:r w:rsidRPr="00B00D4C">
        <w:rPr>
          <w:rFonts w:ascii="Arial" w:hAnsi="Arial" w:cs="Arial"/>
          <w:sz w:val="24"/>
          <w:szCs w:val="24"/>
        </w:rPr>
        <w:t>The Department of Health recommended a $12,000 fine in WA, as this falls within the mid-range penalties applicable in other jurisdictions.</w:t>
      </w:r>
      <w:r w:rsidRPr="00B00D4C">
        <w:rPr>
          <w:rStyle w:val="FootnoteReference"/>
          <w:rFonts w:ascii="Arial" w:hAnsi="Arial" w:cs="Arial"/>
          <w:sz w:val="24"/>
          <w:szCs w:val="24"/>
        </w:rPr>
        <w:footnoteReference w:id="113"/>
      </w:r>
      <w:r w:rsidRPr="00B00D4C">
        <w:rPr>
          <w:rFonts w:ascii="Arial" w:hAnsi="Arial" w:cs="Arial"/>
          <w:sz w:val="24"/>
          <w:szCs w:val="24"/>
        </w:rPr>
        <w:t xml:space="preserve"> This sum is significantly less than the maximum fine in NT and Victoria and is comparable to the maximum fine in Tasmania and the fine in NSW for subsequent offending. The SALRI, on the other hand, recommended ‘an appropriate fine’.</w:t>
      </w:r>
      <w:r w:rsidRPr="00B00D4C">
        <w:rPr>
          <w:rStyle w:val="FootnoteReference"/>
          <w:rFonts w:ascii="Arial" w:hAnsi="Arial" w:cs="Arial"/>
          <w:sz w:val="24"/>
          <w:szCs w:val="24"/>
        </w:rPr>
        <w:footnoteReference w:id="114"/>
      </w:r>
      <w:r w:rsidRPr="00B00D4C">
        <w:rPr>
          <w:rFonts w:ascii="Arial" w:hAnsi="Arial" w:cs="Arial"/>
          <w:sz w:val="24"/>
          <w:szCs w:val="24"/>
        </w:rPr>
        <w:t xml:space="preserve"> Therefore, it is recommended that the maximum penalty in WA and SA be an appropriate fine and/or a maximum term of imprisonment of 12 months. </w:t>
      </w:r>
    </w:p>
    <w:p w14:paraId="383BE9CA" w14:textId="77777777" w:rsidR="009A2C73" w:rsidRPr="00B00D4C" w:rsidRDefault="009A2C73" w:rsidP="003308BA">
      <w:pPr>
        <w:pStyle w:val="ListNumber0"/>
        <w:numPr>
          <w:ilvl w:val="0"/>
          <w:numId w:val="0"/>
        </w:numPr>
        <w:tabs>
          <w:tab w:val="left" w:pos="720"/>
        </w:tabs>
        <w:spacing w:line="276" w:lineRule="auto"/>
        <w:rPr>
          <w:rFonts w:ascii="Arial" w:hAnsi="Arial" w:cs="Arial"/>
          <w:sz w:val="24"/>
          <w:szCs w:val="24"/>
        </w:rPr>
      </w:pPr>
      <w:r w:rsidRPr="00B00D4C">
        <w:rPr>
          <w:rFonts w:ascii="Arial" w:hAnsi="Arial" w:cs="Arial"/>
          <w:sz w:val="24"/>
          <w:szCs w:val="24"/>
        </w:rPr>
        <w:t>It is recommended that the prohibited behaviour not apply to employees or other persons who provide services at termination services premises. This allows staff and patients to speak freely with each other about abortions. This exception is consistent with the approach in Victoria.</w:t>
      </w:r>
      <w:r w:rsidRPr="00B00D4C">
        <w:rPr>
          <w:rStyle w:val="FootnoteReference"/>
          <w:rFonts w:ascii="Arial" w:hAnsi="Arial" w:cs="Arial"/>
          <w:sz w:val="24"/>
          <w:szCs w:val="24"/>
        </w:rPr>
        <w:footnoteReference w:id="115"/>
      </w:r>
    </w:p>
    <w:p w14:paraId="6D84BDA0" w14:textId="77777777" w:rsidR="009A2C73" w:rsidRPr="009A2C73" w:rsidRDefault="009A2C73" w:rsidP="003308BA">
      <w:pPr>
        <w:pStyle w:val="ListNumber0"/>
        <w:numPr>
          <w:ilvl w:val="0"/>
          <w:numId w:val="0"/>
        </w:numPr>
        <w:tabs>
          <w:tab w:val="left" w:pos="720"/>
        </w:tabs>
        <w:spacing w:line="276" w:lineRule="auto"/>
        <w:rPr>
          <w:rFonts w:ascii="Arial" w:hAnsi="Arial" w:cs="Arial"/>
          <w:sz w:val="22"/>
        </w:rPr>
      </w:pPr>
    </w:p>
    <w:p w14:paraId="05F104C3" w14:textId="77777777" w:rsidR="00E554A7" w:rsidRDefault="00E554A7">
      <w:pPr>
        <w:spacing w:after="160" w:line="259" w:lineRule="auto"/>
        <w:rPr>
          <w:rFonts w:eastAsiaTheme="majorEastAsia" w:cs="Arial"/>
          <w:b/>
          <w:sz w:val="28"/>
          <w:szCs w:val="24"/>
        </w:rPr>
      </w:pPr>
      <w:bookmarkStart w:id="96" w:name="_Toc47512464"/>
      <w:bookmarkStart w:id="97" w:name="_Toc47278206"/>
      <w:bookmarkStart w:id="98" w:name="_Toc49947641"/>
      <w:r>
        <w:br w:type="page"/>
      </w:r>
    </w:p>
    <w:p w14:paraId="186B9BC3" w14:textId="675D6B7A" w:rsidR="009A2C73" w:rsidRPr="009A2C73" w:rsidRDefault="007254D1" w:rsidP="003308BA">
      <w:pPr>
        <w:pStyle w:val="Heading2"/>
      </w:pPr>
      <w:r>
        <w:lastRenderedPageBreak/>
        <w:t>6</w:t>
      </w:r>
      <w:r w:rsidR="009827AC">
        <w:t xml:space="preserve">.5 </w:t>
      </w:r>
      <w:r w:rsidR="009A2C73" w:rsidRPr="009A2C73">
        <w:t>Employees</w:t>
      </w:r>
      <w:bookmarkEnd w:id="96"/>
      <w:bookmarkEnd w:id="97"/>
      <w:bookmarkEnd w:id="98"/>
    </w:p>
    <w:p w14:paraId="73434C65" w14:textId="77777777" w:rsidR="009A2C73" w:rsidRPr="00B00D4C" w:rsidRDefault="009A2C73" w:rsidP="003308BA">
      <w:pPr>
        <w:pStyle w:val="ListNumber0"/>
        <w:numPr>
          <w:ilvl w:val="0"/>
          <w:numId w:val="0"/>
        </w:numPr>
        <w:tabs>
          <w:tab w:val="left" w:pos="720"/>
        </w:tabs>
        <w:spacing w:line="276" w:lineRule="auto"/>
        <w:rPr>
          <w:rFonts w:ascii="Arial" w:hAnsi="Arial" w:cs="Arial"/>
          <w:sz w:val="24"/>
          <w:szCs w:val="24"/>
        </w:rPr>
      </w:pPr>
      <w:r w:rsidRPr="00B00D4C">
        <w:rPr>
          <w:rFonts w:ascii="Arial" w:hAnsi="Arial" w:cs="Arial"/>
          <w:sz w:val="24"/>
          <w:szCs w:val="24"/>
        </w:rPr>
        <w:t>It is recommended that the prohibited behaviour not apply to employees or other persons who provide services at termination services premises. This allows staff and patients to speak freely with each other about abortions. This exception is consistent with the approach in Victoria.</w:t>
      </w:r>
      <w:r w:rsidRPr="00B00D4C">
        <w:rPr>
          <w:rStyle w:val="FootnoteReference"/>
          <w:rFonts w:ascii="Arial" w:hAnsi="Arial" w:cs="Arial"/>
          <w:sz w:val="24"/>
          <w:szCs w:val="24"/>
        </w:rPr>
        <w:footnoteReference w:id="116"/>
      </w:r>
    </w:p>
    <w:p w14:paraId="77D6C69C" w14:textId="77777777" w:rsidR="009A2C73" w:rsidRPr="009A2C73" w:rsidRDefault="009A2C73" w:rsidP="003308BA">
      <w:pPr>
        <w:pStyle w:val="ListNumber0"/>
        <w:numPr>
          <w:ilvl w:val="0"/>
          <w:numId w:val="0"/>
        </w:numPr>
        <w:tabs>
          <w:tab w:val="left" w:pos="720"/>
        </w:tabs>
        <w:spacing w:line="276" w:lineRule="auto"/>
        <w:rPr>
          <w:rFonts w:ascii="Arial" w:hAnsi="Arial" w:cs="Arial"/>
          <w:sz w:val="22"/>
        </w:rPr>
      </w:pPr>
    </w:p>
    <w:p w14:paraId="058E3BB2" w14:textId="3709C50B" w:rsidR="009A2C73" w:rsidRPr="009A2C73" w:rsidRDefault="007254D1" w:rsidP="003308BA">
      <w:pPr>
        <w:pStyle w:val="Heading2"/>
      </w:pPr>
      <w:bookmarkStart w:id="99" w:name="_Toc47512465"/>
      <w:bookmarkStart w:id="100" w:name="_Toc47278207"/>
      <w:bookmarkStart w:id="101" w:name="_Toc49947642"/>
      <w:r>
        <w:t>6</w:t>
      </w:r>
      <w:r w:rsidR="009827AC">
        <w:t xml:space="preserve">.6 </w:t>
      </w:r>
      <w:r w:rsidR="009A2C73" w:rsidRPr="009A2C73">
        <w:t>Exemptions</w:t>
      </w:r>
      <w:bookmarkEnd w:id="99"/>
      <w:bookmarkEnd w:id="100"/>
      <w:bookmarkEnd w:id="101"/>
      <w:r w:rsidR="009A2C73" w:rsidRPr="009A2C73">
        <w:t xml:space="preserve"> </w:t>
      </w:r>
    </w:p>
    <w:p w14:paraId="3C94DA3B" w14:textId="77777777" w:rsidR="009A2C73" w:rsidRPr="00B00D4C" w:rsidRDefault="009A2C73" w:rsidP="003308BA">
      <w:pPr>
        <w:pStyle w:val="ListNumber0"/>
        <w:numPr>
          <w:ilvl w:val="0"/>
          <w:numId w:val="0"/>
        </w:numPr>
        <w:tabs>
          <w:tab w:val="left" w:pos="720"/>
        </w:tabs>
        <w:spacing w:line="276" w:lineRule="auto"/>
        <w:rPr>
          <w:rFonts w:ascii="Arial" w:hAnsi="Arial" w:cs="Arial"/>
          <w:sz w:val="24"/>
          <w:szCs w:val="24"/>
        </w:rPr>
      </w:pPr>
      <w:r w:rsidRPr="00B00D4C">
        <w:rPr>
          <w:rFonts w:ascii="Arial" w:hAnsi="Arial" w:cs="Arial"/>
          <w:sz w:val="24"/>
          <w:szCs w:val="24"/>
        </w:rPr>
        <w:t xml:space="preserve">It is recommended that no exclusions of the application of the safe access zone in any circumstances are included in any South Australian or Western Australian legislation. Conduct at a church, outside Parliament or Government buildings and the carrying out of any survey during the course of an election have been excluded from the operation of safe access zones in the New South Wales safe access zone legislation. The recommended legislation (above) is flexible enough to accommodate and allow activities undertaken within a church or religious institution if the activities are not visible or audible by people accessing abortion service premises. Modelled on the Victorian legislation, the recommended approach states that activities are prohibited only if it is able to be seen or heard. </w:t>
      </w:r>
    </w:p>
    <w:p w14:paraId="3584D69C" w14:textId="77777777" w:rsidR="0053228A" w:rsidRDefault="0053228A" w:rsidP="003308BA">
      <w:pPr>
        <w:spacing w:after="160" w:line="259" w:lineRule="auto"/>
        <w:rPr>
          <w:rFonts w:cs="Arial"/>
        </w:rPr>
      </w:pPr>
      <w:r>
        <w:rPr>
          <w:rFonts w:cs="Arial"/>
        </w:rPr>
        <w:br w:type="page"/>
      </w:r>
    </w:p>
    <w:p w14:paraId="4429FBF5" w14:textId="055C642F" w:rsidR="0053228A" w:rsidRDefault="007254D1" w:rsidP="003308BA">
      <w:pPr>
        <w:pStyle w:val="Heading1"/>
      </w:pPr>
      <w:bookmarkStart w:id="102" w:name="_Toc49947643"/>
      <w:r>
        <w:lastRenderedPageBreak/>
        <w:t>7</w:t>
      </w:r>
      <w:r w:rsidR="0053228A">
        <w:t>. Support</w:t>
      </w:r>
      <w:bookmarkEnd w:id="102"/>
    </w:p>
    <w:p w14:paraId="19B3C551" w14:textId="77777777" w:rsidR="0053228A" w:rsidRPr="00E04697" w:rsidRDefault="0053228A" w:rsidP="003308BA">
      <w:r>
        <w:t xml:space="preserve">This report includes references to structural reproductive coercion. </w:t>
      </w:r>
      <w:r w:rsidRPr="00E04697">
        <w:rPr>
          <w:rFonts w:cs="Arial"/>
        </w:rPr>
        <w:t xml:space="preserve">If you need support, please </w:t>
      </w:r>
      <w:r>
        <w:rPr>
          <w:rFonts w:cs="Arial"/>
        </w:rPr>
        <w:t>speak to a supportive person in your networks or</w:t>
      </w:r>
      <w:r w:rsidRPr="00E04697">
        <w:rPr>
          <w:rFonts w:cs="Arial"/>
        </w:rPr>
        <w:t xml:space="preserve"> consider one of the following </w:t>
      </w:r>
      <w:r>
        <w:rPr>
          <w:rFonts w:cs="Arial"/>
        </w:rPr>
        <w:t xml:space="preserve">support </w:t>
      </w:r>
      <w:r w:rsidRPr="00E04697">
        <w:rPr>
          <w:rFonts w:cs="Arial"/>
        </w:rPr>
        <w:t>options:</w:t>
      </w:r>
    </w:p>
    <w:p w14:paraId="20A569B4" w14:textId="77777777" w:rsidR="0053228A" w:rsidRDefault="002C61EE" w:rsidP="00A736A6">
      <w:pPr>
        <w:pStyle w:val="ListParagraph"/>
        <w:numPr>
          <w:ilvl w:val="0"/>
          <w:numId w:val="23"/>
        </w:numPr>
        <w:spacing w:line="240" w:lineRule="auto"/>
        <w:contextualSpacing w:val="0"/>
        <w:rPr>
          <w:rFonts w:cs="Arial"/>
        </w:rPr>
      </w:pPr>
      <w:hyperlink r:id="rId14" w:history="1">
        <w:r w:rsidR="0053228A" w:rsidRPr="0084514B">
          <w:rPr>
            <w:rStyle w:val="Hyperlink"/>
            <w:rFonts w:cs="Arial"/>
          </w:rPr>
          <w:t>1800 Respect</w:t>
        </w:r>
      </w:hyperlink>
      <w:r w:rsidR="0053228A">
        <w:rPr>
          <w:rFonts w:cs="Arial"/>
        </w:rPr>
        <w:t>, for professionals who work in areas of sexual, family or domestic violence and for survivors of violence: 1800 737 732.</w:t>
      </w:r>
    </w:p>
    <w:p w14:paraId="04D4D77D" w14:textId="77777777" w:rsidR="0053228A" w:rsidRPr="00E04697" w:rsidRDefault="002C61EE" w:rsidP="00A736A6">
      <w:pPr>
        <w:pStyle w:val="ListParagraph"/>
        <w:numPr>
          <w:ilvl w:val="0"/>
          <w:numId w:val="23"/>
        </w:numPr>
        <w:spacing w:line="240" w:lineRule="auto"/>
        <w:contextualSpacing w:val="0"/>
        <w:rPr>
          <w:rFonts w:cs="Arial"/>
        </w:rPr>
      </w:pPr>
      <w:hyperlink r:id="rId15" w:history="1">
        <w:r w:rsidR="0053228A" w:rsidRPr="00E04697">
          <w:rPr>
            <w:rStyle w:val="Hyperlink"/>
            <w:rFonts w:cs="Arial"/>
          </w:rPr>
          <w:t>Benestar</w:t>
        </w:r>
      </w:hyperlink>
      <w:r w:rsidR="0053228A">
        <w:rPr>
          <w:rFonts w:cs="Arial"/>
        </w:rPr>
        <w:t>,</w:t>
      </w:r>
      <w:r w:rsidR="0053228A">
        <w:rPr>
          <w:rFonts w:cs="Arial"/>
          <w:color w:val="000000" w:themeColor="text1"/>
        </w:rPr>
        <w:t xml:space="preserve"> Marie Stopes Australia’s employee assistance program (EAP) </w:t>
      </w:r>
      <w:r w:rsidR="0053228A" w:rsidRPr="00E04697">
        <w:rPr>
          <w:rFonts w:cs="Arial"/>
          <w:color w:val="000000" w:themeColor="text1"/>
        </w:rPr>
        <w:t>at 1300 360 364</w:t>
      </w:r>
      <w:r w:rsidR="0053228A">
        <w:rPr>
          <w:rFonts w:cs="Arial"/>
          <w:color w:val="000000" w:themeColor="text1"/>
        </w:rPr>
        <w:t>.</w:t>
      </w:r>
    </w:p>
    <w:p w14:paraId="745B999E"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16" w:tgtFrame="_blank" w:history="1">
        <w:r w:rsidR="0053228A" w:rsidRPr="00E04697">
          <w:rPr>
            <w:rStyle w:val="Hyperlink"/>
            <w:rFonts w:ascii="Arial" w:hAnsi="Arial" w:cs="Arial"/>
            <w:bCs/>
          </w:rPr>
          <w:t>beyondblue</w:t>
        </w:r>
      </w:hyperlink>
      <w:r w:rsidR="0053228A" w:rsidRPr="00E04697">
        <w:rPr>
          <w:rFonts w:ascii="Arial" w:hAnsi="Arial" w:cs="Arial"/>
        </w:rPr>
        <w:t xml:space="preserve"> aims to increase awareness of depression and anxiety and </w:t>
      </w:r>
      <w:r w:rsidR="0053228A">
        <w:rPr>
          <w:rFonts w:ascii="Arial" w:hAnsi="Arial" w:cs="Arial"/>
        </w:rPr>
        <w:t xml:space="preserve">to </w:t>
      </w:r>
      <w:r w:rsidR="0053228A" w:rsidRPr="00E04697">
        <w:rPr>
          <w:rFonts w:ascii="Arial" w:hAnsi="Arial" w:cs="Arial"/>
        </w:rPr>
        <w:t>reduce stigma. Call 1300 22 4636, 24 hours / 7 days a week.</w:t>
      </w:r>
    </w:p>
    <w:p w14:paraId="79213FFA"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17" w:tgtFrame="_blank" w:history="1">
        <w:r w:rsidR="0053228A" w:rsidRPr="00E04697">
          <w:rPr>
            <w:rStyle w:val="Hyperlink"/>
            <w:rFonts w:ascii="Arial" w:hAnsi="Arial" w:cs="Arial"/>
            <w:bCs/>
          </w:rPr>
          <w:t>Blue Knot Foundation Helpline</w:t>
        </w:r>
      </w:hyperlink>
      <w:r w:rsidR="0053228A" w:rsidRPr="00E04697">
        <w:rPr>
          <w:rFonts w:ascii="Arial" w:hAnsi="Arial" w:cs="Arial"/>
        </w:rPr>
        <w:t xml:space="preserve"> (formerly ASCA Professional Support Line) provides help, information, support or referral for adult survivors of childhood trauma and abuse, their partners, family and friends, health professionals and anyone in the workplace working with people who have experienced childhood trauma and abuse. Call 1300 657 380, 9am-5pm AEST / 7 days a week.</w:t>
      </w:r>
    </w:p>
    <w:p w14:paraId="0BA04426"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18" w:tgtFrame="_blank" w:history="1">
        <w:r w:rsidR="0053228A" w:rsidRPr="00E04697">
          <w:rPr>
            <w:rStyle w:val="Hyperlink"/>
            <w:rFonts w:ascii="Arial" w:hAnsi="Arial" w:cs="Arial"/>
            <w:bCs/>
          </w:rPr>
          <w:t>Butterfly Foundation's National Helpline</w:t>
        </w:r>
      </w:hyperlink>
      <w:r w:rsidR="0053228A">
        <w:rPr>
          <w:rFonts w:ascii="Arial" w:hAnsi="Arial" w:cs="Arial"/>
        </w:rPr>
        <w:t xml:space="preserve"> </w:t>
      </w:r>
      <w:r w:rsidR="0053228A" w:rsidRPr="00E04697">
        <w:rPr>
          <w:rFonts w:ascii="Arial" w:hAnsi="Arial" w:cs="Arial"/>
        </w:rPr>
        <w:t>provid</w:t>
      </w:r>
      <w:r w:rsidR="0053228A">
        <w:rPr>
          <w:rFonts w:ascii="Arial" w:hAnsi="Arial" w:cs="Arial"/>
        </w:rPr>
        <w:t xml:space="preserve">es information, counselling and </w:t>
      </w:r>
      <w:r w:rsidR="0053228A" w:rsidRPr="00E04697">
        <w:rPr>
          <w:rFonts w:ascii="Arial" w:hAnsi="Arial" w:cs="Arial"/>
        </w:rPr>
        <w:t xml:space="preserve">referral for people with </w:t>
      </w:r>
      <w:r w:rsidR="0053228A">
        <w:rPr>
          <w:rFonts w:ascii="Arial" w:hAnsi="Arial" w:cs="Arial"/>
        </w:rPr>
        <w:t>disordered eating and related issues</w:t>
      </w:r>
      <w:r w:rsidR="0053228A" w:rsidRPr="00E04697">
        <w:rPr>
          <w:rFonts w:ascii="Arial" w:hAnsi="Arial" w:cs="Arial"/>
        </w:rPr>
        <w:t>. Call 1800 33 4673, 8am-midnight AEST / 7 days a week.</w:t>
      </w:r>
    </w:p>
    <w:p w14:paraId="1E630FB1"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19" w:tgtFrame="_blank" w:history="1">
        <w:r w:rsidR="0053228A" w:rsidRPr="00E04697">
          <w:rPr>
            <w:rStyle w:val="Hyperlink"/>
            <w:rFonts w:ascii="Arial" w:hAnsi="Arial" w:cs="Arial"/>
            <w:bCs/>
          </w:rPr>
          <w:t>Lifeline</w:t>
        </w:r>
      </w:hyperlink>
      <w:r w:rsidR="0053228A" w:rsidRPr="00E04697">
        <w:rPr>
          <w:rFonts w:ascii="Arial" w:hAnsi="Arial" w:cs="Arial"/>
        </w:rPr>
        <w:t xml:space="preserve"> provides 24-hour crisis counsel</w:t>
      </w:r>
      <w:r w:rsidR="0053228A">
        <w:rPr>
          <w:rFonts w:ascii="Arial" w:hAnsi="Arial" w:cs="Arial"/>
        </w:rPr>
        <w:t>l</w:t>
      </w:r>
      <w:r w:rsidR="0053228A" w:rsidRPr="00E04697">
        <w:rPr>
          <w:rFonts w:ascii="Arial" w:hAnsi="Arial" w:cs="Arial"/>
        </w:rPr>
        <w:t>ing, support groups and suicide prevention services. Call 13 11 14.</w:t>
      </w:r>
    </w:p>
    <w:p w14:paraId="595DC161"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20" w:tgtFrame="_blank" w:history="1">
        <w:r w:rsidR="0053228A" w:rsidRPr="00E04697">
          <w:rPr>
            <w:rStyle w:val="Hyperlink"/>
            <w:rFonts w:ascii="Arial" w:hAnsi="Arial" w:cs="Arial"/>
            <w:bCs/>
          </w:rPr>
          <w:t>MensLine Australia</w:t>
        </w:r>
      </w:hyperlink>
      <w:r w:rsidR="0053228A" w:rsidRPr="00E04697">
        <w:rPr>
          <w:rFonts w:ascii="Arial" w:hAnsi="Arial" w:cs="Arial"/>
        </w:rPr>
        <w:t xml:space="preserve"> is a professional telephone and online support and information service for men. Call 1300 78 99 78, 24 hours / 7 days a week.</w:t>
      </w:r>
    </w:p>
    <w:p w14:paraId="7CD09C66"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21" w:tgtFrame="_blank" w:history="1">
        <w:r w:rsidR="0053228A" w:rsidRPr="00E04697">
          <w:rPr>
            <w:rStyle w:val="Hyperlink"/>
            <w:rFonts w:ascii="Arial" w:hAnsi="Arial" w:cs="Arial"/>
            <w:bCs/>
          </w:rPr>
          <w:t>MindSpot</w:t>
        </w:r>
      </w:hyperlink>
      <w:r w:rsidR="0053228A" w:rsidRPr="00E04697">
        <w:rPr>
          <w:rFonts w:ascii="Arial" w:hAnsi="Arial" w:cs="Arial"/>
        </w:rPr>
        <w:t xml:space="preserve"> is a free telephone and online service for people with stress, worry, anxiety, low mood or depression. It provides online assessment and treatment for anxiety and depression. Call 1800 61 44 34 AEST, 8am-8pm (Mon-Fri), 8am-6pm (Sat).</w:t>
      </w:r>
    </w:p>
    <w:p w14:paraId="6A0CE00D"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22" w:tgtFrame="_blank" w:history="1">
        <w:r w:rsidR="0053228A" w:rsidRPr="00E04697">
          <w:rPr>
            <w:rStyle w:val="Hyperlink"/>
            <w:rFonts w:ascii="Arial" w:hAnsi="Arial" w:cs="Arial"/>
            <w:bCs/>
          </w:rPr>
          <w:t>QLife</w:t>
        </w:r>
      </w:hyperlink>
      <w:r w:rsidR="0053228A" w:rsidRPr="00E04697">
        <w:rPr>
          <w:rFonts w:ascii="Arial" w:hAnsi="Arial" w:cs="Arial"/>
        </w:rPr>
        <w:t xml:space="preserve"> provides nationwide telephone and web-based services to support </w:t>
      </w:r>
      <w:r w:rsidR="0053228A">
        <w:rPr>
          <w:rFonts w:ascii="Arial" w:hAnsi="Arial" w:cs="Arial"/>
        </w:rPr>
        <w:t xml:space="preserve">LGBTI people </w:t>
      </w:r>
      <w:r w:rsidR="0053228A" w:rsidRPr="00E04697">
        <w:rPr>
          <w:rFonts w:ascii="Arial" w:hAnsi="Arial" w:cs="Arial"/>
        </w:rPr>
        <w:t>of all ages. Call 1800 184 527, 3pm-12am (midnight) AEST / 7 days a week.</w:t>
      </w:r>
    </w:p>
    <w:p w14:paraId="0AFC3B40"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23" w:tgtFrame="_blank" w:history="1">
        <w:r w:rsidR="0053228A" w:rsidRPr="00E04697">
          <w:rPr>
            <w:rStyle w:val="Hyperlink"/>
            <w:rFonts w:ascii="Arial" w:hAnsi="Arial" w:cs="Arial"/>
            <w:bCs/>
          </w:rPr>
          <w:t>PANDA</w:t>
        </w:r>
      </w:hyperlink>
      <w:r w:rsidR="0053228A" w:rsidRPr="00E04697">
        <w:rPr>
          <w:rFonts w:ascii="Arial" w:hAnsi="Arial" w:cs="Arial"/>
        </w:rPr>
        <w:t xml:space="preserve"> (Perinatal Anxiety &amp; Depression Australia) provides a national telephone information, counselling and referral service staffed by trained volunteers, professional counsellors and supervising staff. Many helpline counsellors have had their own experience of perinatal depression or anxiety. Call 1300 726 306, 9am-7:30pm AEST (Mon-Fri).</w:t>
      </w:r>
    </w:p>
    <w:p w14:paraId="0979C8A4" w14:textId="77777777" w:rsidR="0053228A" w:rsidRPr="00E04697" w:rsidRDefault="002C61EE" w:rsidP="00A736A6">
      <w:pPr>
        <w:pStyle w:val="NormalWeb"/>
        <w:numPr>
          <w:ilvl w:val="0"/>
          <w:numId w:val="23"/>
        </w:numPr>
        <w:spacing w:before="0" w:beforeAutospacing="0" w:after="120" w:afterAutospacing="0"/>
        <w:rPr>
          <w:rFonts w:ascii="Arial" w:hAnsi="Arial" w:cs="Arial"/>
        </w:rPr>
      </w:pPr>
      <w:hyperlink r:id="rId24" w:tgtFrame="_blank" w:history="1">
        <w:r w:rsidR="0053228A" w:rsidRPr="00E04697">
          <w:rPr>
            <w:rStyle w:val="Hyperlink"/>
            <w:rFonts w:ascii="Arial" w:hAnsi="Arial" w:cs="Arial"/>
            <w:bCs/>
          </w:rPr>
          <w:t>SANE Australia</w:t>
        </w:r>
      </w:hyperlink>
      <w:r w:rsidR="0053228A" w:rsidRPr="00E04697">
        <w:rPr>
          <w:rFonts w:ascii="Arial" w:hAnsi="Arial" w:cs="Arial"/>
        </w:rPr>
        <w:t xml:space="preserve"> provides support, training and education </w:t>
      </w:r>
      <w:r w:rsidR="0053228A">
        <w:rPr>
          <w:rFonts w:ascii="Arial" w:hAnsi="Arial" w:cs="Arial"/>
        </w:rPr>
        <w:t>to enable mental health and wellbeing</w:t>
      </w:r>
      <w:r w:rsidR="0053228A" w:rsidRPr="00E04697">
        <w:rPr>
          <w:rFonts w:ascii="Arial" w:hAnsi="Arial" w:cs="Arial"/>
        </w:rPr>
        <w:t>. Call 1800 18 7263, 10am-10pm AEST (Mon-Fri).</w:t>
      </w:r>
    </w:p>
    <w:p w14:paraId="2012EC82" w14:textId="77777777" w:rsidR="0053228A" w:rsidRPr="0053228A" w:rsidRDefault="0053228A" w:rsidP="00A736A6">
      <w:pPr>
        <w:pStyle w:val="ListParagraph"/>
        <w:numPr>
          <w:ilvl w:val="0"/>
          <w:numId w:val="23"/>
        </w:numPr>
        <w:spacing w:before="120" w:after="0" w:line="240" w:lineRule="auto"/>
        <w:contextualSpacing w:val="0"/>
        <w:rPr>
          <w:rFonts w:cs="Arial"/>
        </w:rPr>
      </w:pPr>
      <w:r w:rsidRPr="00E04697">
        <w:rPr>
          <w:rFonts w:cs="Arial"/>
          <w:color w:val="000000" w:themeColor="text1"/>
        </w:rPr>
        <w:t>Your General Practitioner</w:t>
      </w:r>
      <w:r>
        <w:rPr>
          <w:rFonts w:cs="Arial"/>
          <w:color w:val="000000" w:themeColor="text1"/>
        </w:rPr>
        <w:t>.</w:t>
      </w:r>
    </w:p>
    <w:p w14:paraId="11080228" w14:textId="00FB3A17" w:rsidR="00254D01" w:rsidRDefault="00254D01" w:rsidP="003629DD">
      <w:pPr>
        <w:tabs>
          <w:tab w:val="left" w:pos="966"/>
        </w:tabs>
        <w:spacing w:after="160" w:line="259" w:lineRule="auto"/>
        <w:rPr>
          <w:rFonts w:cs="Arial"/>
          <w:sz w:val="20"/>
        </w:rPr>
      </w:pPr>
      <w:r>
        <w:rPr>
          <w:rFonts w:cs="Arial"/>
          <w:sz w:val="20"/>
        </w:rPr>
        <w:br w:type="page"/>
      </w:r>
      <w:r w:rsidR="003629DD">
        <w:rPr>
          <w:rFonts w:cs="Arial"/>
          <w:noProof/>
          <w:sz w:val="20"/>
          <w:lang w:eastAsia="en-AU"/>
        </w:rPr>
        <w:lastRenderedPageBreak/>
        <mc:AlternateContent>
          <mc:Choice Requires="wps">
            <w:drawing>
              <wp:anchor distT="0" distB="0" distL="114300" distR="114300" simplePos="0" relativeHeight="251667456" behindDoc="0" locked="0" layoutInCell="1" allowOverlap="1" wp14:anchorId="31A434EE" wp14:editId="088202C3">
                <wp:simplePos x="0" y="0"/>
                <wp:positionH relativeFrom="column">
                  <wp:posOffset>4917</wp:posOffset>
                </wp:positionH>
                <wp:positionV relativeFrom="paragraph">
                  <wp:posOffset>-217962</wp:posOffset>
                </wp:positionV>
                <wp:extent cx="5822066" cy="591191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822066" cy="5911913"/>
                        </a:xfrm>
                        <a:prstGeom prst="rect">
                          <a:avLst/>
                        </a:prstGeom>
                        <a:noFill/>
                        <a:ln w="6350">
                          <a:noFill/>
                        </a:ln>
                      </wps:spPr>
                      <wps:txbx>
                        <w:txbxContent>
                          <w:p w14:paraId="19E39930" w14:textId="77777777" w:rsidR="00671B6F" w:rsidRPr="003629DD" w:rsidRDefault="00671B6F" w:rsidP="00CF1622">
                            <w:pPr>
                              <w:pStyle w:val="Heading1"/>
                              <w:rPr>
                                <w:color w:val="FFFFFF" w:themeColor="background1"/>
                              </w:rPr>
                            </w:pPr>
                            <w:bookmarkStart w:id="103" w:name="_Toc41300720"/>
                            <w:bookmarkStart w:id="104" w:name="_Toc49947644"/>
                            <w:r w:rsidRPr="003629DD">
                              <w:rPr>
                                <w:color w:val="FFFFFF" w:themeColor="background1"/>
                              </w:rPr>
                              <w:t>Further information and feedback</w:t>
                            </w:r>
                            <w:bookmarkEnd w:id="103"/>
                            <w:bookmarkEnd w:id="104"/>
                          </w:p>
                          <w:p w14:paraId="4B787E09" w14:textId="77777777" w:rsidR="00671B6F" w:rsidRPr="003629DD" w:rsidRDefault="00671B6F" w:rsidP="00CF1622">
                            <w:pPr>
                              <w:rPr>
                                <w:color w:val="FFFFFF" w:themeColor="background1"/>
                              </w:rPr>
                            </w:pPr>
                            <w:r w:rsidRPr="003629DD">
                              <w:rPr>
                                <w:color w:val="FFFFFF" w:themeColor="background1"/>
                              </w:rPr>
                              <w:t>If you would like to know more about the work that we do at Marie Stopes Australia, you can follow us on social media or get in touch via the following channels.</w:t>
                            </w:r>
                          </w:p>
                          <w:p w14:paraId="68880791" w14:textId="77777777" w:rsidR="00671B6F" w:rsidRDefault="00671B6F" w:rsidP="00CF1622">
                            <w:pPr>
                              <w:pStyle w:val="ListParagraph"/>
                              <w:rPr>
                                <w:i/>
                                <w:color w:val="000000" w:themeColor="text1"/>
                              </w:rPr>
                            </w:pPr>
                          </w:p>
                          <w:tbl>
                            <w:tblPr>
                              <w:tblStyle w:val="TableGrid"/>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671B6F" w:rsidRPr="00FB6559" w14:paraId="567AA4C1" w14:textId="77777777" w:rsidTr="00A542A8">
                              <w:trPr>
                                <w:trHeight w:hRule="exact" w:val="737"/>
                              </w:trPr>
                              <w:tc>
                                <w:tcPr>
                                  <w:tcW w:w="9070" w:type="dxa"/>
                                  <w:tcBorders>
                                    <w:top w:val="single" w:sz="4" w:space="0" w:color="FFFFFF" w:themeColor="background1"/>
                                    <w:bottom w:val="single" w:sz="4" w:space="0" w:color="FFFFFF" w:themeColor="background1"/>
                                  </w:tcBorders>
                                  <w:noWrap/>
                                  <w:tcMar>
                                    <w:top w:w="284" w:type="dxa"/>
                                    <w:bottom w:w="227" w:type="dxa"/>
                                  </w:tcMar>
                                </w:tcPr>
                                <w:p w14:paraId="45973FE2" w14:textId="0C94025A" w:rsidR="00671B6F" w:rsidRPr="00A542A8" w:rsidRDefault="005C617B" w:rsidP="00CF1622">
                                  <w:pPr>
                                    <w:rPr>
                                      <w:color w:val="FFFFFF" w:themeColor="background1"/>
                                    </w:rPr>
                                  </w:pPr>
                                  <w:r>
                                    <w:rPr>
                                      <w:color w:val="FFFFFF" w:themeColor="background1"/>
                                    </w:rPr>
                                    <w:t>Twitter:</w:t>
                                  </w:r>
                                  <w:r w:rsidRPr="008A21FF">
                                    <w:rPr>
                                      <w:color w:val="FFFFFF" w:themeColor="background1"/>
                                    </w:rPr>
                                    <w:t xml:space="preserve"> </w:t>
                                  </w:r>
                                  <w:hyperlink r:id="rId25" w:history="1">
                                    <w:r w:rsidRPr="008A21FF">
                                      <w:rPr>
                                        <w:rStyle w:val="Hyperlink"/>
                                        <w:color w:val="FFFFFF" w:themeColor="background1"/>
                                      </w:rPr>
                                      <w:t>@mariestopesaus</w:t>
                                    </w:r>
                                  </w:hyperlink>
                                </w:p>
                              </w:tc>
                            </w:tr>
                            <w:tr w:rsidR="00671B6F" w14:paraId="7D5350C5"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3A0F7048" w14:textId="3088E5FA" w:rsidR="00671B6F" w:rsidRPr="00A542A8" w:rsidRDefault="002C61EE" w:rsidP="00CF1622">
                                  <w:pPr>
                                    <w:rPr>
                                      <w:color w:val="FFFFFF" w:themeColor="background1"/>
                                    </w:rPr>
                                  </w:pPr>
                                  <w:hyperlink r:id="rId26" w:history="1">
                                    <w:r w:rsidR="005C617B" w:rsidRPr="00A542A8">
                                      <w:rPr>
                                        <w:rStyle w:val="Hyperlink"/>
                                        <w:color w:val="FFFFFF" w:themeColor="background1"/>
                                        <w:u w:val="none"/>
                                      </w:rPr>
                                      <w:t xml:space="preserve">Facebook: </w:t>
                                    </w:r>
                                    <w:r w:rsidR="005C617B" w:rsidRPr="00A542A8">
                                      <w:rPr>
                                        <w:rStyle w:val="Hyperlink"/>
                                        <w:color w:val="FFFFFF" w:themeColor="background1"/>
                                      </w:rPr>
                                      <w:t>@mariestopesau</w:t>
                                    </w:r>
                                  </w:hyperlink>
                                </w:p>
                              </w:tc>
                            </w:tr>
                            <w:tr w:rsidR="00671B6F" w14:paraId="61B1F9DD"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004E94E0" w14:textId="7C9F228E" w:rsidR="00A542A8" w:rsidRPr="003629DD" w:rsidRDefault="002C61EE" w:rsidP="005C617B">
                                  <w:pPr>
                                    <w:rPr>
                                      <w:color w:val="FFFFFF" w:themeColor="background1"/>
                                    </w:rPr>
                                  </w:pPr>
                                  <w:hyperlink r:id="rId27" w:history="1">
                                    <w:r w:rsidR="005C617B" w:rsidRPr="00A542A8">
                                      <w:rPr>
                                        <w:rStyle w:val="Hyperlink"/>
                                        <w:color w:val="FFFFFF" w:themeColor="background1"/>
                                        <w:u w:val="none"/>
                                      </w:rPr>
                                      <w:t xml:space="preserve">Instagram: </w:t>
                                    </w:r>
                                    <w:r w:rsidR="005C617B" w:rsidRPr="00A542A8">
                                      <w:rPr>
                                        <w:rStyle w:val="Hyperlink"/>
                                        <w:color w:val="FFFFFF" w:themeColor="background1"/>
                                      </w:rPr>
                                      <w:t>mariestopesaus</w:t>
                                    </w:r>
                                  </w:hyperlink>
                                </w:p>
                              </w:tc>
                            </w:tr>
                            <w:tr w:rsidR="00A542A8" w14:paraId="7B41EDA6"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5306712D" w14:textId="77777777" w:rsidR="005C617B" w:rsidRPr="00A542A8" w:rsidRDefault="002C61EE" w:rsidP="005C617B">
                                  <w:pPr>
                                    <w:rPr>
                                      <w:rStyle w:val="Hyperlink"/>
                                      <w:color w:val="FFFFFF" w:themeColor="background1"/>
                                      <w:u w:val="none"/>
                                    </w:rPr>
                                  </w:pPr>
                                  <w:hyperlink r:id="rId28" w:history="1">
                                    <w:r w:rsidR="005C617B" w:rsidRPr="00A542A8">
                                      <w:rPr>
                                        <w:rStyle w:val="Hyperlink"/>
                                        <w:color w:val="FFFFFF" w:themeColor="background1"/>
                                        <w:u w:val="none"/>
                                      </w:rPr>
                                      <w:t xml:space="preserve">Website: </w:t>
                                    </w:r>
                                    <w:r w:rsidR="005C617B" w:rsidRPr="00A542A8">
                                      <w:rPr>
                                        <w:rStyle w:val="Hyperlink"/>
                                        <w:color w:val="FFFFFF" w:themeColor="background1"/>
                                      </w:rPr>
                                      <w:t>mariestopes.org.au</w:t>
                                    </w:r>
                                  </w:hyperlink>
                                </w:p>
                                <w:p w14:paraId="754F38C6" w14:textId="73EC5436" w:rsidR="00A542A8" w:rsidRPr="00A542A8" w:rsidRDefault="00A542A8" w:rsidP="00CF1622"/>
                              </w:tc>
                            </w:tr>
                          </w:tbl>
                          <w:p w14:paraId="03CB7EBD" w14:textId="77777777" w:rsidR="00671B6F" w:rsidRDefault="00671B6F" w:rsidP="00CF1622">
                            <w:pPr>
                              <w:rPr>
                                <w:color w:val="000000" w:themeColor="text1"/>
                              </w:rPr>
                            </w:pPr>
                          </w:p>
                          <w:p w14:paraId="30C9C64B" w14:textId="77777777" w:rsidR="00671B6F" w:rsidRPr="003629DD" w:rsidRDefault="00671B6F" w:rsidP="00CF1622">
                            <w:pPr>
                              <w:rPr>
                                <w:color w:val="FFFFFF" w:themeColor="background1"/>
                              </w:rPr>
                            </w:pPr>
                            <w:r w:rsidRPr="003629DD">
                              <w:rPr>
                                <w:color w:val="FFFFFF" w:themeColor="background1"/>
                              </w:rPr>
                              <w:t xml:space="preserve">You can also support access to sexual and reproductive healthcare by </w:t>
                            </w:r>
                            <w:r w:rsidRPr="003629DD">
                              <w:rPr>
                                <w:color w:val="FFFFFF" w:themeColor="background1"/>
                              </w:rPr>
                              <w:br/>
                              <w:t xml:space="preserve">making a tax deductible donation @ </w:t>
                            </w:r>
                            <w:hyperlink r:id="rId29" w:history="1">
                              <w:r w:rsidRPr="003629DD">
                                <w:rPr>
                                  <w:rStyle w:val="Hyperlink"/>
                                  <w:color w:val="FFFFFF" w:themeColor="background1"/>
                                </w:rPr>
                                <w:t>https://www.mariestopes.org.au/donate/</w:t>
                              </w:r>
                            </w:hyperlink>
                          </w:p>
                          <w:p w14:paraId="47C8F679" w14:textId="66A8D0FE" w:rsidR="00671B6F" w:rsidRDefault="00671B6F" w:rsidP="00CF1622">
                            <w:pPr>
                              <w:rPr>
                                <w:rStyle w:val="Hyperlink"/>
                                <w:color w:val="FFFFFF" w:themeColor="background1"/>
                              </w:rPr>
                            </w:pPr>
                            <w:r w:rsidRPr="003629DD">
                              <w:rPr>
                                <w:color w:val="FFFFFF" w:themeColor="background1"/>
                              </w:rPr>
                              <w:t xml:space="preserve">If you would like to give us feedback about this publication, please get in touch with us at </w:t>
                            </w:r>
                            <w:hyperlink r:id="rId30" w:history="1">
                              <w:r w:rsidRPr="003629DD">
                                <w:rPr>
                                  <w:rStyle w:val="Hyperlink"/>
                                  <w:color w:val="FFFFFF" w:themeColor="background1"/>
                                </w:rPr>
                                <w:t>policy@mariestopes.org.au</w:t>
                              </w:r>
                            </w:hyperlink>
                          </w:p>
                          <w:p w14:paraId="756681C1" w14:textId="6C58C675" w:rsidR="00671B6F" w:rsidRDefault="00671B6F" w:rsidP="00CF1622">
                            <w:pPr>
                              <w:rPr>
                                <w:rStyle w:val="Hyperlink"/>
                                <w:color w:val="FFFFFF" w:themeColor="background1"/>
                              </w:rPr>
                            </w:pPr>
                          </w:p>
                          <w:p w14:paraId="24C26C71" w14:textId="77777777" w:rsidR="00A542A8" w:rsidRDefault="00A542A8" w:rsidP="00CF1622">
                            <w:pPr>
                              <w:rPr>
                                <w:rStyle w:val="Hyperlink"/>
                                <w:color w:val="FFFFFF" w:themeColor="background1"/>
                              </w:rPr>
                            </w:pPr>
                          </w:p>
                          <w:p w14:paraId="4823077E" w14:textId="02E33AED" w:rsidR="00671B6F" w:rsidRDefault="00671B6F" w:rsidP="00CF1622">
                            <w:pPr>
                              <w:rPr>
                                <w:rStyle w:val="Hyperlink"/>
                                <w:color w:val="FFFFFF" w:themeColor="background1"/>
                              </w:rPr>
                            </w:pPr>
                          </w:p>
                          <w:p w14:paraId="62585AE1" w14:textId="72A36033" w:rsidR="00671B6F" w:rsidRDefault="00671B6F" w:rsidP="00CF1622">
                            <w:pPr>
                              <w:rPr>
                                <w:rStyle w:val="Hyperlink"/>
                                <w:color w:val="FFFFFF" w:themeColor="background1"/>
                              </w:rPr>
                            </w:pPr>
                          </w:p>
                          <w:p w14:paraId="00AE7C0B" w14:textId="77777777" w:rsidR="00671B6F" w:rsidRPr="003629DD" w:rsidRDefault="00671B6F" w:rsidP="00CF1622">
                            <w:pPr>
                              <w:rPr>
                                <w:rStyle w:val="Hyperlink"/>
                                <w:color w:val="FFFFFF" w:themeColor="background1"/>
                              </w:rPr>
                            </w:pPr>
                          </w:p>
                          <w:p w14:paraId="52B709BE" w14:textId="52FDA280" w:rsidR="00671B6F" w:rsidRDefault="00671B6F" w:rsidP="00CF1622">
                            <w:pPr>
                              <w:rPr>
                                <w:color w:val="000000" w:themeColor="text1"/>
                              </w:rPr>
                            </w:pPr>
                          </w:p>
                          <w:tbl>
                            <w:tblPr>
                              <w:tblStyle w:val="TableGrid"/>
                              <w:tblW w:w="0" w:type="auto"/>
                              <w:jc w:val="center"/>
                              <w:tblLook w:val="04A0" w:firstRow="1" w:lastRow="0" w:firstColumn="1" w:lastColumn="0" w:noHBand="0" w:noVBand="1"/>
                            </w:tblPr>
                            <w:tblGrid>
                              <w:gridCol w:w="2943"/>
                              <w:gridCol w:w="3256"/>
                              <w:gridCol w:w="2686"/>
                            </w:tblGrid>
                            <w:tr w:rsidR="00671B6F" w14:paraId="6B970C51" w14:textId="77777777" w:rsidTr="00671B6F">
                              <w:trPr>
                                <w:jc w:val="center"/>
                              </w:trPr>
                              <w:tc>
                                <w:tcPr>
                                  <w:tcW w:w="3023" w:type="dxa"/>
                                  <w:vAlign w:val="center"/>
                                </w:tcPr>
                                <w:p w14:paraId="0200AEDF" w14:textId="77777777" w:rsidR="00671B6F" w:rsidRDefault="00671B6F" w:rsidP="003629DD">
                                  <w:pPr>
                                    <w:pStyle w:val="FootnoteText"/>
                                    <w:tabs>
                                      <w:tab w:val="left" w:pos="1260"/>
                                    </w:tabs>
                                  </w:pPr>
                                  <w:r>
                                    <w:rPr>
                                      <w:noProof/>
                                      <w:lang w:eastAsia="en-AU"/>
                                    </w:rPr>
                                    <w:drawing>
                                      <wp:inline distT="0" distB="0" distL="0" distR="0" wp14:anchorId="1CC07B0F" wp14:editId="1F3DBD34">
                                        <wp:extent cx="1727200" cy="460375"/>
                                        <wp:effectExtent l="0" t="0" r="0" b="0"/>
                                        <wp:docPr id="21" name="Picture 21" descr="C:\Users\BonneyC\Desktop\MSA-Master-Logo-RGB.jpg"/>
                                        <wp:cNvGraphicFramePr/>
                                        <a:graphic xmlns:a="http://schemas.openxmlformats.org/drawingml/2006/main">
                                          <a:graphicData uri="http://schemas.openxmlformats.org/drawingml/2006/picture">
                                            <pic:pic xmlns:pic="http://schemas.openxmlformats.org/drawingml/2006/picture">
                                              <pic:nvPicPr>
                                                <pic:cNvPr id="30" name="Picture 30" descr="C:\Users\BonneyC\Desktop\MSA-Master-Logo-RGB.jp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7200" cy="460375"/>
                                                </a:xfrm>
                                                <a:prstGeom prst="rect">
                                                  <a:avLst/>
                                                </a:prstGeom>
                                                <a:noFill/>
                                                <a:ln>
                                                  <a:noFill/>
                                                </a:ln>
                                              </pic:spPr>
                                            </pic:pic>
                                          </a:graphicData>
                                        </a:graphic>
                                      </wp:inline>
                                    </w:drawing>
                                  </w:r>
                                </w:p>
                              </w:tc>
                              <w:tc>
                                <w:tcPr>
                                  <w:tcW w:w="3023" w:type="dxa"/>
                                  <w:vAlign w:val="center"/>
                                </w:tcPr>
                                <w:p w14:paraId="6F4157B5" w14:textId="77777777" w:rsidR="00671B6F" w:rsidRDefault="00671B6F" w:rsidP="003629DD">
                                  <w:pPr>
                                    <w:pStyle w:val="FootnoteText"/>
                                    <w:tabs>
                                      <w:tab w:val="left" w:pos="1260"/>
                                    </w:tabs>
                                  </w:pPr>
                                  <w:r>
                                    <w:rPr>
                                      <w:noProof/>
                                      <w:lang w:eastAsia="en-AU"/>
                                    </w:rPr>
                                    <w:drawing>
                                      <wp:inline distT="0" distB="0" distL="0" distR="0" wp14:anchorId="1E9023B2" wp14:editId="1AB63929">
                                        <wp:extent cx="1930400" cy="1359535"/>
                                        <wp:effectExtent l="0" t="0" r="0" b="0"/>
                                        <wp:docPr id="23" name="Picture 23" descr="C:\Users\BonneyC\AppData\Local\Microsoft\Windows\INetCache\Content.Outlook\TLVUHO5O\UQ-PBC-Logo Lockup-Purple.png"/>
                                        <wp:cNvGraphicFramePr/>
                                        <a:graphic xmlns:a="http://schemas.openxmlformats.org/drawingml/2006/main">
                                          <a:graphicData uri="http://schemas.openxmlformats.org/drawingml/2006/picture">
                                            <pic:pic xmlns:pic="http://schemas.openxmlformats.org/drawingml/2006/picture">
                                              <pic:nvPicPr>
                                                <pic:cNvPr id="32" name="Picture 32" descr="C:\Users\BonneyC\AppData\Local\Microsoft\Windows\INetCache\Content.Outlook\TLVUHO5O\UQ-PBC-Logo Lockup-Purple.png"/>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30400" cy="1359535"/>
                                                </a:xfrm>
                                                <a:prstGeom prst="rect">
                                                  <a:avLst/>
                                                </a:prstGeom>
                                                <a:noFill/>
                                                <a:ln>
                                                  <a:noFill/>
                                                </a:ln>
                                              </pic:spPr>
                                            </pic:pic>
                                          </a:graphicData>
                                        </a:graphic>
                                      </wp:inline>
                                    </w:drawing>
                                  </w:r>
                                </w:p>
                              </w:tc>
                              <w:tc>
                                <w:tcPr>
                                  <w:tcW w:w="3024" w:type="dxa"/>
                                  <w:vAlign w:val="center"/>
                                </w:tcPr>
                                <w:p w14:paraId="38CEAB86" w14:textId="77777777" w:rsidR="00671B6F" w:rsidRDefault="00671B6F" w:rsidP="003629DD">
                                  <w:pPr>
                                    <w:pStyle w:val="FootnoteText"/>
                                    <w:tabs>
                                      <w:tab w:val="left" w:pos="1260"/>
                                    </w:tabs>
                                  </w:pPr>
                                  <w:r>
                                    <w:rPr>
                                      <w:noProof/>
                                      <w:lang w:eastAsia="en-AU"/>
                                    </w:rPr>
                                    <w:drawing>
                                      <wp:inline distT="0" distB="0" distL="0" distR="0" wp14:anchorId="5BBB9709" wp14:editId="469E1680">
                                        <wp:extent cx="1549400" cy="444500"/>
                                        <wp:effectExtent l="0" t="0" r="0" b="0"/>
                                        <wp:docPr id="24" name="Picture 24" descr="C:\Users\BonneyC\Desktop\AWAVA Logo USE THIS ONE.jpg"/>
                                        <wp:cNvGraphicFramePr/>
                                        <a:graphic xmlns:a="http://schemas.openxmlformats.org/drawingml/2006/main">
                                          <a:graphicData uri="http://schemas.openxmlformats.org/drawingml/2006/picture">
                                            <pic:pic xmlns:pic="http://schemas.openxmlformats.org/drawingml/2006/picture">
                                              <pic:nvPicPr>
                                                <pic:cNvPr id="31" name="Picture 31" descr="C:\Users\BonneyC\Desktop\AWAVA Logo USE THIS ONE.jpg"/>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9400" cy="444500"/>
                                                </a:xfrm>
                                                <a:prstGeom prst="rect">
                                                  <a:avLst/>
                                                </a:prstGeom>
                                                <a:noFill/>
                                                <a:ln>
                                                  <a:noFill/>
                                                </a:ln>
                                              </pic:spPr>
                                            </pic:pic>
                                          </a:graphicData>
                                        </a:graphic>
                                      </wp:inline>
                                    </w:drawing>
                                  </w:r>
                                </w:p>
                              </w:tc>
                            </w:tr>
                          </w:tbl>
                          <w:p w14:paraId="674FF897" w14:textId="77777777" w:rsidR="00671B6F" w:rsidRPr="008135CA" w:rsidRDefault="00671B6F" w:rsidP="00CF1622">
                            <w:pPr>
                              <w:rPr>
                                <w:color w:val="000000" w:themeColor="text1"/>
                              </w:rPr>
                            </w:pPr>
                          </w:p>
                          <w:p w14:paraId="2EEC0BCB" w14:textId="77777777" w:rsidR="00671B6F" w:rsidRDefault="00671B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434EE" id="Text Box 18" o:spid="_x0000_s1027" type="#_x0000_t202" style="position:absolute;margin-left:.4pt;margin-top:-17.15pt;width:458.45pt;height:46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" filled="f" stroked="f" strokeweight=".5pt">
                <v:textbox>
                  <w:txbxContent>
                    <w:p w14:paraId="19E39930" w14:textId="77777777" w:rsidR="00671B6F" w:rsidRPr="003629DD" w:rsidRDefault="00671B6F" w:rsidP="00CF1622">
                      <w:pPr>
                        <w:pStyle w:val="Heading1"/>
                        <w:rPr>
                          <w:color w:val="FFFFFF" w:themeColor="background1"/>
                        </w:rPr>
                      </w:pPr>
                      <w:bookmarkStart w:id="105" w:name="_Toc41300720"/>
                      <w:bookmarkStart w:id="106" w:name="_Toc49947644"/>
                      <w:r w:rsidRPr="003629DD">
                        <w:rPr>
                          <w:color w:val="FFFFFF" w:themeColor="background1"/>
                        </w:rPr>
                        <w:t>Further information and feedback</w:t>
                      </w:r>
                      <w:bookmarkEnd w:id="105"/>
                      <w:bookmarkEnd w:id="106"/>
                    </w:p>
                    <w:p w14:paraId="4B787E09" w14:textId="77777777" w:rsidR="00671B6F" w:rsidRPr="003629DD" w:rsidRDefault="00671B6F" w:rsidP="00CF1622">
                      <w:pPr>
                        <w:rPr>
                          <w:color w:val="FFFFFF" w:themeColor="background1"/>
                        </w:rPr>
                      </w:pPr>
                      <w:r w:rsidRPr="003629DD">
                        <w:rPr>
                          <w:color w:val="FFFFFF" w:themeColor="background1"/>
                        </w:rPr>
                        <w:t>If you would like to know more about the work that we do at Marie Stopes Australia, you can follow us on social media or get in touch via the following channels.</w:t>
                      </w:r>
                    </w:p>
                    <w:p w14:paraId="68880791" w14:textId="77777777" w:rsidR="00671B6F" w:rsidRDefault="00671B6F" w:rsidP="00CF1622">
                      <w:pPr>
                        <w:pStyle w:val="ListParagraph"/>
                        <w:rPr>
                          <w:i/>
                          <w:color w:val="000000" w:themeColor="text1"/>
                        </w:rPr>
                      </w:pPr>
                    </w:p>
                    <w:tbl>
                      <w:tblPr>
                        <w:tblStyle w:val="TableGrid"/>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671B6F" w:rsidRPr="00FB6559" w14:paraId="567AA4C1" w14:textId="77777777" w:rsidTr="00A542A8">
                        <w:trPr>
                          <w:trHeight w:hRule="exact" w:val="737"/>
                        </w:trPr>
                        <w:tc>
                          <w:tcPr>
                            <w:tcW w:w="9070" w:type="dxa"/>
                            <w:tcBorders>
                              <w:top w:val="single" w:sz="4" w:space="0" w:color="FFFFFF" w:themeColor="background1"/>
                              <w:bottom w:val="single" w:sz="4" w:space="0" w:color="FFFFFF" w:themeColor="background1"/>
                            </w:tcBorders>
                            <w:noWrap/>
                            <w:tcMar>
                              <w:top w:w="284" w:type="dxa"/>
                              <w:bottom w:w="227" w:type="dxa"/>
                            </w:tcMar>
                          </w:tcPr>
                          <w:p w14:paraId="45973FE2" w14:textId="0C94025A" w:rsidR="00671B6F" w:rsidRPr="00A542A8" w:rsidRDefault="005C617B" w:rsidP="00CF1622">
                            <w:pPr>
                              <w:rPr>
                                <w:color w:val="FFFFFF" w:themeColor="background1"/>
                              </w:rPr>
                            </w:pPr>
                            <w:r>
                              <w:rPr>
                                <w:color w:val="FFFFFF" w:themeColor="background1"/>
                              </w:rPr>
                              <w:t>Twitter:</w:t>
                            </w:r>
                            <w:r w:rsidRPr="008A21FF">
                              <w:rPr>
                                <w:color w:val="FFFFFF" w:themeColor="background1"/>
                              </w:rPr>
                              <w:t xml:space="preserve"> </w:t>
                            </w:r>
                            <w:hyperlink r:id="rId34" w:history="1">
                              <w:r w:rsidRPr="008A21FF">
                                <w:rPr>
                                  <w:rStyle w:val="Hyperlink"/>
                                  <w:color w:val="FFFFFF" w:themeColor="background1"/>
                                </w:rPr>
                                <w:t>@mariestopesaus</w:t>
                              </w:r>
                            </w:hyperlink>
                          </w:p>
                        </w:tc>
                      </w:tr>
                      <w:tr w:rsidR="00671B6F" w14:paraId="7D5350C5"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3A0F7048" w14:textId="3088E5FA" w:rsidR="00671B6F" w:rsidRPr="00A542A8" w:rsidRDefault="002C61EE" w:rsidP="00CF1622">
                            <w:pPr>
                              <w:rPr>
                                <w:color w:val="FFFFFF" w:themeColor="background1"/>
                              </w:rPr>
                            </w:pPr>
                            <w:hyperlink r:id="rId35" w:history="1">
                              <w:r w:rsidR="005C617B" w:rsidRPr="00A542A8">
                                <w:rPr>
                                  <w:rStyle w:val="Hyperlink"/>
                                  <w:color w:val="FFFFFF" w:themeColor="background1"/>
                                  <w:u w:val="none"/>
                                </w:rPr>
                                <w:t xml:space="preserve">Facebook: </w:t>
                              </w:r>
                              <w:r w:rsidR="005C617B" w:rsidRPr="00A542A8">
                                <w:rPr>
                                  <w:rStyle w:val="Hyperlink"/>
                                  <w:color w:val="FFFFFF" w:themeColor="background1"/>
                                </w:rPr>
                                <w:t>@mariestopesau</w:t>
                              </w:r>
                            </w:hyperlink>
                          </w:p>
                        </w:tc>
                      </w:tr>
                      <w:tr w:rsidR="00671B6F" w14:paraId="61B1F9DD"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004E94E0" w14:textId="7C9F228E" w:rsidR="00A542A8" w:rsidRPr="003629DD" w:rsidRDefault="002C61EE" w:rsidP="005C617B">
                            <w:pPr>
                              <w:rPr>
                                <w:color w:val="FFFFFF" w:themeColor="background1"/>
                              </w:rPr>
                            </w:pPr>
                            <w:hyperlink r:id="rId36" w:history="1">
                              <w:r w:rsidR="005C617B" w:rsidRPr="00A542A8">
                                <w:rPr>
                                  <w:rStyle w:val="Hyperlink"/>
                                  <w:color w:val="FFFFFF" w:themeColor="background1"/>
                                  <w:u w:val="none"/>
                                </w:rPr>
                                <w:t xml:space="preserve">Instagram: </w:t>
                              </w:r>
                              <w:r w:rsidR="005C617B" w:rsidRPr="00A542A8">
                                <w:rPr>
                                  <w:rStyle w:val="Hyperlink"/>
                                  <w:color w:val="FFFFFF" w:themeColor="background1"/>
                                </w:rPr>
                                <w:t>mariestopesaus</w:t>
                              </w:r>
                            </w:hyperlink>
                          </w:p>
                        </w:tc>
                      </w:tr>
                      <w:tr w:rsidR="00A542A8" w14:paraId="7B41EDA6"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5306712D" w14:textId="77777777" w:rsidR="005C617B" w:rsidRPr="00A542A8" w:rsidRDefault="002C61EE" w:rsidP="005C617B">
                            <w:pPr>
                              <w:rPr>
                                <w:rStyle w:val="Hyperlink"/>
                                <w:color w:val="FFFFFF" w:themeColor="background1"/>
                                <w:u w:val="none"/>
                              </w:rPr>
                            </w:pPr>
                            <w:hyperlink r:id="rId37" w:history="1">
                              <w:r w:rsidR="005C617B" w:rsidRPr="00A542A8">
                                <w:rPr>
                                  <w:rStyle w:val="Hyperlink"/>
                                  <w:color w:val="FFFFFF" w:themeColor="background1"/>
                                  <w:u w:val="none"/>
                                </w:rPr>
                                <w:t xml:space="preserve">Website: </w:t>
                              </w:r>
                              <w:r w:rsidR="005C617B" w:rsidRPr="00A542A8">
                                <w:rPr>
                                  <w:rStyle w:val="Hyperlink"/>
                                  <w:color w:val="FFFFFF" w:themeColor="background1"/>
                                </w:rPr>
                                <w:t>mariestopes.org.au</w:t>
                              </w:r>
                            </w:hyperlink>
                          </w:p>
                          <w:p w14:paraId="754F38C6" w14:textId="73EC5436" w:rsidR="00A542A8" w:rsidRPr="00A542A8" w:rsidRDefault="00A542A8" w:rsidP="00CF1622"/>
                        </w:tc>
                      </w:tr>
                    </w:tbl>
                    <w:p w14:paraId="03CB7EBD" w14:textId="77777777" w:rsidR="00671B6F" w:rsidRDefault="00671B6F" w:rsidP="00CF1622">
                      <w:pPr>
                        <w:rPr>
                          <w:color w:val="000000" w:themeColor="text1"/>
                        </w:rPr>
                      </w:pPr>
                    </w:p>
                    <w:p w14:paraId="30C9C64B" w14:textId="77777777" w:rsidR="00671B6F" w:rsidRPr="003629DD" w:rsidRDefault="00671B6F" w:rsidP="00CF1622">
                      <w:pPr>
                        <w:rPr>
                          <w:color w:val="FFFFFF" w:themeColor="background1"/>
                        </w:rPr>
                      </w:pPr>
                      <w:r w:rsidRPr="003629DD">
                        <w:rPr>
                          <w:color w:val="FFFFFF" w:themeColor="background1"/>
                        </w:rPr>
                        <w:t xml:space="preserve">You can also support access to sexual and reproductive healthcare by </w:t>
                      </w:r>
                      <w:r w:rsidRPr="003629DD">
                        <w:rPr>
                          <w:color w:val="FFFFFF" w:themeColor="background1"/>
                        </w:rPr>
                        <w:br/>
                        <w:t xml:space="preserve">making a tax deductible donation @ </w:t>
                      </w:r>
                      <w:hyperlink r:id="rId38" w:history="1">
                        <w:r w:rsidRPr="003629DD">
                          <w:rPr>
                            <w:rStyle w:val="Hyperlink"/>
                            <w:color w:val="FFFFFF" w:themeColor="background1"/>
                          </w:rPr>
                          <w:t>https://www.mariestopes.org.au/donate/</w:t>
                        </w:r>
                      </w:hyperlink>
                    </w:p>
                    <w:p w14:paraId="47C8F679" w14:textId="66A8D0FE" w:rsidR="00671B6F" w:rsidRDefault="00671B6F" w:rsidP="00CF1622">
                      <w:pPr>
                        <w:rPr>
                          <w:rStyle w:val="Hyperlink"/>
                          <w:color w:val="FFFFFF" w:themeColor="background1"/>
                        </w:rPr>
                      </w:pPr>
                      <w:r w:rsidRPr="003629DD">
                        <w:rPr>
                          <w:color w:val="FFFFFF" w:themeColor="background1"/>
                        </w:rPr>
                        <w:t xml:space="preserve">If you would like to give us feedback about this publication, please get in touch with us at </w:t>
                      </w:r>
                      <w:hyperlink r:id="rId39" w:history="1">
                        <w:r w:rsidRPr="003629DD">
                          <w:rPr>
                            <w:rStyle w:val="Hyperlink"/>
                            <w:color w:val="FFFFFF" w:themeColor="background1"/>
                          </w:rPr>
                          <w:t>policy@mariestopes.org.au</w:t>
                        </w:r>
                      </w:hyperlink>
                    </w:p>
                    <w:p w14:paraId="756681C1" w14:textId="6C58C675" w:rsidR="00671B6F" w:rsidRDefault="00671B6F" w:rsidP="00CF1622">
                      <w:pPr>
                        <w:rPr>
                          <w:rStyle w:val="Hyperlink"/>
                          <w:color w:val="FFFFFF" w:themeColor="background1"/>
                        </w:rPr>
                      </w:pPr>
                    </w:p>
                    <w:p w14:paraId="24C26C71" w14:textId="77777777" w:rsidR="00A542A8" w:rsidRDefault="00A542A8" w:rsidP="00CF1622">
                      <w:pPr>
                        <w:rPr>
                          <w:rStyle w:val="Hyperlink"/>
                          <w:color w:val="FFFFFF" w:themeColor="background1"/>
                        </w:rPr>
                      </w:pPr>
                    </w:p>
                    <w:p w14:paraId="4823077E" w14:textId="02E33AED" w:rsidR="00671B6F" w:rsidRDefault="00671B6F" w:rsidP="00CF1622">
                      <w:pPr>
                        <w:rPr>
                          <w:rStyle w:val="Hyperlink"/>
                          <w:color w:val="FFFFFF" w:themeColor="background1"/>
                        </w:rPr>
                      </w:pPr>
                    </w:p>
                    <w:p w14:paraId="62585AE1" w14:textId="72A36033" w:rsidR="00671B6F" w:rsidRDefault="00671B6F" w:rsidP="00CF1622">
                      <w:pPr>
                        <w:rPr>
                          <w:rStyle w:val="Hyperlink"/>
                          <w:color w:val="FFFFFF" w:themeColor="background1"/>
                        </w:rPr>
                      </w:pPr>
                    </w:p>
                    <w:p w14:paraId="00AE7C0B" w14:textId="77777777" w:rsidR="00671B6F" w:rsidRPr="003629DD" w:rsidRDefault="00671B6F" w:rsidP="00CF1622">
                      <w:pPr>
                        <w:rPr>
                          <w:rStyle w:val="Hyperlink"/>
                          <w:color w:val="FFFFFF" w:themeColor="background1"/>
                        </w:rPr>
                      </w:pPr>
                    </w:p>
                    <w:p w14:paraId="52B709BE" w14:textId="52FDA280" w:rsidR="00671B6F" w:rsidRDefault="00671B6F" w:rsidP="00CF1622">
                      <w:pPr>
                        <w:rPr>
                          <w:color w:val="000000" w:themeColor="text1"/>
                        </w:rPr>
                      </w:pPr>
                    </w:p>
                    <w:tbl>
                      <w:tblPr>
                        <w:tblStyle w:val="TableGrid"/>
                        <w:tblW w:w="0" w:type="auto"/>
                        <w:jc w:val="center"/>
                        <w:tblLook w:val="04A0" w:firstRow="1" w:lastRow="0" w:firstColumn="1" w:lastColumn="0" w:noHBand="0" w:noVBand="1"/>
                      </w:tblPr>
                      <w:tblGrid>
                        <w:gridCol w:w="2943"/>
                        <w:gridCol w:w="3256"/>
                        <w:gridCol w:w="2686"/>
                      </w:tblGrid>
                      <w:tr w:rsidR="00671B6F" w14:paraId="6B970C51" w14:textId="77777777" w:rsidTr="00671B6F">
                        <w:trPr>
                          <w:jc w:val="center"/>
                        </w:trPr>
                        <w:tc>
                          <w:tcPr>
                            <w:tcW w:w="3023" w:type="dxa"/>
                            <w:vAlign w:val="center"/>
                          </w:tcPr>
                          <w:p w14:paraId="0200AEDF" w14:textId="77777777" w:rsidR="00671B6F" w:rsidRDefault="00671B6F" w:rsidP="003629DD">
                            <w:pPr>
                              <w:pStyle w:val="FootnoteText"/>
                              <w:tabs>
                                <w:tab w:val="left" w:pos="1260"/>
                              </w:tabs>
                            </w:pPr>
                            <w:r>
                              <w:rPr>
                                <w:noProof/>
                                <w:lang w:eastAsia="en-AU"/>
                              </w:rPr>
                              <w:drawing>
                                <wp:inline distT="0" distB="0" distL="0" distR="0" wp14:anchorId="1CC07B0F" wp14:editId="1F3DBD34">
                                  <wp:extent cx="1727200" cy="460375"/>
                                  <wp:effectExtent l="0" t="0" r="0" b="0"/>
                                  <wp:docPr id="21" name="Picture 21" descr="C:\Users\BonneyC\Desktop\MSA-Master-Logo-RGB.jpg"/>
                                  <wp:cNvGraphicFramePr/>
                                  <a:graphic xmlns:a="http://schemas.openxmlformats.org/drawingml/2006/main">
                                    <a:graphicData uri="http://schemas.openxmlformats.org/drawingml/2006/picture">
                                      <pic:pic xmlns:pic="http://schemas.openxmlformats.org/drawingml/2006/picture">
                                        <pic:nvPicPr>
                                          <pic:cNvPr id="30" name="Picture 30" descr="C:\Users\BonneyC\Desktop\MSA-Master-Logo-RGB.jp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7200" cy="460375"/>
                                          </a:xfrm>
                                          <a:prstGeom prst="rect">
                                            <a:avLst/>
                                          </a:prstGeom>
                                          <a:noFill/>
                                          <a:ln>
                                            <a:noFill/>
                                          </a:ln>
                                        </pic:spPr>
                                      </pic:pic>
                                    </a:graphicData>
                                  </a:graphic>
                                </wp:inline>
                              </w:drawing>
                            </w:r>
                          </w:p>
                        </w:tc>
                        <w:tc>
                          <w:tcPr>
                            <w:tcW w:w="3023" w:type="dxa"/>
                            <w:vAlign w:val="center"/>
                          </w:tcPr>
                          <w:p w14:paraId="6F4157B5" w14:textId="77777777" w:rsidR="00671B6F" w:rsidRDefault="00671B6F" w:rsidP="003629DD">
                            <w:pPr>
                              <w:pStyle w:val="FootnoteText"/>
                              <w:tabs>
                                <w:tab w:val="left" w:pos="1260"/>
                              </w:tabs>
                            </w:pPr>
                            <w:r>
                              <w:rPr>
                                <w:noProof/>
                                <w:lang w:eastAsia="en-AU"/>
                              </w:rPr>
                              <w:drawing>
                                <wp:inline distT="0" distB="0" distL="0" distR="0" wp14:anchorId="1E9023B2" wp14:editId="1AB63929">
                                  <wp:extent cx="1930400" cy="1359535"/>
                                  <wp:effectExtent l="0" t="0" r="0" b="0"/>
                                  <wp:docPr id="23" name="Picture 23" descr="C:\Users\BonneyC\AppData\Local\Microsoft\Windows\INetCache\Content.Outlook\TLVUHO5O\UQ-PBC-Logo Lockup-Purple.png"/>
                                  <wp:cNvGraphicFramePr/>
                                  <a:graphic xmlns:a="http://schemas.openxmlformats.org/drawingml/2006/main">
                                    <a:graphicData uri="http://schemas.openxmlformats.org/drawingml/2006/picture">
                                      <pic:pic xmlns:pic="http://schemas.openxmlformats.org/drawingml/2006/picture">
                                        <pic:nvPicPr>
                                          <pic:cNvPr id="32" name="Picture 32" descr="C:\Users\BonneyC\AppData\Local\Microsoft\Windows\INetCache\Content.Outlook\TLVUHO5O\UQ-PBC-Logo Lockup-Purple.png"/>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30400" cy="1359535"/>
                                          </a:xfrm>
                                          <a:prstGeom prst="rect">
                                            <a:avLst/>
                                          </a:prstGeom>
                                          <a:noFill/>
                                          <a:ln>
                                            <a:noFill/>
                                          </a:ln>
                                        </pic:spPr>
                                      </pic:pic>
                                    </a:graphicData>
                                  </a:graphic>
                                </wp:inline>
                              </w:drawing>
                            </w:r>
                          </w:p>
                        </w:tc>
                        <w:tc>
                          <w:tcPr>
                            <w:tcW w:w="3024" w:type="dxa"/>
                            <w:vAlign w:val="center"/>
                          </w:tcPr>
                          <w:p w14:paraId="38CEAB86" w14:textId="77777777" w:rsidR="00671B6F" w:rsidRDefault="00671B6F" w:rsidP="003629DD">
                            <w:pPr>
                              <w:pStyle w:val="FootnoteText"/>
                              <w:tabs>
                                <w:tab w:val="left" w:pos="1260"/>
                              </w:tabs>
                            </w:pPr>
                            <w:r>
                              <w:rPr>
                                <w:noProof/>
                                <w:lang w:eastAsia="en-AU"/>
                              </w:rPr>
                              <w:drawing>
                                <wp:inline distT="0" distB="0" distL="0" distR="0" wp14:anchorId="5BBB9709" wp14:editId="469E1680">
                                  <wp:extent cx="1549400" cy="444500"/>
                                  <wp:effectExtent l="0" t="0" r="0" b="0"/>
                                  <wp:docPr id="24" name="Picture 24" descr="C:\Users\BonneyC\Desktop\AWAVA Logo USE THIS ONE.jpg"/>
                                  <wp:cNvGraphicFramePr/>
                                  <a:graphic xmlns:a="http://schemas.openxmlformats.org/drawingml/2006/main">
                                    <a:graphicData uri="http://schemas.openxmlformats.org/drawingml/2006/picture">
                                      <pic:pic xmlns:pic="http://schemas.openxmlformats.org/drawingml/2006/picture">
                                        <pic:nvPicPr>
                                          <pic:cNvPr id="31" name="Picture 31" descr="C:\Users\BonneyC\Desktop\AWAVA Logo USE THIS ONE.jpg"/>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9400" cy="444500"/>
                                          </a:xfrm>
                                          <a:prstGeom prst="rect">
                                            <a:avLst/>
                                          </a:prstGeom>
                                          <a:noFill/>
                                          <a:ln>
                                            <a:noFill/>
                                          </a:ln>
                                        </pic:spPr>
                                      </pic:pic>
                                    </a:graphicData>
                                  </a:graphic>
                                </wp:inline>
                              </w:drawing>
                            </w:r>
                          </w:p>
                        </w:tc>
                      </w:tr>
                    </w:tbl>
                    <w:p w14:paraId="674FF897" w14:textId="77777777" w:rsidR="00671B6F" w:rsidRPr="008135CA" w:rsidRDefault="00671B6F" w:rsidP="00CF1622">
                      <w:pPr>
                        <w:rPr>
                          <w:color w:val="000000" w:themeColor="text1"/>
                        </w:rPr>
                      </w:pPr>
                    </w:p>
                    <w:p w14:paraId="2EEC0BCB" w14:textId="77777777" w:rsidR="00671B6F" w:rsidRDefault="00671B6F"/>
                  </w:txbxContent>
                </v:textbox>
              </v:shape>
            </w:pict>
          </mc:Fallback>
        </mc:AlternateContent>
      </w:r>
      <w:r w:rsidR="003629DD">
        <w:rPr>
          <w:rFonts w:cs="Arial"/>
          <w:noProof/>
          <w:sz w:val="20"/>
          <w:lang w:eastAsia="en-AU"/>
        </w:rPr>
        <mc:AlternateContent>
          <mc:Choice Requires="wps">
            <w:drawing>
              <wp:anchor distT="0" distB="0" distL="114300" distR="114300" simplePos="0" relativeHeight="251661822" behindDoc="0" locked="0" layoutInCell="1" allowOverlap="1" wp14:anchorId="5165C9CE" wp14:editId="7EA8DE1E">
                <wp:simplePos x="0" y="0"/>
                <wp:positionH relativeFrom="column">
                  <wp:posOffset>-900430</wp:posOffset>
                </wp:positionH>
                <wp:positionV relativeFrom="paragraph">
                  <wp:posOffset>-1440180</wp:posOffset>
                </wp:positionV>
                <wp:extent cx="7560310" cy="7974957"/>
                <wp:effectExtent l="0" t="0" r="0" b="1270"/>
                <wp:wrapNone/>
                <wp:docPr id="22" name="Rectangle 22"/>
                <wp:cNvGraphicFramePr/>
                <a:graphic xmlns:a="http://schemas.openxmlformats.org/drawingml/2006/main">
                  <a:graphicData uri="http://schemas.microsoft.com/office/word/2010/wordprocessingShape">
                    <wps:wsp>
                      <wps:cNvSpPr/>
                      <wps:spPr>
                        <a:xfrm>
                          <a:off x="0" y="0"/>
                          <a:ext cx="7560310" cy="797495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23A2D" id="Rectangle 22" o:spid="_x0000_s1026" style="position:absolute;margin-left:-70.9pt;margin-top:-113.4pt;width:595.3pt;height:627.95pt;z-index:2516618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" fillcolor="#5b9bd5 [3204]" stroked="f" strokeweight="1pt"/>
            </w:pict>
          </mc:Fallback>
        </mc:AlternateContent>
      </w:r>
    </w:p>
    <w:sectPr w:rsidR="00254D01" w:rsidSect="003629DD">
      <w:footerReference w:type="default" r:id="rId40"/>
      <w:footerReference w:type="first" r:id="rId41"/>
      <w:endnotePr>
        <w:numFmt w:val="decimal"/>
      </w:endnotePr>
      <w:type w:val="continuous"/>
      <w:pgSz w:w="11906" w:h="16838"/>
      <w:pgMar w:top="226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42D53" w14:textId="77777777" w:rsidR="002C61EE" w:rsidRDefault="002C61EE" w:rsidP="00CD4429">
      <w:pPr>
        <w:spacing w:after="0" w:line="240" w:lineRule="auto"/>
      </w:pPr>
      <w:r>
        <w:separator/>
      </w:r>
    </w:p>
  </w:endnote>
  <w:endnote w:type="continuationSeparator" w:id="0">
    <w:p w14:paraId="32FBE86F" w14:textId="77777777" w:rsidR="002C61EE" w:rsidRDefault="002C61EE" w:rsidP="00CD4429">
      <w:pPr>
        <w:spacing w:after="0" w:line="240" w:lineRule="auto"/>
      </w:pPr>
      <w:r>
        <w:continuationSeparator/>
      </w:r>
    </w:p>
  </w:endnote>
  <w:endnote w:id="1">
    <w:p w14:paraId="69367C12" w14:textId="77777777" w:rsidR="00671B6F" w:rsidRDefault="00671B6F" w:rsidP="008135CA">
      <w:pPr>
        <w:pStyle w:val="FootnoteText"/>
        <w:tabs>
          <w:tab w:val="left" w:pos="1260"/>
        </w:tabs>
      </w:pPr>
      <w:r>
        <w:tab/>
      </w:r>
    </w:p>
    <w:p w14:paraId="218509FA" w14:textId="77777777" w:rsidR="00671B6F" w:rsidRDefault="00671B6F" w:rsidP="008135CA">
      <w:pPr>
        <w:pStyle w:val="FootnoteText"/>
        <w:tabs>
          <w:tab w:val="left" w:pos="1260"/>
        </w:tabs>
      </w:pPr>
    </w:p>
    <w:p w14:paraId="5AFFE548" w14:textId="77777777" w:rsidR="00671B6F" w:rsidRDefault="00671B6F" w:rsidP="008135CA">
      <w:pPr>
        <w:pStyle w:val="FootnoteText"/>
        <w:tabs>
          <w:tab w:val="left" w:pos="1260"/>
        </w:tabs>
      </w:pPr>
    </w:p>
    <w:p w14:paraId="75AA0516" w14:textId="40D95AAF" w:rsidR="00671B6F" w:rsidRPr="008135CA" w:rsidRDefault="00671B6F" w:rsidP="008135CA">
      <w:pPr>
        <w:pStyle w:val="FootnoteText"/>
        <w:tabs>
          <w:tab w:val="left" w:pos="1260"/>
        </w:tabs>
      </w:pPr>
      <w:r>
        <w:t xml:space="preserve">         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34D8" w14:textId="21F46B40" w:rsidR="00671B6F" w:rsidRPr="00071E5A" w:rsidRDefault="00671B6F" w:rsidP="0049511D">
    <w:pPr>
      <w:pStyle w:val="Folios"/>
    </w:pPr>
    <w:r w:rsidRPr="00071E5A">
      <w:t xml:space="preserve">Safe </w:t>
    </w:r>
    <w:r>
      <w:t>a</w:t>
    </w:r>
    <w:r w:rsidRPr="00071E5A">
      <w:t xml:space="preserve">ccess </w:t>
    </w:r>
    <w:r>
      <w:t>z</w:t>
    </w:r>
    <w:r w:rsidRPr="00071E5A">
      <w:t>ones in Australia</w:t>
    </w:r>
    <w:r w:rsidRPr="00071E5A">
      <w:tab/>
      <w:t xml:space="preserve"> </w:t>
    </w:r>
    <w:r w:rsidRPr="00071E5A">
      <w:tab/>
    </w:r>
    <w:r w:rsidRPr="00071E5A">
      <w:tab/>
    </w:r>
    <w:r w:rsidRPr="00071E5A">
      <w:tab/>
    </w:r>
    <w:r w:rsidRPr="00071E5A">
      <w:tab/>
    </w:r>
    <w:r w:rsidRPr="00071E5A">
      <w:tab/>
    </w:r>
    <w:r w:rsidRPr="00071E5A">
      <w:tab/>
    </w:r>
    <w:r w:rsidRPr="00071E5A">
      <w:tab/>
      <w:t xml:space="preserve">Page </w:t>
    </w:r>
    <w:r w:rsidRPr="00071E5A">
      <w:fldChar w:fldCharType="begin"/>
    </w:r>
    <w:r w:rsidRPr="00071E5A">
      <w:instrText xml:space="preserve"> PAGE   \* MERGEFORMAT </w:instrText>
    </w:r>
    <w:r w:rsidRPr="00071E5A">
      <w:fldChar w:fldCharType="separate"/>
    </w:r>
    <w:r w:rsidR="00020591">
      <w:rPr>
        <w:noProof/>
      </w:rPr>
      <w:t>42</w:t>
    </w:r>
    <w:r w:rsidRPr="00071E5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EDCFE" w14:textId="0A3C9996" w:rsidR="00671B6F" w:rsidRDefault="00671B6F">
    <w:pPr>
      <w:pStyle w:val="Footer"/>
    </w:pPr>
    <w:r w:rsidRPr="000206EC">
      <w:rPr>
        <w:noProof/>
        <w:lang w:eastAsia="en-AU"/>
      </w:rPr>
      <w:drawing>
        <wp:anchor distT="0" distB="0" distL="114300" distR="114300" simplePos="0" relativeHeight="251659264" behindDoc="0" locked="0" layoutInCell="1" allowOverlap="1" wp14:anchorId="7F6452F0" wp14:editId="4404D14A">
          <wp:simplePos x="0" y="0"/>
          <wp:positionH relativeFrom="column">
            <wp:posOffset>2019300</wp:posOffset>
          </wp:positionH>
          <wp:positionV relativeFrom="paragraph">
            <wp:posOffset>-1108075</wp:posOffset>
          </wp:positionV>
          <wp:extent cx="1930400" cy="1359535"/>
          <wp:effectExtent l="0" t="0" r="0" b="0"/>
          <wp:wrapNone/>
          <wp:docPr id="11" name="Picture 11" descr="C:\Users\BonneyC\AppData\Local\Microsoft\Windows\INetCache\Content.Outlook\TLVUHO5O\UQ-PBC-Logo Locku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eyC\AppData\Local\Microsoft\Windows\INetCache\Content.Outlook\TLVUHO5O\UQ-PBC-Logo Lockup-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C38">
      <w:rPr>
        <w:noProof/>
        <w:lang w:eastAsia="en-AU"/>
      </w:rPr>
      <w:drawing>
        <wp:anchor distT="0" distB="0" distL="114300" distR="114300" simplePos="0" relativeHeight="251660288" behindDoc="0" locked="0" layoutInCell="1" allowOverlap="1" wp14:anchorId="0451117E" wp14:editId="7CE6F9A9">
          <wp:simplePos x="0" y="0"/>
          <wp:positionH relativeFrom="column">
            <wp:posOffset>-114300</wp:posOffset>
          </wp:positionH>
          <wp:positionV relativeFrom="paragraph">
            <wp:posOffset>-668020</wp:posOffset>
          </wp:positionV>
          <wp:extent cx="1727200" cy="460375"/>
          <wp:effectExtent l="0" t="0" r="0" b="0"/>
          <wp:wrapNone/>
          <wp:docPr id="12" name="Picture 12" descr="C:\Users\BonneyC\Desktop\MSA-Master-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eyC\Desktop\MSA-Master-Logo-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72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3DC">
      <w:rPr>
        <w:noProof/>
        <w:lang w:eastAsia="en-AU"/>
      </w:rPr>
      <w:drawing>
        <wp:anchor distT="0" distB="0" distL="114300" distR="114300" simplePos="0" relativeHeight="251661312" behindDoc="0" locked="0" layoutInCell="1" allowOverlap="1" wp14:anchorId="0FAA9C67" wp14:editId="07DDD855">
          <wp:simplePos x="0" y="0"/>
          <wp:positionH relativeFrom="column">
            <wp:posOffset>4356100</wp:posOffset>
          </wp:positionH>
          <wp:positionV relativeFrom="paragraph">
            <wp:posOffset>-659765</wp:posOffset>
          </wp:positionV>
          <wp:extent cx="1549400" cy="444500"/>
          <wp:effectExtent l="0" t="0" r="0" b="0"/>
          <wp:wrapNone/>
          <wp:docPr id="13" name="Picture 13" descr="C:\Users\BonneyC\Desktop\AWAVA Logo USE THI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eyC\Desktop\AWAVA Logo USE THIS ON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94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9B4E9" w14:textId="77777777" w:rsidR="002C61EE" w:rsidRDefault="002C61EE" w:rsidP="00CD4429">
      <w:pPr>
        <w:spacing w:after="0" w:line="240" w:lineRule="auto"/>
      </w:pPr>
      <w:r>
        <w:separator/>
      </w:r>
    </w:p>
  </w:footnote>
  <w:footnote w:type="continuationSeparator" w:id="0">
    <w:p w14:paraId="54BB6A10" w14:textId="77777777" w:rsidR="002C61EE" w:rsidRDefault="002C61EE" w:rsidP="00CD4429">
      <w:pPr>
        <w:spacing w:after="0" w:line="240" w:lineRule="auto"/>
      </w:pPr>
      <w:r>
        <w:continuationSeparator/>
      </w:r>
    </w:p>
  </w:footnote>
  <w:footnote w:id="1">
    <w:p w14:paraId="431B9C6D" w14:textId="7B08750A" w:rsidR="00671B6F" w:rsidRPr="001C299D" w:rsidRDefault="00671B6F">
      <w:pPr>
        <w:pStyle w:val="FootnoteText"/>
        <w:rPr>
          <w:lang w:val="en-US"/>
        </w:rPr>
      </w:pPr>
      <w:r>
        <w:rPr>
          <w:rStyle w:val="FootnoteReference"/>
        </w:rPr>
        <w:footnoteRef/>
      </w:r>
      <w:r>
        <w:t xml:space="preserve"> Australian Bureau of Statistics (2010). </w:t>
      </w:r>
      <w:r w:rsidRPr="007570AE">
        <w:t>1370.0 - Measures of Australia's Progress, 2010</w:t>
      </w:r>
      <w:r>
        <w:t xml:space="preserve">. Accessed 28 August 2020 </w:t>
      </w:r>
      <w:r w:rsidRPr="007570AE">
        <w:t>https://www.abs.gov.au/ausstats/abs@.nsf/Lookup/by%20Subject/1370.0~2010~Chapter~Feelings%20of%20safety%20(4.4.4)</w:t>
      </w:r>
    </w:p>
  </w:footnote>
  <w:footnote w:id="2">
    <w:p w14:paraId="1BD1A67E" w14:textId="77777777" w:rsidR="00671B6F" w:rsidRPr="00347C67" w:rsidRDefault="00671B6F" w:rsidP="00F71C97">
      <w:pPr>
        <w:pStyle w:val="FootnoteText"/>
        <w:rPr>
          <w:lang w:val="en-US"/>
        </w:rPr>
      </w:pPr>
      <w:r w:rsidRPr="00F865AE">
        <w:rPr>
          <w:rStyle w:val="FootnoteReference"/>
          <w:rFonts w:cs="Arial"/>
        </w:rPr>
        <w:footnoteRef/>
      </w:r>
      <w:r w:rsidRPr="00F865AE">
        <w:rPr>
          <w:rFonts w:cs="Arial"/>
        </w:rPr>
        <w:t xml:space="preserve"> Committee on the Elimination of Discrimination against Women (2018), </w:t>
      </w:r>
      <w:r w:rsidRPr="00F865AE">
        <w:rPr>
          <w:rFonts w:cs="Arial"/>
          <w:bCs/>
        </w:rPr>
        <w:t>CEDAW/C/AUS/CO/8:</w:t>
      </w:r>
      <w:r w:rsidRPr="00F865AE">
        <w:rPr>
          <w:rFonts w:cs="Arial"/>
          <w:b/>
          <w:bCs/>
        </w:rPr>
        <w:t xml:space="preserve"> </w:t>
      </w:r>
      <w:r w:rsidRPr="00F865AE">
        <w:rPr>
          <w:rFonts w:cs="Arial"/>
        </w:rPr>
        <w:t>Concluding observations on the 8th periodic report of Australia viewed on 27 July 2020 at &lt; https://digitallibrary.un.org/record/1641944?ln=en&gt;.</w:t>
      </w:r>
    </w:p>
  </w:footnote>
  <w:footnote w:id="3">
    <w:p w14:paraId="54ECFC93" w14:textId="77777777" w:rsidR="00671B6F" w:rsidRPr="00F865AE" w:rsidRDefault="00671B6F" w:rsidP="00055B21">
      <w:pPr>
        <w:pStyle w:val="FootnoteText"/>
        <w:rPr>
          <w:rFonts w:cs="Arial"/>
          <w:lang w:val="en-US"/>
        </w:rPr>
      </w:pPr>
      <w:r w:rsidRPr="00F865AE">
        <w:rPr>
          <w:rStyle w:val="FootnoteReference"/>
          <w:rFonts w:cs="Arial"/>
        </w:rPr>
        <w:footnoteRef/>
      </w:r>
      <w:r w:rsidRPr="00F865AE">
        <w:rPr>
          <w:rFonts w:cs="Arial"/>
        </w:rPr>
        <w:t xml:space="preserve"> Committee on the Elimination of Discrimination against Women (2018), </w:t>
      </w:r>
      <w:r w:rsidRPr="00F865AE">
        <w:rPr>
          <w:rFonts w:cs="Arial"/>
          <w:bCs/>
        </w:rPr>
        <w:t>CEDAW/C/AUS/CO/8:</w:t>
      </w:r>
      <w:r w:rsidRPr="00F865AE">
        <w:rPr>
          <w:rFonts w:cs="Arial"/>
          <w:b/>
          <w:bCs/>
        </w:rPr>
        <w:t xml:space="preserve"> </w:t>
      </w:r>
      <w:r w:rsidRPr="00F865AE">
        <w:rPr>
          <w:rFonts w:cs="Arial"/>
        </w:rPr>
        <w:t>Concluding observations on the 8th periodic report of Australia viewed on 27 July 2020 at &lt; https://digitallibrary.un.org/record/1641944?ln=en&gt;.</w:t>
      </w:r>
    </w:p>
  </w:footnote>
  <w:footnote w:id="4">
    <w:p w14:paraId="22A27436" w14:textId="77777777" w:rsidR="00671B6F" w:rsidRPr="00F865AE" w:rsidRDefault="00671B6F" w:rsidP="00865BC8">
      <w:pPr>
        <w:pStyle w:val="FootnoteText"/>
        <w:rPr>
          <w:rFonts w:cs="Arial"/>
          <w:lang w:val="en-US"/>
        </w:rPr>
      </w:pPr>
      <w:r w:rsidRPr="00F865AE">
        <w:rPr>
          <w:rStyle w:val="FootnoteReference"/>
          <w:rFonts w:cs="Arial"/>
        </w:rPr>
        <w:footnoteRef/>
      </w:r>
      <w:r w:rsidRPr="00F865AE">
        <w:rPr>
          <w:rFonts w:cs="Arial"/>
        </w:rPr>
        <w:t xml:space="preserve"> Office of the United Nations High Commissioner (2020), Sexual and Reproductive Health and Rights, viewed on 27 July 2020 at &lt;https://www.ohchr.org/en/issues/women/wrgs/pages/healthrights.asp&gt;</w:t>
      </w:r>
    </w:p>
  </w:footnote>
  <w:footnote w:id="5">
    <w:p w14:paraId="4D51092B" w14:textId="77777777" w:rsidR="00671B6F" w:rsidRPr="00347C67" w:rsidRDefault="00671B6F">
      <w:pPr>
        <w:pStyle w:val="FootnoteText"/>
        <w:rPr>
          <w:lang w:val="en-US"/>
        </w:rPr>
      </w:pPr>
      <w:r w:rsidRPr="00F865AE">
        <w:rPr>
          <w:rStyle w:val="FootnoteReference"/>
          <w:rFonts w:cs="Arial"/>
        </w:rPr>
        <w:footnoteRef/>
      </w:r>
      <w:r w:rsidRPr="00F865AE">
        <w:rPr>
          <w:rFonts w:cs="Arial"/>
        </w:rPr>
        <w:t xml:space="preserve"> Committee on the Elimination of Discrimination against Women (2018), </w:t>
      </w:r>
      <w:r w:rsidRPr="00F865AE">
        <w:rPr>
          <w:rFonts w:cs="Arial"/>
          <w:bCs/>
        </w:rPr>
        <w:t>CEDAW/C/AUS/CO/8:</w:t>
      </w:r>
      <w:r w:rsidRPr="00F865AE">
        <w:rPr>
          <w:rFonts w:cs="Arial"/>
          <w:b/>
          <w:bCs/>
        </w:rPr>
        <w:t xml:space="preserve"> </w:t>
      </w:r>
      <w:r w:rsidRPr="00F865AE">
        <w:rPr>
          <w:rFonts w:cs="Arial"/>
        </w:rPr>
        <w:t>Concluding observations on the 8th periodic report of Australia viewed on 27 July 2020 at &lt; https://digitallibrary.un.org/record/1641944?ln=en&gt;.</w:t>
      </w:r>
    </w:p>
  </w:footnote>
  <w:footnote w:id="6">
    <w:p w14:paraId="38D99063"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Termination of Pregnancy Act 2018 (Qld) s 14. </w:t>
      </w:r>
    </w:p>
  </w:footnote>
  <w:footnote w:id="7">
    <w:p w14:paraId="0D84F0AC"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Queensland Law Reform Commission (QLRC), Review of termination of pregnancy laws (Report, June 2018) 5. </w:t>
      </w:r>
    </w:p>
  </w:footnote>
  <w:footnote w:id="8">
    <w:p w14:paraId="4011ADA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w:t>
      </w:r>
      <w:r w:rsidRPr="009A2C73">
        <w:rPr>
          <w:rFonts w:cs="Arial"/>
          <w:color w:val="000000"/>
          <w:szCs w:val="20"/>
        </w:rPr>
        <w:t xml:space="preserve">Public Health Act 2010 (NSW) </w:t>
      </w:r>
      <w:r w:rsidRPr="009A2C73">
        <w:rPr>
          <w:rFonts w:cs="Arial"/>
          <w:szCs w:val="20"/>
        </w:rPr>
        <w:t>s 98C.</w:t>
      </w:r>
    </w:p>
  </w:footnote>
  <w:footnote w:id="9">
    <w:p w14:paraId="013EEDB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98D.</w:t>
      </w:r>
    </w:p>
  </w:footnote>
  <w:footnote w:id="10">
    <w:p w14:paraId="6631E1A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98E.</w:t>
      </w:r>
    </w:p>
  </w:footnote>
  <w:footnote w:id="11">
    <w:p w14:paraId="22AB1758"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98C, 98D, 98E. </w:t>
      </w:r>
    </w:p>
  </w:footnote>
  <w:footnote w:id="12">
    <w:p w14:paraId="18AB4F1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Public Health and Wellbeing Act 2008 (Vic) s 185B(1). </w:t>
      </w:r>
    </w:p>
  </w:footnote>
  <w:footnote w:id="13">
    <w:p w14:paraId="7F05905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w:t>
      </w:r>
    </w:p>
  </w:footnote>
  <w:footnote w:id="14">
    <w:p w14:paraId="1380921D"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Victoria State Government (Health and Human Services), ‘Safe Access Zones around Abortion Clinics: Information for stakeholders’ (April 2016).</w:t>
      </w:r>
    </w:p>
  </w:footnote>
  <w:footnote w:id="15">
    <w:p w14:paraId="467210E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Public Health and Wellbeing Act 2008 (Vic) s 185D. </w:t>
      </w:r>
    </w:p>
  </w:footnote>
  <w:footnote w:id="16">
    <w:p w14:paraId="20FFCB8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185B(2). </w:t>
      </w:r>
    </w:p>
  </w:footnote>
  <w:footnote w:id="17">
    <w:p w14:paraId="1030EBAB"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185B (definition of ‘prohibited behaviour’). </w:t>
      </w:r>
    </w:p>
  </w:footnote>
  <w:footnote w:id="18">
    <w:p w14:paraId="3FCDB3D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185E. </w:t>
      </w:r>
    </w:p>
  </w:footnote>
  <w:footnote w:id="19">
    <w:p w14:paraId="517A470E"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185D.</w:t>
      </w:r>
    </w:p>
  </w:footnote>
  <w:footnote w:id="20">
    <w:p w14:paraId="5B04C42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185E. </w:t>
      </w:r>
    </w:p>
  </w:footnote>
  <w:footnote w:id="21">
    <w:p w14:paraId="60E59409"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Reproductive Health (Access to Terminations) Act 2013 (Tas) s 9(1). </w:t>
      </w:r>
    </w:p>
  </w:footnote>
  <w:footnote w:id="22">
    <w:p w14:paraId="626CF9E1"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9(2). </w:t>
      </w:r>
    </w:p>
  </w:footnote>
  <w:footnote w:id="23">
    <w:p w14:paraId="09BB1A10"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9(4). </w:t>
      </w:r>
    </w:p>
  </w:footnote>
  <w:footnote w:id="24">
    <w:p w14:paraId="69E38BC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Northern Territory, Parliamentary Debates, 15 February 2017, 840 (N Fyles, Minister for Health). </w:t>
      </w:r>
    </w:p>
  </w:footnote>
  <w:footnote w:id="25">
    <w:p w14:paraId="597786A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Termination of Pregnancy Law Reform Act 2017 (NT) s 4 (definition of ‘premises for performing terminations’). </w:t>
      </w:r>
    </w:p>
  </w:footnote>
  <w:footnote w:id="26">
    <w:p w14:paraId="5975713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Called ‘prohibited conduct’ in the Termination of Pregnancy Law Reform Act 2017 (NT). </w:t>
      </w:r>
    </w:p>
  </w:footnote>
  <w:footnote w:id="27">
    <w:p w14:paraId="0984F578"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Termination of Pregnancy Law Reform Act 2017 (NT) s 14(4). </w:t>
      </w:r>
    </w:p>
  </w:footnote>
  <w:footnote w:id="28">
    <w:p w14:paraId="4CC9AFB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15(1).</w:t>
      </w:r>
    </w:p>
  </w:footnote>
  <w:footnote w:id="29">
    <w:p w14:paraId="706614DB"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15(2).</w:t>
      </w:r>
    </w:p>
  </w:footnote>
  <w:footnote w:id="30">
    <w:p w14:paraId="173B038E"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15(3)</w:t>
      </w:r>
    </w:p>
  </w:footnote>
  <w:footnote w:id="31">
    <w:p w14:paraId="4E042AF0"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14(1).</w:t>
      </w:r>
    </w:p>
  </w:footnote>
  <w:footnote w:id="32">
    <w:p w14:paraId="10F0168D"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s 15(1).</w:t>
      </w:r>
    </w:p>
  </w:footnote>
  <w:footnote w:id="33">
    <w:p w14:paraId="659DDF2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Public Health Act 2010 (NSW) s 98A. </w:t>
      </w:r>
    </w:p>
  </w:footnote>
  <w:footnote w:id="34">
    <w:p w14:paraId="7486193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Termination of Pregnancy Law Reform Act 2017 (NT) s 4. </w:t>
      </w:r>
    </w:p>
  </w:footnote>
  <w:footnote w:id="35">
    <w:p w14:paraId="5782CC44"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Termination of Pregnancy Act 2018 (Qld) s 14.</w:t>
      </w:r>
    </w:p>
  </w:footnote>
  <w:footnote w:id="36">
    <w:p w14:paraId="4FE332D4"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Reproductive Health (Access to Terminations) Act 2013 (Tas) s 9(1). </w:t>
      </w:r>
    </w:p>
  </w:footnote>
  <w:footnote w:id="37">
    <w:p w14:paraId="5A21DEF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Public Health and Wellbeing Act 2008 (Vic) s 185B(1).  </w:t>
      </w:r>
    </w:p>
  </w:footnote>
  <w:footnote w:id="38">
    <w:p w14:paraId="60734514"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Clubb v Edwards; Preston v Avery [2019] HCA 11 (‘Clubb v Edwards’). </w:t>
      </w:r>
    </w:p>
  </w:footnote>
  <w:footnote w:id="39">
    <w:p w14:paraId="412DF59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Safe access zones – A proposal for reform in Western Australia (Report, 2020) 29. </w:t>
      </w:r>
    </w:p>
  </w:footnote>
  <w:footnote w:id="40">
    <w:p w14:paraId="1B32ABB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QLRC (n 2) xii. </w:t>
      </w:r>
    </w:p>
  </w:footnote>
  <w:footnote w:id="41">
    <w:p w14:paraId="01F19459"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Termination services premises is known as ‘reproductive health clinics’ in NSW; ‘premises for performing terminations’ in the NT; ‘premises at which terminations are provided’ in Tasmania; and ‘premises at which abortions are provided’ in Victoria. </w:t>
      </w:r>
    </w:p>
  </w:footnote>
  <w:footnote w:id="42">
    <w:p w14:paraId="2BD4D527"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The Reproductive Health (Access to Terminations) Act 2013 (Tas) does not provide a definition of ‘premises at which terminations are provided’. </w:t>
      </w:r>
    </w:p>
  </w:footnote>
  <w:footnote w:id="43">
    <w:p w14:paraId="1F020334"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See Public Health Act 2010 (NSW) s 98A (definition of ‘reproductive health clinic’); Termination of Pregnancy Law Reform Act 2017 (NT) s 4 (definition of ‘premises for performing terminations’); Termination of Pregnancy Act 2018 (Qld) s 13 (definition of ‘termination services premises’); Public Health and Wellbeing Act 2008 (Vic) 185B(1) (definition of ‘premises at which abortions are provided’).</w:t>
      </w:r>
    </w:p>
  </w:footnote>
  <w:footnote w:id="44">
    <w:p w14:paraId="2B4197B1"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Known as an ‘approved medical facility’ in the ACT see Health Act 1993 (ACT) s 80 (definition of ‘approved medical facility’). </w:t>
      </w:r>
    </w:p>
  </w:footnote>
  <w:footnote w:id="45">
    <w:p w14:paraId="0E6524D1"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Health Act 1993 (ACT) s 86. </w:t>
      </w:r>
    </w:p>
  </w:footnote>
  <w:footnote w:id="46">
    <w:p w14:paraId="59420C4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29.</w:t>
      </w:r>
    </w:p>
  </w:footnote>
  <w:footnote w:id="47">
    <w:p w14:paraId="55DE4CB9"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Ronli Sifris and Tania Penovic, ‘Anti-Abortion Protest and the Effectiveness of Victoria’s Safe Access Zones: An Analysis’, Monash University Law Review 44 (October 2018) 317, 319.</w:t>
      </w:r>
    </w:p>
  </w:footnote>
  <w:footnote w:id="48">
    <w:p w14:paraId="4C3226E1"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Clubb v Edwards (n 33).</w:t>
      </w:r>
    </w:p>
  </w:footnote>
  <w:footnote w:id="49">
    <w:p w14:paraId="3B0A5F21"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Other prohibited behaviour in ss 185(1)(a) and (b) (definition of ‘prohibited behaviour’) includes:</w:t>
      </w:r>
    </w:p>
    <w:p w14:paraId="17F04337" w14:textId="77777777" w:rsidR="00671B6F" w:rsidRPr="009A2C73" w:rsidRDefault="00671B6F" w:rsidP="009A2C73">
      <w:pPr>
        <w:pStyle w:val="Footnote"/>
        <w:spacing w:after="0" w:line="240" w:lineRule="auto"/>
        <w:contextualSpacing/>
        <w:rPr>
          <w:rFonts w:cs="Arial"/>
          <w:szCs w:val="20"/>
        </w:rPr>
      </w:pPr>
      <w:r w:rsidRPr="009A2C73">
        <w:rPr>
          <w:rFonts w:cs="Arial"/>
          <w:szCs w:val="20"/>
        </w:rPr>
        <w:t>(a) in relation to a person accessing, attempting to access, or leaving premises at which abortions are provided, besetting, harassing, intimidating, interfering with, threatening, hindering, obstructing or impeding that person by any means; or …</w:t>
      </w:r>
    </w:p>
    <w:p w14:paraId="774F60BB" w14:textId="77777777" w:rsidR="00671B6F" w:rsidRPr="009A2C73" w:rsidRDefault="00671B6F" w:rsidP="009A2C73">
      <w:pPr>
        <w:pStyle w:val="Footnote"/>
        <w:spacing w:after="0" w:line="240" w:lineRule="auto"/>
        <w:contextualSpacing/>
        <w:rPr>
          <w:rFonts w:cs="Arial"/>
          <w:szCs w:val="20"/>
        </w:rPr>
      </w:pPr>
      <w:r w:rsidRPr="009A2C73">
        <w:rPr>
          <w:rFonts w:cs="Arial"/>
          <w:szCs w:val="20"/>
        </w:rPr>
        <w:t>(c) interfering with or impeding a footpath, road or vehicle, without reasonable excuse, in relation to premise;</w:t>
      </w:r>
    </w:p>
  </w:footnote>
  <w:footnote w:id="50">
    <w:p w14:paraId="3B3ED84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South Australian Law Reform Institute (SALRI), Abortion: A Review of South Australian Law and Practice (Report, October 2019) 403.</w:t>
      </w:r>
    </w:p>
  </w:footnote>
  <w:footnote w:id="51">
    <w:p w14:paraId="74FBD67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Clubb v Edwards (n 33) 24 [89] (Kiefel CJ, Bell and Keane JJ). </w:t>
      </w:r>
    </w:p>
  </w:footnote>
  <w:footnote w:id="52">
    <w:p w14:paraId="7C5F4F5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SALRI (n 60) 403. </w:t>
      </w:r>
    </w:p>
  </w:footnote>
  <w:footnote w:id="53">
    <w:p w14:paraId="6F72F0B3"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Clubb v Edwards (n 33) 166-167 [475].</w:t>
      </w:r>
    </w:p>
  </w:footnote>
  <w:footnote w:id="54">
    <w:p w14:paraId="2789033B"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47 [164]. </w:t>
      </w:r>
    </w:p>
  </w:footnote>
  <w:footnote w:id="55">
    <w:p w14:paraId="4E4DC02E"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QLRC (n 2) 162, referencing the definition of ‘watching and besetting’ in LexisNexis, Encyclopaedic Australian Legal Dictionary, referring to Re Van der Lubbe (1949) 49 SR (NSW) 309.  </w:t>
      </w:r>
    </w:p>
  </w:footnote>
  <w:footnote w:id="56">
    <w:p w14:paraId="17D2851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Health Act 1993 (ACT) s 85(2). </w:t>
      </w:r>
    </w:p>
  </w:footnote>
  <w:footnote w:id="57">
    <w:p w14:paraId="0247CDA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32.</w:t>
      </w:r>
    </w:p>
  </w:footnote>
  <w:footnote w:id="58">
    <w:p w14:paraId="17A8FF1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w:t>
      </w:r>
    </w:p>
  </w:footnote>
  <w:footnote w:id="59">
    <w:p w14:paraId="494E1DF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QLRC (n 2). </w:t>
      </w:r>
    </w:p>
  </w:footnote>
  <w:footnote w:id="60">
    <w:p w14:paraId="54E1A2E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w:t>
      </w:r>
      <w:r w:rsidRPr="009A2C73">
        <w:rPr>
          <w:rFonts w:eastAsia="Times New Roman" w:cs="Arial"/>
          <w:szCs w:val="20"/>
        </w:rPr>
        <w:t>(1992) 177 CLR 1.</w:t>
      </w:r>
    </w:p>
  </w:footnote>
  <w:footnote w:id="61">
    <w:p w14:paraId="6F33DEB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w:t>
      </w:r>
      <w:r w:rsidRPr="009A2C73">
        <w:rPr>
          <w:rFonts w:eastAsia="Times New Roman" w:cs="Arial"/>
          <w:szCs w:val="20"/>
        </w:rPr>
        <w:t>(1992) 177 CLR 106.</w:t>
      </w:r>
    </w:p>
  </w:footnote>
  <w:footnote w:id="62">
    <w:p w14:paraId="33F33DE3"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w:t>
      </w:r>
      <w:r w:rsidRPr="009A2C73">
        <w:rPr>
          <w:rFonts w:eastAsia="Times New Roman" w:cs="Arial"/>
          <w:szCs w:val="20"/>
        </w:rPr>
        <w:t>(‘Lange’).</w:t>
      </w:r>
    </w:p>
  </w:footnote>
  <w:footnote w:id="63">
    <w:p w14:paraId="159A049C"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McCloy v New South Wales (2015) 257 CLR 178, 194. </w:t>
      </w:r>
    </w:p>
  </w:footnote>
  <w:footnote w:id="64">
    <w:p w14:paraId="50AF91A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Clubb v Edwards (n 33). </w:t>
      </w:r>
    </w:p>
  </w:footnote>
  <w:footnote w:id="65">
    <w:p w14:paraId="7A73FB0D"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South Australian Law Reform Institute (SALRI), Abortion: A Review of South Australian Law and Practice (Report, October 2019) 401.</w:t>
      </w:r>
    </w:p>
  </w:footnote>
  <w:footnote w:id="66">
    <w:p w14:paraId="4E7308D3"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Levy v Victoria (1997) 189 CLR 579, 608.</w:t>
      </w:r>
    </w:p>
  </w:footnote>
  <w:footnote w:id="67">
    <w:p w14:paraId="2E265E18"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Clubb v Edwards (n 33) [121], [500].</w:t>
      </w:r>
    </w:p>
  </w:footnote>
  <w:footnote w:id="68">
    <w:p w14:paraId="10F4979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SALRI (n 60) 403.</w:t>
      </w:r>
    </w:p>
  </w:footnote>
  <w:footnote w:id="69">
    <w:p w14:paraId="1268194E"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Clubb v Edwards (n 33) [94].</w:t>
      </w:r>
    </w:p>
  </w:footnote>
  <w:footnote w:id="70">
    <w:p w14:paraId="3E9F8793"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SALRI (n 60) 415.</w:t>
      </w:r>
    </w:p>
  </w:footnote>
  <w:footnote w:id="71">
    <w:p w14:paraId="0920DBC3"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416. </w:t>
      </w:r>
    </w:p>
  </w:footnote>
  <w:footnote w:id="72">
    <w:p w14:paraId="4C9B74A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419.</w:t>
      </w:r>
    </w:p>
  </w:footnote>
  <w:footnote w:id="73">
    <w:p w14:paraId="02D6CF9D"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420. </w:t>
      </w:r>
    </w:p>
  </w:footnote>
  <w:footnote w:id="74">
    <w:p w14:paraId="05E75C3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w:t>
      </w:r>
    </w:p>
  </w:footnote>
  <w:footnote w:id="75">
    <w:p w14:paraId="17C90A24"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430. </w:t>
      </w:r>
    </w:p>
  </w:footnote>
  <w:footnote w:id="76">
    <w:p w14:paraId="1696C9FC"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1998 (WA). </w:t>
      </w:r>
    </w:p>
  </w:footnote>
  <w:footnote w:id="77">
    <w:p w14:paraId="31CF74A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Submissions to the Report for the Minister for Health, ‘Review of provisions of the Health Act 1911 and the Criminal Code relating to abortion as introduced by the Acts Amendment (Abortion) Act 1998’ (17 June 2002) 28. </w:t>
      </w:r>
    </w:p>
  </w:footnote>
  <w:footnote w:id="78">
    <w:p w14:paraId="7EBAA09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6.</w:t>
      </w:r>
    </w:p>
  </w:footnote>
  <w:footnote w:id="79">
    <w:p w14:paraId="58AF9D5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Induced Abortions in Western Australia: 2016 – 2018 (Report, November 2019) 41. </w:t>
      </w:r>
    </w:p>
  </w:footnote>
  <w:footnote w:id="80">
    <w:p w14:paraId="64347BDB"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6. </w:t>
      </w:r>
    </w:p>
  </w:footnote>
  <w:footnote w:id="81">
    <w:p w14:paraId="4C806B8E"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w:t>
      </w:r>
    </w:p>
  </w:footnote>
  <w:footnote w:id="82">
    <w:p w14:paraId="75AB0F1C"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w:t>
      </w:r>
    </w:p>
  </w:footnote>
  <w:footnote w:id="83">
    <w:p w14:paraId="3E6F8DEC"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w:t>
      </w:r>
    </w:p>
  </w:footnote>
  <w:footnote w:id="84">
    <w:p w14:paraId="58A46E2D"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74) 6-7.  </w:t>
      </w:r>
    </w:p>
  </w:footnote>
  <w:footnote w:id="85">
    <w:p w14:paraId="37238D37"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See e.g. Kate Hedley, ‘Anti-abortion protesters “upsetting clients” as they return to picket Perth clinic’, WAtoday (online, 29 May 2020) &lt;</w:t>
      </w:r>
      <w:hyperlink r:id="rId1" w:history="1">
        <w:r w:rsidRPr="009A2C73">
          <w:rPr>
            <w:rStyle w:val="Hyperlink"/>
            <w:rFonts w:cs="Arial"/>
            <w:szCs w:val="20"/>
          </w:rPr>
          <w:t>https://www.watoday.com.au/national/western-australia/anti-abortion-protesters-upsetting-clients-as-they-return-to-picket-perth-clinic-20200529-p54xoo.html</w:t>
        </w:r>
      </w:hyperlink>
      <w:r w:rsidRPr="009A2C73">
        <w:rPr>
          <w:rFonts w:cs="Arial"/>
          <w:szCs w:val="20"/>
        </w:rPr>
        <w:t>&gt;; Rhiannon Shine, ‘Abortion Clinic Safe Zones Months Away in WA as Government Criticised For Lagging Behind’, ABC News (online, 26 March 2019) &lt;</w:t>
      </w:r>
      <w:hyperlink r:id="rId2" w:history="1">
        <w:r w:rsidRPr="009A2C73">
          <w:rPr>
            <w:rStyle w:val="Hyperlink"/>
            <w:rFonts w:cs="Arial"/>
            <w:szCs w:val="20"/>
          </w:rPr>
          <w:t>https://www.abc.net.au/news/2019-03-26/abortion-clinic-safe-zones-considered-in-wa/10937920</w:t>
        </w:r>
      </w:hyperlink>
      <w:r w:rsidRPr="009A2C73">
        <w:rPr>
          <w:rFonts w:cs="Arial"/>
          <w:szCs w:val="20"/>
        </w:rPr>
        <w:t>&gt;; Cathy O’Leary, ‘Midland Abortion Clinic Staff Want “Safe Zones”’, Perth Now (online, 8 February 2019) &lt;</w:t>
      </w:r>
      <w:hyperlink r:id="rId3" w:history="1">
        <w:r w:rsidRPr="009A2C73">
          <w:rPr>
            <w:rStyle w:val="Hyperlink"/>
            <w:rFonts w:cs="Arial"/>
            <w:szCs w:val="20"/>
          </w:rPr>
          <w:t>https://www.perthnow.com.au/news/wa/midland-abortion-clinic-staff-want-safe-zones-ng-b881098721z</w:t>
        </w:r>
      </w:hyperlink>
      <w:r w:rsidRPr="009A2C73">
        <w:rPr>
          <w:rFonts w:cs="Arial"/>
          <w:szCs w:val="20"/>
        </w:rPr>
        <w:t>&gt;; Melissa Davey, ‘Protect Us From Anti-abortion Protesters, Say Women's Clinics in WA’, The Guardian (online, 26 January 2018) &lt;</w:t>
      </w:r>
      <w:hyperlink r:id="rId4" w:history="1">
        <w:r w:rsidRPr="009A2C73">
          <w:rPr>
            <w:rStyle w:val="Hyperlink"/>
            <w:rFonts w:cs="Arial"/>
            <w:szCs w:val="20"/>
          </w:rPr>
          <w:t>https://www.theguardian.com/world/2018/jan/26/protect-us-from-anti-abortion-protesters-say-womens-clinics-in-wa</w:t>
        </w:r>
      </w:hyperlink>
      <w:r w:rsidRPr="009A2C73">
        <w:rPr>
          <w:rFonts w:cs="Arial"/>
          <w:szCs w:val="20"/>
        </w:rPr>
        <w:t xml:space="preserve">&gt;. </w:t>
      </w:r>
    </w:p>
  </w:footnote>
  <w:footnote w:id="86">
    <w:p w14:paraId="69ED3ACA" w14:textId="77777777" w:rsidR="00671B6F" w:rsidRPr="009A2C73" w:rsidRDefault="00671B6F" w:rsidP="009A2C73">
      <w:pPr>
        <w:pStyle w:val="Footnote"/>
        <w:spacing w:after="0" w:line="240" w:lineRule="auto"/>
        <w:contextualSpacing/>
        <w:rPr>
          <w:rFonts w:cs="Arial"/>
          <w:szCs w:val="20"/>
        </w:rPr>
      </w:pPr>
      <w:r w:rsidRPr="009A2C73">
        <w:rPr>
          <w:rFonts w:cs="Arial"/>
          <w:szCs w:val="20"/>
        </w:rPr>
        <w:tab/>
      </w:r>
      <w:r w:rsidRPr="009A2C73">
        <w:rPr>
          <w:rStyle w:val="FootnoteReference"/>
          <w:rFonts w:cs="Arial"/>
          <w:szCs w:val="20"/>
        </w:rPr>
        <w:footnoteRef/>
      </w:r>
      <w:r w:rsidRPr="009A2C73">
        <w:rPr>
          <w:rFonts w:cs="Arial"/>
          <w:szCs w:val="20"/>
        </w:rPr>
        <w:t xml:space="preserve"> Kate Hedley, ‘Anti-abortion protesters “upsetting clients” as they return to picket Perth clinic’, WAtoday (online, 29 May 2020) &lt;</w:t>
      </w:r>
      <w:hyperlink r:id="rId5" w:history="1">
        <w:r w:rsidRPr="009A2C73">
          <w:rPr>
            <w:rStyle w:val="Hyperlink"/>
            <w:rFonts w:cs="Arial"/>
            <w:szCs w:val="20"/>
          </w:rPr>
          <w:t>https://www.watoday.com.au/national/western-australia/anti-abortion-protesters-upsetting-clients-as-they-return-to-picket-perth-clinic-20200529-p54xoo.html</w:t>
        </w:r>
      </w:hyperlink>
      <w:r w:rsidRPr="009A2C73">
        <w:rPr>
          <w:rFonts w:cs="Arial"/>
          <w:szCs w:val="20"/>
        </w:rPr>
        <w:t>&gt;</w:t>
      </w:r>
    </w:p>
  </w:footnote>
  <w:footnote w:id="87">
    <w:p w14:paraId="4CF53FFB"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eastAsiaTheme="majorEastAsia" w:cs="Arial"/>
          <w:szCs w:val="20"/>
        </w:rPr>
        <w:footnoteRef/>
      </w:r>
      <w:r w:rsidRPr="009A2C73">
        <w:rPr>
          <w:rFonts w:cs="Arial"/>
          <w:szCs w:val="20"/>
        </w:rPr>
        <w:t xml:space="preserve">Marie Stopes Australia, Sexual and Reproductive Health Rights in Australia: A request for collaboration and action to maintain contraceptive and abortion care throughout the SARS-COV-2 / COVID-19 pandemic (Situational Report, 15 June 2020) 6. </w:t>
      </w:r>
    </w:p>
  </w:footnote>
  <w:footnote w:id="88">
    <w:p w14:paraId="77A46FE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Government of Western Australia, ‘Government moves to introduce Bill for safe access zones in Western Australia’ (Media Statement, 10 February 2020).</w:t>
      </w:r>
    </w:p>
  </w:footnote>
  <w:footnote w:id="89">
    <w:p w14:paraId="7A65C41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20. </w:t>
      </w:r>
    </w:p>
  </w:footnote>
  <w:footnote w:id="90">
    <w:p w14:paraId="2D2071C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24. </w:t>
      </w:r>
    </w:p>
  </w:footnote>
  <w:footnote w:id="91">
    <w:p w14:paraId="50BAE8BE"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Government of Western Australia (n 83).  </w:t>
      </w:r>
    </w:p>
  </w:footnote>
  <w:footnote w:id="92">
    <w:p w14:paraId="2D7F92F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9.</w:t>
      </w:r>
    </w:p>
  </w:footnote>
  <w:footnote w:id="93">
    <w:p w14:paraId="12370F8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Government of Western Australia (n 83). </w:t>
      </w:r>
    </w:p>
  </w:footnote>
  <w:footnote w:id="94">
    <w:p w14:paraId="655BDED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QLRC (n 2) xii.</w:t>
      </w:r>
    </w:p>
  </w:footnote>
  <w:footnote w:id="95">
    <w:p w14:paraId="108204A1"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SALRI (n 60) 34. </w:t>
      </w:r>
    </w:p>
  </w:footnote>
  <w:footnote w:id="96">
    <w:p w14:paraId="66F85261"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30.</w:t>
      </w:r>
    </w:p>
  </w:footnote>
  <w:footnote w:id="97">
    <w:p w14:paraId="5F7D2E6D"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Sifris and Penovic (n 28) 338. </w:t>
      </w:r>
    </w:p>
  </w:footnote>
  <w:footnote w:id="98">
    <w:p w14:paraId="606AE79C"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Clubb v Edwards (n 33). </w:t>
      </w:r>
    </w:p>
  </w:footnote>
  <w:footnote w:id="99">
    <w:p w14:paraId="0044279D" w14:textId="59247B89"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Health Care (Health Access Zones) Amendment Bill 2019 (SA) s 48B </w:t>
      </w:r>
      <w:r>
        <w:rPr>
          <w:rFonts w:cs="Arial"/>
          <w:szCs w:val="20"/>
        </w:rPr>
        <w:br/>
      </w:r>
      <w:r w:rsidRPr="009A2C73">
        <w:rPr>
          <w:rFonts w:cs="Arial"/>
          <w:szCs w:val="20"/>
        </w:rPr>
        <w:t xml:space="preserve">(definition of ‘health access zone’). </w:t>
      </w:r>
    </w:p>
  </w:footnote>
  <w:footnote w:id="100">
    <w:p w14:paraId="51B060A4"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QLRC (n 2) 184. </w:t>
      </w:r>
    </w:p>
  </w:footnote>
  <w:footnote w:id="101">
    <w:p w14:paraId="76784CAB"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30. </w:t>
      </w:r>
    </w:p>
  </w:footnote>
  <w:footnote w:id="102">
    <w:p w14:paraId="0022233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SALRI (n 60) 427.</w:t>
      </w:r>
    </w:p>
  </w:footnote>
  <w:footnote w:id="103">
    <w:p w14:paraId="38AE1926"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Health Care (Safe Access) Amendment Bill 2020 (SA) s 45B.</w:t>
      </w:r>
    </w:p>
  </w:footnote>
  <w:footnote w:id="104">
    <w:p w14:paraId="0A079FAD"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 434.</w:t>
      </w:r>
    </w:p>
  </w:footnote>
  <w:footnote w:id="105">
    <w:p w14:paraId="61855BAE"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Termination of Pregnancy Act 2018 (Qld) ss 15 and 16. </w:t>
      </w:r>
    </w:p>
  </w:footnote>
  <w:footnote w:id="106">
    <w:p w14:paraId="541B0604"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Termination of Pregnancy Law Reform Act 2017 (NT) s 15. </w:t>
      </w:r>
    </w:p>
  </w:footnote>
  <w:footnote w:id="107">
    <w:p w14:paraId="2BC29F32"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Public Health and Wellbeing Act 2008 (Vic) s 185D. </w:t>
      </w:r>
    </w:p>
  </w:footnote>
  <w:footnote w:id="108">
    <w:p w14:paraId="64620F8A"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Reproductive Health (Access to Terminations) Act 2013 (Tas) s 9.</w:t>
      </w:r>
    </w:p>
  </w:footnote>
  <w:footnote w:id="109">
    <w:p w14:paraId="20FAFAD3"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Public Health Act 2010 (NSW), ss 98C, 98B and 98E. </w:t>
      </w:r>
    </w:p>
  </w:footnote>
  <w:footnote w:id="110">
    <w:p w14:paraId="57753463"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41.</w:t>
      </w:r>
    </w:p>
  </w:footnote>
  <w:footnote w:id="111">
    <w:p w14:paraId="46679B99"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Health Care (Health Access Zones) Amendment Bill 2019 (SA) s 48D. </w:t>
      </w:r>
    </w:p>
  </w:footnote>
  <w:footnote w:id="112">
    <w:p w14:paraId="0FC90A10"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See e.g. ‘Safe access zone bill in South Australia welcome, but amendments needed’, Human Rights Law Centre (online, 25 September 2019) &lt;</w:t>
      </w:r>
      <w:hyperlink r:id="rId6" w:history="1">
        <w:r w:rsidRPr="009A2C73">
          <w:rPr>
            <w:rStyle w:val="Hyperlink"/>
            <w:rFonts w:cs="Arial"/>
            <w:szCs w:val="20"/>
          </w:rPr>
          <w:t>https://www.hrlc.org.au/news/2019/9/25/safe-access-zone-bill-in-south-australia-welcome-but-amendments-needed</w:t>
        </w:r>
      </w:hyperlink>
      <w:r w:rsidRPr="009A2C73">
        <w:rPr>
          <w:rFonts w:cs="Arial"/>
          <w:szCs w:val="20"/>
        </w:rPr>
        <w:t xml:space="preserve">&gt;. </w:t>
      </w:r>
    </w:p>
  </w:footnote>
  <w:footnote w:id="113">
    <w:p w14:paraId="2E93B43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Department of Health (WA) (n 34) 41.</w:t>
      </w:r>
    </w:p>
  </w:footnote>
  <w:footnote w:id="114">
    <w:p w14:paraId="7376A3B5"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SALRI (n 60) 437. </w:t>
      </w:r>
    </w:p>
  </w:footnote>
  <w:footnote w:id="115">
    <w:p w14:paraId="29735A41"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Public Health and Wellbeing Act 2008 (Vic) s 185D.</w:t>
      </w:r>
    </w:p>
  </w:footnote>
  <w:footnote w:id="116">
    <w:p w14:paraId="495A410F" w14:textId="77777777" w:rsidR="00671B6F" w:rsidRPr="009A2C73" w:rsidRDefault="00671B6F" w:rsidP="009A2C73">
      <w:pPr>
        <w:pStyle w:val="Footnote"/>
        <w:spacing w:after="0" w:line="240" w:lineRule="auto"/>
        <w:contextualSpacing/>
        <w:rPr>
          <w:rFonts w:cs="Arial"/>
          <w:szCs w:val="20"/>
        </w:rPr>
      </w:pPr>
      <w:r w:rsidRPr="009A2C73">
        <w:rPr>
          <w:rStyle w:val="FootnoteReference"/>
          <w:rFonts w:cs="Arial"/>
          <w:szCs w:val="20"/>
        </w:rPr>
        <w:footnoteRef/>
      </w:r>
      <w:r w:rsidRPr="009A2C73">
        <w:rPr>
          <w:rFonts w:cs="Arial"/>
          <w:szCs w:val="20"/>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7" type="#_x0000_t75" style="width:12.75pt;height:12.75pt;visibility:visible;mso-wrap-style:square" o:bullet="t">
        <v:imagedata r:id="rId1" o:title=""/>
      </v:shape>
    </w:pict>
  </w:numPicBullet>
  <w:abstractNum w:abstractNumId="0" w15:restartNumberingAfterBreak="0">
    <w:nsid w:val="FFFFFF80"/>
    <w:multiLevelType w:val="singleLevel"/>
    <w:tmpl w:val="26F02CC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3BC4A6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BAE782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EDA23F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FD6CE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9175A9"/>
    <w:multiLevelType w:val="hybridMultilevel"/>
    <w:tmpl w:val="4B64C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DC3099"/>
    <w:multiLevelType w:val="hybridMultilevel"/>
    <w:tmpl w:val="20BAE810"/>
    <w:lvl w:ilvl="0" w:tplc="4C5A903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cs="Times New Roman" w:hint="default"/>
        <w:b/>
        <w:i w:val="0"/>
        <w:caps w:val="0"/>
        <w:strike w:val="0"/>
        <w:dstrike w:val="0"/>
        <w:vanish w:val="0"/>
        <w:webHidden w:val="0"/>
        <w:color w:val="5B9BD5" w:themeColor="accent1"/>
        <w:sz w:val="48"/>
        <w:u w:val="none"/>
        <w:effect w:val="none"/>
        <w:vertAlign w:val="baseline"/>
        <w:specVanish w:val="0"/>
      </w:rPr>
    </w:lvl>
    <w:lvl w:ilvl="1">
      <w:start w:val="1"/>
      <w:numFmt w:val="decimal"/>
      <w:lvlRestart w:val="0"/>
      <w:pStyle w:val="SectionNumberOnly"/>
      <w:suff w:val="nothing"/>
      <w:lvlText w:val="%2"/>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075D3C43"/>
    <w:multiLevelType w:val="multilevel"/>
    <w:tmpl w:val="1C72B6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07C367D6"/>
    <w:multiLevelType w:val="multilevel"/>
    <w:tmpl w:val="73889C44"/>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5C385F"/>
    <w:multiLevelType w:val="multilevel"/>
    <w:tmpl w:val="B936E3C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1271314F"/>
    <w:multiLevelType w:val="hybridMultilevel"/>
    <w:tmpl w:val="AE04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915578"/>
    <w:multiLevelType w:val="hybridMultilevel"/>
    <w:tmpl w:val="3C3E633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lvl>
    <w:lvl w:ilvl="1">
      <w:start w:val="1"/>
      <w:numFmt w:val="lowerLetter"/>
      <w:pStyle w:val="ListNumber2"/>
      <w:lvlText w:val="%2."/>
      <w:lvlJc w:val="left"/>
      <w:pPr>
        <w:tabs>
          <w:tab w:val="num" w:pos="850"/>
        </w:tabs>
        <w:ind w:left="850" w:hanging="425"/>
      </w:pPr>
    </w:lvl>
    <w:lvl w:ilvl="2">
      <w:start w:val="1"/>
      <w:numFmt w:val="lowerRoman"/>
      <w:pStyle w:val="ListNumber3"/>
      <w:lvlText w:val="%3."/>
      <w:lvlJc w:val="left"/>
      <w:pPr>
        <w:tabs>
          <w:tab w:val="num" w:pos="1275"/>
        </w:tabs>
        <w:ind w:left="1275" w:hanging="425"/>
      </w:pPr>
    </w:lvl>
    <w:lvl w:ilvl="3">
      <w:start w:val="1"/>
      <w:numFmt w:val="upperLetter"/>
      <w:pStyle w:val="ListNumber4"/>
      <w:lvlText w:val="%4."/>
      <w:lvlJc w:val="left"/>
      <w:pPr>
        <w:tabs>
          <w:tab w:val="num" w:pos="1700"/>
        </w:tabs>
        <w:ind w:left="1700" w:hanging="425"/>
      </w:pPr>
    </w:lvl>
    <w:lvl w:ilvl="4">
      <w:start w:val="1"/>
      <w:numFmt w:val="upperRoman"/>
      <w:pStyle w:val="ListNumber5"/>
      <w:lvlText w:val="%5."/>
      <w:lvlJc w:val="left"/>
      <w:pPr>
        <w:tabs>
          <w:tab w:val="num" w:pos="2125"/>
        </w:tabs>
        <w:ind w:left="2125" w:hanging="425"/>
      </w:pPr>
    </w:lvl>
    <w:lvl w:ilvl="5">
      <w:start w:val="1"/>
      <w:numFmt w:val="decimal"/>
      <w:pStyle w:val="ListNumber6"/>
      <w:lvlText w:val="%6."/>
      <w:lvlJc w:val="left"/>
      <w:pPr>
        <w:tabs>
          <w:tab w:val="num" w:pos="2550"/>
        </w:tabs>
        <w:ind w:left="2550" w:hanging="425"/>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4" w15:restartNumberingAfterBreak="0">
    <w:nsid w:val="1A9C0879"/>
    <w:multiLevelType w:val="multilevel"/>
    <w:tmpl w:val="93E2A818"/>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lvl>
    <w:lvl w:ilvl="1">
      <w:start w:val="1"/>
      <w:numFmt w:val="decimal"/>
      <w:pStyle w:val="NbrHeading2"/>
      <w:lvlText w:val="%1.%2"/>
      <w:lvlJc w:val="left"/>
      <w:pPr>
        <w:tabs>
          <w:tab w:val="num" w:pos="1134"/>
        </w:tabs>
        <w:ind w:left="1134" w:hanging="1134"/>
      </w:pPr>
    </w:lvl>
    <w:lvl w:ilvl="2">
      <w:start w:val="1"/>
      <w:numFmt w:val="decimal"/>
      <w:pStyle w:val="NbrHeading3"/>
      <w:lvlText w:val="%1.%2.%3"/>
      <w:lvlJc w:val="left"/>
      <w:pPr>
        <w:tabs>
          <w:tab w:val="num" w:pos="1134"/>
        </w:tabs>
        <w:ind w:left="1134" w:hanging="1134"/>
      </w:pPr>
    </w:lvl>
    <w:lvl w:ilvl="3">
      <w:start w:val="1"/>
      <w:numFmt w:val="decimal"/>
      <w:pStyle w:val="NbrHeading4"/>
      <w:lvlText w:val="%1.%2.%3.%4"/>
      <w:lvlJc w:val="left"/>
      <w:pPr>
        <w:tabs>
          <w:tab w:val="num" w:pos="1134"/>
        </w:tabs>
        <w:ind w:left="1134" w:hanging="1134"/>
      </w:pPr>
    </w:lvl>
    <w:lvl w:ilvl="4">
      <w:start w:val="1"/>
      <w:numFmt w:val="decimal"/>
      <w:pStyle w:val="NbrHeading5"/>
      <w:lvlText w:val="%1.%2.%3.%4.%5"/>
      <w:lvlJc w:val="left"/>
      <w:pPr>
        <w:tabs>
          <w:tab w:val="num" w:pos="1134"/>
        </w:tabs>
        <w:ind w:left="1134" w:hanging="1134"/>
      </w:pPr>
    </w:lvl>
    <w:lvl w:ilvl="5">
      <w:start w:val="1"/>
      <w:numFmt w:val="none"/>
      <w:lvlText w:val=""/>
      <w:lvlJc w:val="left"/>
      <w:pPr>
        <w:tabs>
          <w:tab w:val="num" w:pos="0"/>
        </w:tabs>
        <w:ind w:left="0" w:firstLine="0"/>
      </w:pPr>
    </w:lvl>
    <w:lvl w:ilvl="6">
      <w:start w:val="1"/>
      <w:numFmt w:val="none"/>
      <w:lvlText w:val=""/>
      <w:lvlJc w:val="left"/>
      <w:pPr>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238845B8"/>
    <w:multiLevelType w:val="multilevel"/>
    <w:tmpl w:val="E2CA0D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2459140B"/>
    <w:multiLevelType w:val="hybridMultilevel"/>
    <w:tmpl w:val="8F3A08F2"/>
    <w:lvl w:ilvl="0" w:tplc="E67CB5BA">
      <w:start w:val="1"/>
      <w:numFmt w:val="decimal"/>
      <w:lvlText w:val="(%1)"/>
      <w:lvlJc w:val="left"/>
      <w:pPr>
        <w:ind w:left="720" w:hanging="360"/>
      </w:pPr>
    </w:lvl>
    <w:lvl w:ilvl="1" w:tplc="AE300648">
      <w:start w:val="1"/>
      <w:numFmt w:val="lowerLetter"/>
      <w:lvlText w:val="(%2)"/>
      <w:lvlJc w:val="left"/>
      <w:pPr>
        <w:ind w:left="1440" w:hanging="360"/>
      </w:pPr>
      <w:rPr>
        <w:rFonts w:asciiTheme="minorHAnsi" w:eastAsia="Arial" w:hAnsiTheme="minorHAnsi" w:cstheme="minorHAns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lvl>
    <w:lvl w:ilvl="1">
      <w:start w:val="1"/>
      <w:numFmt w:val="lowerLetter"/>
      <w:pStyle w:val="TableNumber2"/>
      <w:lvlText w:val="%2."/>
      <w:lvlJc w:val="left"/>
      <w:pPr>
        <w:tabs>
          <w:tab w:val="num" w:pos="680"/>
        </w:tabs>
        <w:ind w:left="680" w:hanging="283"/>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33DF2D35"/>
    <w:multiLevelType w:val="hybridMultilevel"/>
    <w:tmpl w:val="0632F038"/>
    <w:lvl w:ilvl="0" w:tplc="3484066E">
      <w:start w:val="1"/>
      <w:numFmt w:val="bullet"/>
      <w:lvlText w:val=""/>
      <w:lvlPicBulletId w:val="0"/>
      <w:lvlJc w:val="left"/>
      <w:pPr>
        <w:tabs>
          <w:tab w:val="num" w:pos="720"/>
        </w:tabs>
        <w:ind w:left="720" w:hanging="360"/>
      </w:pPr>
      <w:rPr>
        <w:rFonts w:ascii="Symbol" w:hAnsi="Symbol" w:hint="default"/>
      </w:rPr>
    </w:lvl>
    <w:lvl w:ilvl="1" w:tplc="E3969E72" w:tentative="1">
      <w:start w:val="1"/>
      <w:numFmt w:val="bullet"/>
      <w:lvlText w:val=""/>
      <w:lvlJc w:val="left"/>
      <w:pPr>
        <w:tabs>
          <w:tab w:val="num" w:pos="1440"/>
        </w:tabs>
        <w:ind w:left="1440" w:hanging="360"/>
      </w:pPr>
      <w:rPr>
        <w:rFonts w:ascii="Symbol" w:hAnsi="Symbol" w:hint="default"/>
      </w:rPr>
    </w:lvl>
    <w:lvl w:ilvl="2" w:tplc="1C2C329A" w:tentative="1">
      <w:start w:val="1"/>
      <w:numFmt w:val="bullet"/>
      <w:lvlText w:val=""/>
      <w:lvlJc w:val="left"/>
      <w:pPr>
        <w:tabs>
          <w:tab w:val="num" w:pos="2160"/>
        </w:tabs>
        <w:ind w:left="2160" w:hanging="360"/>
      </w:pPr>
      <w:rPr>
        <w:rFonts w:ascii="Symbol" w:hAnsi="Symbol" w:hint="default"/>
      </w:rPr>
    </w:lvl>
    <w:lvl w:ilvl="3" w:tplc="8B52545C" w:tentative="1">
      <w:start w:val="1"/>
      <w:numFmt w:val="bullet"/>
      <w:lvlText w:val=""/>
      <w:lvlJc w:val="left"/>
      <w:pPr>
        <w:tabs>
          <w:tab w:val="num" w:pos="2880"/>
        </w:tabs>
        <w:ind w:left="2880" w:hanging="360"/>
      </w:pPr>
      <w:rPr>
        <w:rFonts w:ascii="Symbol" w:hAnsi="Symbol" w:hint="default"/>
      </w:rPr>
    </w:lvl>
    <w:lvl w:ilvl="4" w:tplc="CC6844AC" w:tentative="1">
      <w:start w:val="1"/>
      <w:numFmt w:val="bullet"/>
      <w:lvlText w:val=""/>
      <w:lvlJc w:val="left"/>
      <w:pPr>
        <w:tabs>
          <w:tab w:val="num" w:pos="3600"/>
        </w:tabs>
        <w:ind w:left="3600" w:hanging="360"/>
      </w:pPr>
      <w:rPr>
        <w:rFonts w:ascii="Symbol" w:hAnsi="Symbol" w:hint="default"/>
      </w:rPr>
    </w:lvl>
    <w:lvl w:ilvl="5" w:tplc="D444E0D8" w:tentative="1">
      <w:start w:val="1"/>
      <w:numFmt w:val="bullet"/>
      <w:lvlText w:val=""/>
      <w:lvlJc w:val="left"/>
      <w:pPr>
        <w:tabs>
          <w:tab w:val="num" w:pos="4320"/>
        </w:tabs>
        <w:ind w:left="4320" w:hanging="360"/>
      </w:pPr>
      <w:rPr>
        <w:rFonts w:ascii="Symbol" w:hAnsi="Symbol" w:hint="default"/>
      </w:rPr>
    </w:lvl>
    <w:lvl w:ilvl="6" w:tplc="817ACEDC" w:tentative="1">
      <w:start w:val="1"/>
      <w:numFmt w:val="bullet"/>
      <w:lvlText w:val=""/>
      <w:lvlJc w:val="left"/>
      <w:pPr>
        <w:tabs>
          <w:tab w:val="num" w:pos="5040"/>
        </w:tabs>
        <w:ind w:left="5040" w:hanging="360"/>
      </w:pPr>
      <w:rPr>
        <w:rFonts w:ascii="Symbol" w:hAnsi="Symbol" w:hint="default"/>
      </w:rPr>
    </w:lvl>
    <w:lvl w:ilvl="7" w:tplc="6136D456" w:tentative="1">
      <w:start w:val="1"/>
      <w:numFmt w:val="bullet"/>
      <w:lvlText w:val=""/>
      <w:lvlJc w:val="left"/>
      <w:pPr>
        <w:tabs>
          <w:tab w:val="num" w:pos="5760"/>
        </w:tabs>
        <w:ind w:left="5760" w:hanging="360"/>
      </w:pPr>
      <w:rPr>
        <w:rFonts w:ascii="Symbol" w:hAnsi="Symbol" w:hint="default"/>
      </w:rPr>
    </w:lvl>
    <w:lvl w:ilvl="8" w:tplc="9CA86AC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9E7DB0"/>
    <w:multiLevelType w:val="multilevel"/>
    <w:tmpl w:val="414EB7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442F0A98"/>
    <w:multiLevelType w:val="hybridMultilevel"/>
    <w:tmpl w:val="39140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755224"/>
    <w:multiLevelType w:val="hybridMultilevel"/>
    <w:tmpl w:val="724AF386"/>
    <w:lvl w:ilvl="0" w:tplc="2E00229E">
      <w:start w:val="1"/>
      <w:numFmt w:val="decimal"/>
      <w:lvlText w:val="(%1)"/>
      <w:lvlJc w:val="left"/>
      <w:pPr>
        <w:ind w:left="720" w:hanging="360"/>
      </w:pPr>
    </w:lvl>
    <w:lvl w:ilvl="1" w:tplc="7E5AA33E">
      <w:start w:val="1"/>
      <w:numFmt w:val="lowerLetter"/>
      <w:lvlText w:val="(%2)"/>
      <w:lvlJc w:val="left"/>
      <w:pPr>
        <w:ind w:left="1440" w:hanging="360"/>
      </w:pPr>
      <w:rPr>
        <w:rFonts w:asciiTheme="minorHAnsi" w:eastAsia="Arial" w:hAnsiTheme="minorHAnsi" w:cstheme="minorHAnsi"/>
      </w:rPr>
    </w:lvl>
    <w:lvl w:ilvl="2" w:tplc="04C07C6C">
      <w:start w:val="1"/>
      <w:numFmt w:val="lowerRoman"/>
      <w:lvlText w:val="(%3)"/>
      <w:lvlJc w:val="right"/>
      <w:pPr>
        <w:ind w:left="2160" w:hanging="180"/>
      </w:pPr>
      <w:rPr>
        <w:rFonts w:asciiTheme="minorHAnsi" w:eastAsia="Arial" w:hAnsiTheme="minorHAnsi" w:cstheme="minorHAnsi"/>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7AE1AFF"/>
    <w:multiLevelType w:val="multilevel"/>
    <w:tmpl w:val="D2F0B7E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486C0CD9"/>
    <w:multiLevelType w:val="multilevel"/>
    <w:tmpl w:val="1708CE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upperLetter"/>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516B3601"/>
    <w:multiLevelType w:val="hybridMultilevel"/>
    <w:tmpl w:val="99E4547A"/>
    <w:lvl w:ilvl="0" w:tplc="6E0A00E4">
      <w:start w:val="1"/>
      <w:numFmt w:val="decimal"/>
      <w:lvlText w:val="(%1)"/>
      <w:lvlJc w:val="left"/>
      <w:pPr>
        <w:ind w:left="689" w:hanging="360"/>
      </w:pPr>
    </w:lvl>
    <w:lvl w:ilvl="1" w:tplc="0C090019">
      <w:start w:val="1"/>
      <w:numFmt w:val="lowerLetter"/>
      <w:lvlText w:val="%2."/>
      <w:lvlJc w:val="left"/>
      <w:pPr>
        <w:ind w:left="1409" w:hanging="360"/>
      </w:pPr>
    </w:lvl>
    <w:lvl w:ilvl="2" w:tplc="0C09001B">
      <w:start w:val="1"/>
      <w:numFmt w:val="lowerRoman"/>
      <w:lvlText w:val="%3."/>
      <w:lvlJc w:val="right"/>
      <w:pPr>
        <w:ind w:left="2129" w:hanging="180"/>
      </w:pPr>
    </w:lvl>
    <w:lvl w:ilvl="3" w:tplc="0C09000F">
      <w:start w:val="1"/>
      <w:numFmt w:val="decimal"/>
      <w:lvlText w:val="%4."/>
      <w:lvlJc w:val="left"/>
      <w:pPr>
        <w:ind w:left="2849" w:hanging="360"/>
      </w:pPr>
    </w:lvl>
    <w:lvl w:ilvl="4" w:tplc="0C090019">
      <w:start w:val="1"/>
      <w:numFmt w:val="lowerLetter"/>
      <w:lvlText w:val="%5."/>
      <w:lvlJc w:val="left"/>
      <w:pPr>
        <w:ind w:left="3569" w:hanging="360"/>
      </w:pPr>
    </w:lvl>
    <w:lvl w:ilvl="5" w:tplc="0C09001B">
      <w:start w:val="1"/>
      <w:numFmt w:val="lowerRoman"/>
      <w:lvlText w:val="%6."/>
      <w:lvlJc w:val="right"/>
      <w:pPr>
        <w:ind w:left="4289" w:hanging="180"/>
      </w:pPr>
    </w:lvl>
    <w:lvl w:ilvl="6" w:tplc="0C09000F">
      <w:start w:val="1"/>
      <w:numFmt w:val="decimal"/>
      <w:lvlText w:val="%7."/>
      <w:lvlJc w:val="left"/>
      <w:pPr>
        <w:ind w:left="5009" w:hanging="360"/>
      </w:pPr>
    </w:lvl>
    <w:lvl w:ilvl="7" w:tplc="0C090019">
      <w:start w:val="1"/>
      <w:numFmt w:val="lowerLetter"/>
      <w:lvlText w:val="%8."/>
      <w:lvlJc w:val="left"/>
      <w:pPr>
        <w:ind w:left="5729" w:hanging="360"/>
      </w:pPr>
    </w:lvl>
    <w:lvl w:ilvl="8" w:tplc="0C09001B">
      <w:start w:val="1"/>
      <w:numFmt w:val="lowerRoman"/>
      <w:lvlText w:val="%9."/>
      <w:lvlJc w:val="right"/>
      <w:pPr>
        <w:ind w:left="6449" w:hanging="180"/>
      </w:pPr>
    </w:lvl>
  </w:abstractNum>
  <w:abstractNum w:abstractNumId="26" w15:restartNumberingAfterBreak="0">
    <w:nsid w:val="52717D2C"/>
    <w:multiLevelType w:val="multilevel"/>
    <w:tmpl w:val="6B0AB9C4"/>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rPr>
        <w:rFonts w:asciiTheme="minorHAnsi" w:eastAsia="Arial" w:hAnsiTheme="minorHAnsi" w:cstheme="minorHAns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367D14"/>
    <w:multiLevelType w:val="hybridMultilevel"/>
    <w:tmpl w:val="47723E4A"/>
    <w:lvl w:ilvl="0" w:tplc="0C090011">
      <w:start w:val="1"/>
      <w:numFmt w:val="decimal"/>
      <w:lvlText w:val="%1)"/>
      <w:lvlJc w:val="left"/>
      <w:pPr>
        <w:ind w:left="720" w:hanging="360"/>
      </w:pPr>
    </w:lvl>
    <w:lvl w:ilvl="1" w:tplc="EC284746">
      <w:start w:val="1"/>
      <w:numFmt w:val="lowerLetter"/>
      <w:lvlText w:val="(%2)"/>
      <w:lvlJc w:val="left"/>
      <w:pPr>
        <w:ind w:left="1440" w:hanging="360"/>
      </w:pPr>
      <w:rPr>
        <w:rFonts w:asciiTheme="minorHAnsi" w:eastAsia="Arial" w:hAnsiTheme="minorHAnsi" w:cstheme="minorHAns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F9533DE"/>
    <w:multiLevelType w:val="hybridMultilevel"/>
    <w:tmpl w:val="2DAEBA9E"/>
    <w:lvl w:ilvl="0" w:tplc="EDE637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7AD33DF"/>
    <w:multiLevelType w:val="hybridMultilevel"/>
    <w:tmpl w:val="4CDAB6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78BE6B3F"/>
    <w:multiLevelType w:val="hybridMultilevel"/>
    <w:tmpl w:val="00680248"/>
    <w:lvl w:ilvl="0" w:tplc="A3A6A400">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5"/>
  </w:num>
  <w:num w:numId="25">
    <w:abstractNumId w:val="30"/>
  </w:num>
  <w:num w:numId="26">
    <w:abstractNumId w:val="0"/>
  </w:num>
  <w:num w:numId="27">
    <w:abstractNumId w:val="1"/>
  </w:num>
  <w:num w:numId="28">
    <w:abstractNumId w:val="2"/>
  </w:num>
  <w:num w:numId="29">
    <w:abstractNumId w:val="3"/>
  </w:num>
  <w:num w:numId="30">
    <w:abstractNumId w:val="4"/>
  </w:num>
  <w:num w:numId="3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29"/>
    <w:rsid w:val="00000D1B"/>
    <w:rsid w:val="00000E79"/>
    <w:rsid w:val="00001187"/>
    <w:rsid w:val="00001BD4"/>
    <w:rsid w:val="0001321D"/>
    <w:rsid w:val="00014E0C"/>
    <w:rsid w:val="000150E8"/>
    <w:rsid w:val="000158D4"/>
    <w:rsid w:val="00020591"/>
    <w:rsid w:val="000206EC"/>
    <w:rsid w:val="00020D41"/>
    <w:rsid w:val="0002207C"/>
    <w:rsid w:val="0002490B"/>
    <w:rsid w:val="0002588D"/>
    <w:rsid w:val="00025A17"/>
    <w:rsid w:val="00027620"/>
    <w:rsid w:val="00030B52"/>
    <w:rsid w:val="00031B2B"/>
    <w:rsid w:val="0003202F"/>
    <w:rsid w:val="0003342D"/>
    <w:rsid w:val="000336D3"/>
    <w:rsid w:val="0003383C"/>
    <w:rsid w:val="00037A03"/>
    <w:rsid w:val="00040647"/>
    <w:rsid w:val="00040C95"/>
    <w:rsid w:val="000430EF"/>
    <w:rsid w:val="00045034"/>
    <w:rsid w:val="0005095B"/>
    <w:rsid w:val="00055276"/>
    <w:rsid w:val="00055B21"/>
    <w:rsid w:val="00056C84"/>
    <w:rsid w:val="00056DBE"/>
    <w:rsid w:val="00057577"/>
    <w:rsid w:val="0007087D"/>
    <w:rsid w:val="000713BF"/>
    <w:rsid w:val="00071E5A"/>
    <w:rsid w:val="0008279E"/>
    <w:rsid w:val="00086465"/>
    <w:rsid w:val="00086D74"/>
    <w:rsid w:val="000915C1"/>
    <w:rsid w:val="000918F5"/>
    <w:rsid w:val="00092932"/>
    <w:rsid w:val="00094637"/>
    <w:rsid w:val="00096716"/>
    <w:rsid w:val="00097940"/>
    <w:rsid w:val="000A215C"/>
    <w:rsid w:val="000A30C6"/>
    <w:rsid w:val="000A57DF"/>
    <w:rsid w:val="000A70D1"/>
    <w:rsid w:val="000A7A59"/>
    <w:rsid w:val="000B050F"/>
    <w:rsid w:val="000B2057"/>
    <w:rsid w:val="000B3C45"/>
    <w:rsid w:val="000B3DCA"/>
    <w:rsid w:val="000B5F1A"/>
    <w:rsid w:val="000B730F"/>
    <w:rsid w:val="000C05E0"/>
    <w:rsid w:val="000C3782"/>
    <w:rsid w:val="000C382E"/>
    <w:rsid w:val="000C3B48"/>
    <w:rsid w:val="000C44F4"/>
    <w:rsid w:val="000D040F"/>
    <w:rsid w:val="000D091F"/>
    <w:rsid w:val="000D0E6D"/>
    <w:rsid w:val="000D20CB"/>
    <w:rsid w:val="000E1027"/>
    <w:rsid w:val="000E2AD0"/>
    <w:rsid w:val="000E2DD1"/>
    <w:rsid w:val="000E5725"/>
    <w:rsid w:val="000E7D87"/>
    <w:rsid w:val="000F038E"/>
    <w:rsid w:val="000F2368"/>
    <w:rsid w:val="000F297B"/>
    <w:rsid w:val="000F67B1"/>
    <w:rsid w:val="00101E2A"/>
    <w:rsid w:val="00102F16"/>
    <w:rsid w:val="00103DAD"/>
    <w:rsid w:val="00104C93"/>
    <w:rsid w:val="00107868"/>
    <w:rsid w:val="001115EB"/>
    <w:rsid w:val="00112357"/>
    <w:rsid w:val="00113879"/>
    <w:rsid w:val="00114315"/>
    <w:rsid w:val="001153A1"/>
    <w:rsid w:val="001159CC"/>
    <w:rsid w:val="00116D1C"/>
    <w:rsid w:val="0011752A"/>
    <w:rsid w:val="00121257"/>
    <w:rsid w:val="00123BFB"/>
    <w:rsid w:val="00124288"/>
    <w:rsid w:val="001242BA"/>
    <w:rsid w:val="0012454C"/>
    <w:rsid w:val="00131B29"/>
    <w:rsid w:val="00132C3A"/>
    <w:rsid w:val="00133B87"/>
    <w:rsid w:val="0013523F"/>
    <w:rsid w:val="00136712"/>
    <w:rsid w:val="00141E7F"/>
    <w:rsid w:val="0014579C"/>
    <w:rsid w:val="00146E0D"/>
    <w:rsid w:val="0015613E"/>
    <w:rsid w:val="0015731B"/>
    <w:rsid w:val="00166DF0"/>
    <w:rsid w:val="0017048D"/>
    <w:rsid w:val="00171151"/>
    <w:rsid w:val="00172850"/>
    <w:rsid w:val="00172F3D"/>
    <w:rsid w:val="00173707"/>
    <w:rsid w:val="00174C8B"/>
    <w:rsid w:val="00174D7F"/>
    <w:rsid w:val="00181689"/>
    <w:rsid w:val="001818C7"/>
    <w:rsid w:val="001830F1"/>
    <w:rsid w:val="00183413"/>
    <w:rsid w:val="00184260"/>
    <w:rsid w:val="00186A4E"/>
    <w:rsid w:val="00195AEC"/>
    <w:rsid w:val="001977BA"/>
    <w:rsid w:val="001A1DC4"/>
    <w:rsid w:val="001A2E53"/>
    <w:rsid w:val="001B1F5B"/>
    <w:rsid w:val="001B3978"/>
    <w:rsid w:val="001B4D31"/>
    <w:rsid w:val="001B5223"/>
    <w:rsid w:val="001C1C1F"/>
    <w:rsid w:val="001C1D97"/>
    <w:rsid w:val="001C299D"/>
    <w:rsid w:val="001C3726"/>
    <w:rsid w:val="001C47AC"/>
    <w:rsid w:val="001C56CE"/>
    <w:rsid w:val="001D0050"/>
    <w:rsid w:val="001D09C8"/>
    <w:rsid w:val="001D2848"/>
    <w:rsid w:val="001D2B7F"/>
    <w:rsid w:val="001D441C"/>
    <w:rsid w:val="001D5E36"/>
    <w:rsid w:val="001F3A29"/>
    <w:rsid w:val="001F4211"/>
    <w:rsid w:val="001F69B4"/>
    <w:rsid w:val="002001F8"/>
    <w:rsid w:val="002022B8"/>
    <w:rsid w:val="00202B9A"/>
    <w:rsid w:val="00202FF5"/>
    <w:rsid w:val="00203112"/>
    <w:rsid w:val="002111F9"/>
    <w:rsid w:val="00211B77"/>
    <w:rsid w:val="00212AFB"/>
    <w:rsid w:val="00212D3F"/>
    <w:rsid w:val="00212DE7"/>
    <w:rsid w:val="00214034"/>
    <w:rsid w:val="00216EF5"/>
    <w:rsid w:val="00220849"/>
    <w:rsid w:val="002216DE"/>
    <w:rsid w:val="00222A15"/>
    <w:rsid w:val="00222B77"/>
    <w:rsid w:val="00223888"/>
    <w:rsid w:val="00224B53"/>
    <w:rsid w:val="00226926"/>
    <w:rsid w:val="0023039E"/>
    <w:rsid w:val="00230B87"/>
    <w:rsid w:val="002324B8"/>
    <w:rsid w:val="0023546A"/>
    <w:rsid w:val="002426E4"/>
    <w:rsid w:val="002438D5"/>
    <w:rsid w:val="00245323"/>
    <w:rsid w:val="0024656E"/>
    <w:rsid w:val="00247079"/>
    <w:rsid w:val="00251DF4"/>
    <w:rsid w:val="00254D01"/>
    <w:rsid w:val="00255BED"/>
    <w:rsid w:val="002569FF"/>
    <w:rsid w:val="002630D1"/>
    <w:rsid w:val="002631FD"/>
    <w:rsid w:val="00263F20"/>
    <w:rsid w:val="0026480B"/>
    <w:rsid w:val="00265BDB"/>
    <w:rsid w:val="002666A9"/>
    <w:rsid w:val="00266D36"/>
    <w:rsid w:val="00267015"/>
    <w:rsid w:val="00270FA6"/>
    <w:rsid w:val="002722AA"/>
    <w:rsid w:val="00275D29"/>
    <w:rsid w:val="00277437"/>
    <w:rsid w:val="00282A73"/>
    <w:rsid w:val="002853CB"/>
    <w:rsid w:val="002854D8"/>
    <w:rsid w:val="00285A10"/>
    <w:rsid w:val="00286AF9"/>
    <w:rsid w:val="00286F95"/>
    <w:rsid w:val="0029015B"/>
    <w:rsid w:val="002902DB"/>
    <w:rsid w:val="00294E40"/>
    <w:rsid w:val="00295600"/>
    <w:rsid w:val="00296216"/>
    <w:rsid w:val="002A0756"/>
    <w:rsid w:val="002A094B"/>
    <w:rsid w:val="002A5907"/>
    <w:rsid w:val="002A7045"/>
    <w:rsid w:val="002B3302"/>
    <w:rsid w:val="002C1495"/>
    <w:rsid w:val="002C21FC"/>
    <w:rsid w:val="002C3A43"/>
    <w:rsid w:val="002C3F62"/>
    <w:rsid w:val="002C43DC"/>
    <w:rsid w:val="002C61EE"/>
    <w:rsid w:val="002C7645"/>
    <w:rsid w:val="002D1075"/>
    <w:rsid w:val="002D78EB"/>
    <w:rsid w:val="002E0D62"/>
    <w:rsid w:val="002E0F7F"/>
    <w:rsid w:val="002E13E3"/>
    <w:rsid w:val="002F57C6"/>
    <w:rsid w:val="002F628F"/>
    <w:rsid w:val="002F7A18"/>
    <w:rsid w:val="002F7C87"/>
    <w:rsid w:val="00301132"/>
    <w:rsid w:val="00301FE6"/>
    <w:rsid w:val="00302041"/>
    <w:rsid w:val="003054E1"/>
    <w:rsid w:val="00305C1A"/>
    <w:rsid w:val="003068BB"/>
    <w:rsid w:val="00310725"/>
    <w:rsid w:val="003110AA"/>
    <w:rsid w:val="0031733D"/>
    <w:rsid w:val="0031740E"/>
    <w:rsid w:val="00317BB7"/>
    <w:rsid w:val="00322225"/>
    <w:rsid w:val="0032400E"/>
    <w:rsid w:val="00324AC4"/>
    <w:rsid w:val="003305FF"/>
    <w:rsid w:val="003308BA"/>
    <w:rsid w:val="00331E51"/>
    <w:rsid w:val="00332907"/>
    <w:rsid w:val="00333A43"/>
    <w:rsid w:val="00333A58"/>
    <w:rsid w:val="00335191"/>
    <w:rsid w:val="00335236"/>
    <w:rsid w:val="0033641F"/>
    <w:rsid w:val="0034267B"/>
    <w:rsid w:val="00342CF1"/>
    <w:rsid w:val="003440BA"/>
    <w:rsid w:val="00344E94"/>
    <w:rsid w:val="00345165"/>
    <w:rsid w:val="00346767"/>
    <w:rsid w:val="00347C67"/>
    <w:rsid w:val="00353003"/>
    <w:rsid w:val="00353562"/>
    <w:rsid w:val="00354784"/>
    <w:rsid w:val="00354C0C"/>
    <w:rsid w:val="003552A1"/>
    <w:rsid w:val="0035583F"/>
    <w:rsid w:val="0035799D"/>
    <w:rsid w:val="003603F8"/>
    <w:rsid w:val="00360A22"/>
    <w:rsid w:val="003629DD"/>
    <w:rsid w:val="00363309"/>
    <w:rsid w:val="00363973"/>
    <w:rsid w:val="00364F2B"/>
    <w:rsid w:val="00365EDA"/>
    <w:rsid w:val="003664B9"/>
    <w:rsid w:val="003676D9"/>
    <w:rsid w:val="00371FE0"/>
    <w:rsid w:val="0037510C"/>
    <w:rsid w:val="00376A2B"/>
    <w:rsid w:val="00377D8C"/>
    <w:rsid w:val="00380EC4"/>
    <w:rsid w:val="00386835"/>
    <w:rsid w:val="0039105F"/>
    <w:rsid w:val="00391FBD"/>
    <w:rsid w:val="0039285F"/>
    <w:rsid w:val="0039719C"/>
    <w:rsid w:val="0039720D"/>
    <w:rsid w:val="003A307A"/>
    <w:rsid w:val="003A6755"/>
    <w:rsid w:val="003B04C6"/>
    <w:rsid w:val="003C0110"/>
    <w:rsid w:val="003C529C"/>
    <w:rsid w:val="003C6C4E"/>
    <w:rsid w:val="003C7692"/>
    <w:rsid w:val="003D0551"/>
    <w:rsid w:val="003D24EF"/>
    <w:rsid w:val="003D4E99"/>
    <w:rsid w:val="003E0EF4"/>
    <w:rsid w:val="003E0F50"/>
    <w:rsid w:val="003E1C1F"/>
    <w:rsid w:val="003E1FEA"/>
    <w:rsid w:val="003E2D60"/>
    <w:rsid w:val="003E4202"/>
    <w:rsid w:val="003E46CC"/>
    <w:rsid w:val="003E50DB"/>
    <w:rsid w:val="003E7B03"/>
    <w:rsid w:val="003F0A6D"/>
    <w:rsid w:val="003F217E"/>
    <w:rsid w:val="003F297D"/>
    <w:rsid w:val="003F2FC0"/>
    <w:rsid w:val="003F3036"/>
    <w:rsid w:val="003F585E"/>
    <w:rsid w:val="003F6873"/>
    <w:rsid w:val="00401124"/>
    <w:rsid w:val="004018FF"/>
    <w:rsid w:val="004023E2"/>
    <w:rsid w:val="00407A03"/>
    <w:rsid w:val="00414832"/>
    <w:rsid w:val="00414F97"/>
    <w:rsid w:val="004167EB"/>
    <w:rsid w:val="0042001D"/>
    <w:rsid w:val="00421095"/>
    <w:rsid w:val="0042119D"/>
    <w:rsid w:val="00422389"/>
    <w:rsid w:val="004240FB"/>
    <w:rsid w:val="0042461F"/>
    <w:rsid w:val="004259F1"/>
    <w:rsid w:val="00427573"/>
    <w:rsid w:val="00432C38"/>
    <w:rsid w:val="00434FA1"/>
    <w:rsid w:val="0043550A"/>
    <w:rsid w:val="00436F5A"/>
    <w:rsid w:val="00437713"/>
    <w:rsid w:val="00440896"/>
    <w:rsid w:val="004419D2"/>
    <w:rsid w:val="004431C1"/>
    <w:rsid w:val="00443580"/>
    <w:rsid w:val="00446F2E"/>
    <w:rsid w:val="0045166A"/>
    <w:rsid w:val="00451D11"/>
    <w:rsid w:val="00451DE4"/>
    <w:rsid w:val="004534E1"/>
    <w:rsid w:val="0045539A"/>
    <w:rsid w:val="00456294"/>
    <w:rsid w:val="0045659A"/>
    <w:rsid w:val="00457484"/>
    <w:rsid w:val="00457FA4"/>
    <w:rsid w:val="0046023F"/>
    <w:rsid w:val="00462E35"/>
    <w:rsid w:val="00463D1A"/>
    <w:rsid w:val="0046400D"/>
    <w:rsid w:val="00464692"/>
    <w:rsid w:val="0046494F"/>
    <w:rsid w:val="0046651B"/>
    <w:rsid w:val="004740D6"/>
    <w:rsid w:val="00476E4E"/>
    <w:rsid w:val="00480B93"/>
    <w:rsid w:val="00483F51"/>
    <w:rsid w:val="00487FF9"/>
    <w:rsid w:val="00493807"/>
    <w:rsid w:val="0049497A"/>
    <w:rsid w:val="00494D50"/>
    <w:rsid w:val="0049511D"/>
    <w:rsid w:val="004962DE"/>
    <w:rsid w:val="00496657"/>
    <w:rsid w:val="0049797C"/>
    <w:rsid w:val="004A0327"/>
    <w:rsid w:val="004A05B1"/>
    <w:rsid w:val="004A1126"/>
    <w:rsid w:val="004A11F1"/>
    <w:rsid w:val="004A1724"/>
    <w:rsid w:val="004A1EF8"/>
    <w:rsid w:val="004A2022"/>
    <w:rsid w:val="004A4E72"/>
    <w:rsid w:val="004A69F9"/>
    <w:rsid w:val="004B226F"/>
    <w:rsid w:val="004B4959"/>
    <w:rsid w:val="004B5D69"/>
    <w:rsid w:val="004B7A20"/>
    <w:rsid w:val="004C0B22"/>
    <w:rsid w:val="004C24F7"/>
    <w:rsid w:val="004C262E"/>
    <w:rsid w:val="004C33BC"/>
    <w:rsid w:val="004C3DE1"/>
    <w:rsid w:val="004C63F8"/>
    <w:rsid w:val="004C77F3"/>
    <w:rsid w:val="004D35E3"/>
    <w:rsid w:val="004D58F7"/>
    <w:rsid w:val="004D6E8B"/>
    <w:rsid w:val="004E03EC"/>
    <w:rsid w:val="004E431D"/>
    <w:rsid w:val="004E4BAC"/>
    <w:rsid w:val="004E6853"/>
    <w:rsid w:val="004F0781"/>
    <w:rsid w:val="004F0BDD"/>
    <w:rsid w:val="004F160C"/>
    <w:rsid w:val="004F58DB"/>
    <w:rsid w:val="00500E72"/>
    <w:rsid w:val="005014BE"/>
    <w:rsid w:val="005021A3"/>
    <w:rsid w:val="005025D5"/>
    <w:rsid w:val="00503834"/>
    <w:rsid w:val="0050428F"/>
    <w:rsid w:val="00510A63"/>
    <w:rsid w:val="00510F1A"/>
    <w:rsid w:val="0051394E"/>
    <w:rsid w:val="00513E1F"/>
    <w:rsid w:val="005156D1"/>
    <w:rsid w:val="0051581D"/>
    <w:rsid w:val="005174AC"/>
    <w:rsid w:val="00520ADC"/>
    <w:rsid w:val="0052369B"/>
    <w:rsid w:val="005244E9"/>
    <w:rsid w:val="005268E2"/>
    <w:rsid w:val="00526DE1"/>
    <w:rsid w:val="005274B4"/>
    <w:rsid w:val="00527B57"/>
    <w:rsid w:val="005306C8"/>
    <w:rsid w:val="0053163C"/>
    <w:rsid w:val="0053228A"/>
    <w:rsid w:val="00532CD8"/>
    <w:rsid w:val="00533928"/>
    <w:rsid w:val="00534866"/>
    <w:rsid w:val="00536462"/>
    <w:rsid w:val="00537AC0"/>
    <w:rsid w:val="005423B5"/>
    <w:rsid w:val="005423D1"/>
    <w:rsid w:val="00543AA0"/>
    <w:rsid w:val="00543D23"/>
    <w:rsid w:val="0054444E"/>
    <w:rsid w:val="00545467"/>
    <w:rsid w:val="005458C2"/>
    <w:rsid w:val="0054660E"/>
    <w:rsid w:val="005504B8"/>
    <w:rsid w:val="00553E11"/>
    <w:rsid w:val="00554AEF"/>
    <w:rsid w:val="00556062"/>
    <w:rsid w:val="00565BAF"/>
    <w:rsid w:val="00566AFD"/>
    <w:rsid w:val="00573C78"/>
    <w:rsid w:val="0057494D"/>
    <w:rsid w:val="005810D1"/>
    <w:rsid w:val="0058115A"/>
    <w:rsid w:val="005825A9"/>
    <w:rsid w:val="005914E7"/>
    <w:rsid w:val="00591B6C"/>
    <w:rsid w:val="00595C27"/>
    <w:rsid w:val="005A0FAF"/>
    <w:rsid w:val="005A2A1F"/>
    <w:rsid w:val="005A4C1D"/>
    <w:rsid w:val="005A5612"/>
    <w:rsid w:val="005A7E5B"/>
    <w:rsid w:val="005B015B"/>
    <w:rsid w:val="005B0358"/>
    <w:rsid w:val="005B16A7"/>
    <w:rsid w:val="005B177E"/>
    <w:rsid w:val="005B2071"/>
    <w:rsid w:val="005B2208"/>
    <w:rsid w:val="005B3E3A"/>
    <w:rsid w:val="005B4A9F"/>
    <w:rsid w:val="005C2E09"/>
    <w:rsid w:val="005C42DE"/>
    <w:rsid w:val="005C617B"/>
    <w:rsid w:val="005C766A"/>
    <w:rsid w:val="005D13B6"/>
    <w:rsid w:val="005D293B"/>
    <w:rsid w:val="005D40CA"/>
    <w:rsid w:val="005E193D"/>
    <w:rsid w:val="005E691E"/>
    <w:rsid w:val="005F07E9"/>
    <w:rsid w:val="005F0C7A"/>
    <w:rsid w:val="005F0F66"/>
    <w:rsid w:val="005F19D1"/>
    <w:rsid w:val="005F3184"/>
    <w:rsid w:val="005F38DE"/>
    <w:rsid w:val="005F3FBE"/>
    <w:rsid w:val="005F60EA"/>
    <w:rsid w:val="006002CC"/>
    <w:rsid w:val="0060135F"/>
    <w:rsid w:val="00604BAF"/>
    <w:rsid w:val="00606BB3"/>
    <w:rsid w:val="00607BFE"/>
    <w:rsid w:val="006107B1"/>
    <w:rsid w:val="00610B30"/>
    <w:rsid w:val="006127D1"/>
    <w:rsid w:val="006174DA"/>
    <w:rsid w:val="006177EE"/>
    <w:rsid w:val="00620B68"/>
    <w:rsid w:val="00623EDE"/>
    <w:rsid w:val="006245A0"/>
    <w:rsid w:val="006272B2"/>
    <w:rsid w:val="00627467"/>
    <w:rsid w:val="0063468A"/>
    <w:rsid w:val="006350EE"/>
    <w:rsid w:val="0063596F"/>
    <w:rsid w:val="0064156C"/>
    <w:rsid w:val="00641BB1"/>
    <w:rsid w:val="00644661"/>
    <w:rsid w:val="006449E5"/>
    <w:rsid w:val="0064525F"/>
    <w:rsid w:val="006459B2"/>
    <w:rsid w:val="006469F7"/>
    <w:rsid w:val="00647DF8"/>
    <w:rsid w:val="00647FDF"/>
    <w:rsid w:val="00651AA5"/>
    <w:rsid w:val="006524B6"/>
    <w:rsid w:val="006556F0"/>
    <w:rsid w:val="00657CB1"/>
    <w:rsid w:val="00660D74"/>
    <w:rsid w:val="0066193D"/>
    <w:rsid w:val="00662ED4"/>
    <w:rsid w:val="00663C49"/>
    <w:rsid w:val="00666514"/>
    <w:rsid w:val="00667714"/>
    <w:rsid w:val="00671B6F"/>
    <w:rsid w:val="0067291E"/>
    <w:rsid w:val="006776D2"/>
    <w:rsid w:val="006820F1"/>
    <w:rsid w:val="0068261E"/>
    <w:rsid w:val="006833F8"/>
    <w:rsid w:val="006850C6"/>
    <w:rsid w:val="006858F5"/>
    <w:rsid w:val="00686307"/>
    <w:rsid w:val="00690412"/>
    <w:rsid w:val="006913DE"/>
    <w:rsid w:val="00691F08"/>
    <w:rsid w:val="00694CAF"/>
    <w:rsid w:val="0069669E"/>
    <w:rsid w:val="006A17AA"/>
    <w:rsid w:val="006A1F93"/>
    <w:rsid w:val="006A32A6"/>
    <w:rsid w:val="006A51A1"/>
    <w:rsid w:val="006B04A7"/>
    <w:rsid w:val="006B143C"/>
    <w:rsid w:val="006B237B"/>
    <w:rsid w:val="006B3B19"/>
    <w:rsid w:val="006B41EF"/>
    <w:rsid w:val="006B43C4"/>
    <w:rsid w:val="006B7FE6"/>
    <w:rsid w:val="006C0852"/>
    <w:rsid w:val="006C60CA"/>
    <w:rsid w:val="006D2827"/>
    <w:rsid w:val="006D5119"/>
    <w:rsid w:val="006D6746"/>
    <w:rsid w:val="006E2D69"/>
    <w:rsid w:val="006E397A"/>
    <w:rsid w:val="006F0EAE"/>
    <w:rsid w:val="006F1CF5"/>
    <w:rsid w:val="006F2899"/>
    <w:rsid w:val="006F2BA9"/>
    <w:rsid w:val="006F2C2D"/>
    <w:rsid w:val="006F5E8C"/>
    <w:rsid w:val="006F6B81"/>
    <w:rsid w:val="006F700E"/>
    <w:rsid w:val="007016B2"/>
    <w:rsid w:val="007022A5"/>
    <w:rsid w:val="0070303A"/>
    <w:rsid w:val="007066ED"/>
    <w:rsid w:val="00710CCE"/>
    <w:rsid w:val="00711F3A"/>
    <w:rsid w:val="00716DDB"/>
    <w:rsid w:val="00717960"/>
    <w:rsid w:val="007254D1"/>
    <w:rsid w:val="0073090B"/>
    <w:rsid w:val="00730DF8"/>
    <w:rsid w:val="0073586F"/>
    <w:rsid w:val="007404C7"/>
    <w:rsid w:val="00742C94"/>
    <w:rsid w:val="007436D4"/>
    <w:rsid w:val="00746475"/>
    <w:rsid w:val="00747B28"/>
    <w:rsid w:val="00754804"/>
    <w:rsid w:val="0075545E"/>
    <w:rsid w:val="007570AE"/>
    <w:rsid w:val="00760583"/>
    <w:rsid w:val="007619E6"/>
    <w:rsid w:val="00762567"/>
    <w:rsid w:val="00764BEF"/>
    <w:rsid w:val="0076707E"/>
    <w:rsid w:val="007674C2"/>
    <w:rsid w:val="00767D18"/>
    <w:rsid w:val="0077231D"/>
    <w:rsid w:val="00772E3F"/>
    <w:rsid w:val="00773276"/>
    <w:rsid w:val="00774997"/>
    <w:rsid w:val="00780DC4"/>
    <w:rsid w:val="0078106C"/>
    <w:rsid w:val="00782BEB"/>
    <w:rsid w:val="00783AEC"/>
    <w:rsid w:val="0078441B"/>
    <w:rsid w:val="00786C00"/>
    <w:rsid w:val="007870EB"/>
    <w:rsid w:val="00790DA5"/>
    <w:rsid w:val="00790E03"/>
    <w:rsid w:val="00791255"/>
    <w:rsid w:val="007929A9"/>
    <w:rsid w:val="007929F3"/>
    <w:rsid w:val="00793582"/>
    <w:rsid w:val="00793820"/>
    <w:rsid w:val="00793A13"/>
    <w:rsid w:val="00796E42"/>
    <w:rsid w:val="007974B0"/>
    <w:rsid w:val="007A0AC3"/>
    <w:rsid w:val="007B20B3"/>
    <w:rsid w:val="007C0884"/>
    <w:rsid w:val="007C131F"/>
    <w:rsid w:val="007C1EED"/>
    <w:rsid w:val="007C410A"/>
    <w:rsid w:val="007C45B4"/>
    <w:rsid w:val="007C5B15"/>
    <w:rsid w:val="007C6EFA"/>
    <w:rsid w:val="007C74C2"/>
    <w:rsid w:val="007D0DBF"/>
    <w:rsid w:val="007D1160"/>
    <w:rsid w:val="007D170D"/>
    <w:rsid w:val="007D2994"/>
    <w:rsid w:val="007D55FB"/>
    <w:rsid w:val="007D57C6"/>
    <w:rsid w:val="007E123B"/>
    <w:rsid w:val="007E12E3"/>
    <w:rsid w:val="007E52CD"/>
    <w:rsid w:val="007E5941"/>
    <w:rsid w:val="007F1D2B"/>
    <w:rsid w:val="007F699A"/>
    <w:rsid w:val="007F7DF9"/>
    <w:rsid w:val="00800CE5"/>
    <w:rsid w:val="00802408"/>
    <w:rsid w:val="00802B03"/>
    <w:rsid w:val="00805541"/>
    <w:rsid w:val="00807140"/>
    <w:rsid w:val="00807681"/>
    <w:rsid w:val="008105EE"/>
    <w:rsid w:val="00810F52"/>
    <w:rsid w:val="008120AA"/>
    <w:rsid w:val="00812311"/>
    <w:rsid w:val="008135CA"/>
    <w:rsid w:val="0081385C"/>
    <w:rsid w:val="0081495B"/>
    <w:rsid w:val="008166CD"/>
    <w:rsid w:val="0081671B"/>
    <w:rsid w:val="00817CEE"/>
    <w:rsid w:val="008214AB"/>
    <w:rsid w:val="00822065"/>
    <w:rsid w:val="008227D2"/>
    <w:rsid w:val="00823567"/>
    <w:rsid w:val="00823F68"/>
    <w:rsid w:val="00824400"/>
    <w:rsid w:val="00826410"/>
    <w:rsid w:val="0083388B"/>
    <w:rsid w:val="00844E76"/>
    <w:rsid w:val="00845CBC"/>
    <w:rsid w:val="00846BB4"/>
    <w:rsid w:val="00847E58"/>
    <w:rsid w:val="00850563"/>
    <w:rsid w:val="0085201C"/>
    <w:rsid w:val="00857100"/>
    <w:rsid w:val="00861096"/>
    <w:rsid w:val="00862FA6"/>
    <w:rsid w:val="008631FF"/>
    <w:rsid w:val="0086326C"/>
    <w:rsid w:val="008654AE"/>
    <w:rsid w:val="00865BC8"/>
    <w:rsid w:val="00865E57"/>
    <w:rsid w:val="00872959"/>
    <w:rsid w:val="00872D14"/>
    <w:rsid w:val="00875D83"/>
    <w:rsid w:val="0087694C"/>
    <w:rsid w:val="00877C58"/>
    <w:rsid w:val="00882F25"/>
    <w:rsid w:val="00884025"/>
    <w:rsid w:val="008856DF"/>
    <w:rsid w:val="008863B4"/>
    <w:rsid w:val="00887220"/>
    <w:rsid w:val="008930FD"/>
    <w:rsid w:val="00893BA2"/>
    <w:rsid w:val="00895F61"/>
    <w:rsid w:val="008972C1"/>
    <w:rsid w:val="008A0ACD"/>
    <w:rsid w:val="008A21AD"/>
    <w:rsid w:val="008A21FF"/>
    <w:rsid w:val="008A3E81"/>
    <w:rsid w:val="008B1703"/>
    <w:rsid w:val="008B3407"/>
    <w:rsid w:val="008B42A5"/>
    <w:rsid w:val="008B535E"/>
    <w:rsid w:val="008B5688"/>
    <w:rsid w:val="008C6B54"/>
    <w:rsid w:val="008D0A73"/>
    <w:rsid w:val="008D0F17"/>
    <w:rsid w:val="008D22A8"/>
    <w:rsid w:val="008D239B"/>
    <w:rsid w:val="008D56B0"/>
    <w:rsid w:val="008D66E9"/>
    <w:rsid w:val="008E3D13"/>
    <w:rsid w:val="008E4546"/>
    <w:rsid w:val="008E58A5"/>
    <w:rsid w:val="008E60E1"/>
    <w:rsid w:val="008E7361"/>
    <w:rsid w:val="008F2712"/>
    <w:rsid w:val="008F2F63"/>
    <w:rsid w:val="008F58B5"/>
    <w:rsid w:val="008F5EC1"/>
    <w:rsid w:val="008F76EA"/>
    <w:rsid w:val="009056B4"/>
    <w:rsid w:val="00906EBB"/>
    <w:rsid w:val="00907444"/>
    <w:rsid w:val="00911B06"/>
    <w:rsid w:val="009159DD"/>
    <w:rsid w:val="00916150"/>
    <w:rsid w:val="00917BE5"/>
    <w:rsid w:val="00917D4E"/>
    <w:rsid w:val="009224EC"/>
    <w:rsid w:val="0092277C"/>
    <w:rsid w:val="00924353"/>
    <w:rsid w:val="00925C19"/>
    <w:rsid w:val="00926E62"/>
    <w:rsid w:val="00930FE2"/>
    <w:rsid w:val="00935311"/>
    <w:rsid w:val="0094164E"/>
    <w:rsid w:val="009463D0"/>
    <w:rsid w:val="009500A7"/>
    <w:rsid w:val="009545BE"/>
    <w:rsid w:val="00957504"/>
    <w:rsid w:val="0096052D"/>
    <w:rsid w:val="0096081D"/>
    <w:rsid w:val="00960DFF"/>
    <w:rsid w:val="0096162D"/>
    <w:rsid w:val="00964FC8"/>
    <w:rsid w:val="0096612D"/>
    <w:rsid w:val="00971710"/>
    <w:rsid w:val="00975307"/>
    <w:rsid w:val="00981203"/>
    <w:rsid w:val="009825BC"/>
    <w:rsid w:val="009827AC"/>
    <w:rsid w:val="00985FCF"/>
    <w:rsid w:val="0099414C"/>
    <w:rsid w:val="00996140"/>
    <w:rsid w:val="0099675A"/>
    <w:rsid w:val="00996AE9"/>
    <w:rsid w:val="00997F0E"/>
    <w:rsid w:val="009A15A7"/>
    <w:rsid w:val="009A2C73"/>
    <w:rsid w:val="009A3044"/>
    <w:rsid w:val="009A40A7"/>
    <w:rsid w:val="009A5D98"/>
    <w:rsid w:val="009A615F"/>
    <w:rsid w:val="009A73A5"/>
    <w:rsid w:val="009C1727"/>
    <w:rsid w:val="009C2371"/>
    <w:rsid w:val="009C7180"/>
    <w:rsid w:val="009D1471"/>
    <w:rsid w:val="009D311A"/>
    <w:rsid w:val="009D3801"/>
    <w:rsid w:val="009D3814"/>
    <w:rsid w:val="009D47F7"/>
    <w:rsid w:val="009D492C"/>
    <w:rsid w:val="009D4E77"/>
    <w:rsid w:val="009D597C"/>
    <w:rsid w:val="009D77A3"/>
    <w:rsid w:val="009E17F5"/>
    <w:rsid w:val="009E288E"/>
    <w:rsid w:val="009E4556"/>
    <w:rsid w:val="009F1A67"/>
    <w:rsid w:val="009F432D"/>
    <w:rsid w:val="009F46BB"/>
    <w:rsid w:val="009F6301"/>
    <w:rsid w:val="009F7574"/>
    <w:rsid w:val="00A00FB9"/>
    <w:rsid w:val="00A0198C"/>
    <w:rsid w:val="00A025C6"/>
    <w:rsid w:val="00A04641"/>
    <w:rsid w:val="00A04E3F"/>
    <w:rsid w:val="00A05682"/>
    <w:rsid w:val="00A06956"/>
    <w:rsid w:val="00A0741E"/>
    <w:rsid w:val="00A12F86"/>
    <w:rsid w:val="00A147E5"/>
    <w:rsid w:val="00A14AB9"/>
    <w:rsid w:val="00A157D4"/>
    <w:rsid w:val="00A15EAC"/>
    <w:rsid w:val="00A221A9"/>
    <w:rsid w:val="00A27908"/>
    <w:rsid w:val="00A348A9"/>
    <w:rsid w:val="00A353D7"/>
    <w:rsid w:val="00A36F39"/>
    <w:rsid w:val="00A402FF"/>
    <w:rsid w:val="00A4171F"/>
    <w:rsid w:val="00A41C15"/>
    <w:rsid w:val="00A426B4"/>
    <w:rsid w:val="00A4646D"/>
    <w:rsid w:val="00A476D5"/>
    <w:rsid w:val="00A47C3E"/>
    <w:rsid w:val="00A507C3"/>
    <w:rsid w:val="00A51183"/>
    <w:rsid w:val="00A51304"/>
    <w:rsid w:val="00A5171F"/>
    <w:rsid w:val="00A542A8"/>
    <w:rsid w:val="00A54FCC"/>
    <w:rsid w:val="00A574C8"/>
    <w:rsid w:val="00A605DA"/>
    <w:rsid w:val="00A61060"/>
    <w:rsid w:val="00A632D0"/>
    <w:rsid w:val="00A639FF"/>
    <w:rsid w:val="00A642F1"/>
    <w:rsid w:val="00A65A05"/>
    <w:rsid w:val="00A66A22"/>
    <w:rsid w:val="00A67C4D"/>
    <w:rsid w:val="00A736A6"/>
    <w:rsid w:val="00A736ED"/>
    <w:rsid w:val="00A74803"/>
    <w:rsid w:val="00A75D40"/>
    <w:rsid w:val="00A80BD5"/>
    <w:rsid w:val="00A84703"/>
    <w:rsid w:val="00A86822"/>
    <w:rsid w:val="00A90BC5"/>
    <w:rsid w:val="00A91ABA"/>
    <w:rsid w:val="00A920B0"/>
    <w:rsid w:val="00A9234C"/>
    <w:rsid w:val="00A925D4"/>
    <w:rsid w:val="00AA53AE"/>
    <w:rsid w:val="00AA6B5E"/>
    <w:rsid w:val="00AB0ED7"/>
    <w:rsid w:val="00AB0FD8"/>
    <w:rsid w:val="00AB2719"/>
    <w:rsid w:val="00AB6F0F"/>
    <w:rsid w:val="00AB7A61"/>
    <w:rsid w:val="00AC3286"/>
    <w:rsid w:val="00AC4213"/>
    <w:rsid w:val="00AC5BD1"/>
    <w:rsid w:val="00AC7B3B"/>
    <w:rsid w:val="00AC7F71"/>
    <w:rsid w:val="00AD103D"/>
    <w:rsid w:val="00AD2D56"/>
    <w:rsid w:val="00AD2EFB"/>
    <w:rsid w:val="00AD382C"/>
    <w:rsid w:val="00AD42D9"/>
    <w:rsid w:val="00AD64B5"/>
    <w:rsid w:val="00AE0574"/>
    <w:rsid w:val="00AE2761"/>
    <w:rsid w:val="00AE7538"/>
    <w:rsid w:val="00AF0274"/>
    <w:rsid w:val="00AF0EFC"/>
    <w:rsid w:val="00AF2DAF"/>
    <w:rsid w:val="00AF34C8"/>
    <w:rsid w:val="00AF3D8D"/>
    <w:rsid w:val="00AF4B20"/>
    <w:rsid w:val="00AF5026"/>
    <w:rsid w:val="00AF743C"/>
    <w:rsid w:val="00AF7A01"/>
    <w:rsid w:val="00B00C60"/>
    <w:rsid w:val="00B00D4C"/>
    <w:rsid w:val="00B01132"/>
    <w:rsid w:val="00B0284C"/>
    <w:rsid w:val="00B1002D"/>
    <w:rsid w:val="00B102EC"/>
    <w:rsid w:val="00B10652"/>
    <w:rsid w:val="00B111C4"/>
    <w:rsid w:val="00B11EB8"/>
    <w:rsid w:val="00B12EA0"/>
    <w:rsid w:val="00B166E0"/>
    <w:rsid w:val="00B20852"/>
    <w:rsid w:val="00B24876"/>
    <w:rsid w:val="00B260CD"/>
    <w:rsid w:val="00B261F0"/>
    <w:rsid w:val="00B303ED"/>
    <w:rsid w:val="00B31D92"/>
    <w:rsid w:val="00B323F5"/>
    <w:rsid w:val="00B34C8D"/>
    <w:rsid w:val="00B35D61"/>
    <w:rsid w:val="00B3778E"/>
    <w:rsid w:val="00B40220"/>
    <w:rsid w:val="00B410CD"/>
    <w:rsid w:val="00B43847"/>
    <w:rsid w:val="00B45F0C"/>
    <w:rsid w:val="00B47279"/>
    <w:rsid w:val="00B53F88"/>
    <w:rsid w:val="00B556B9"/>
    <w:rsid w:val="00B56E1D"/>
    <w:rsid w:val="00B6278C"/>
    <w:rsid w:val="00B63779"/>
    <w:rsid w:val="00B65B85"/>
    <w:rsid w:val="00B671F3"/>
    <w:rsid w:val="00B73BA3"/>
    <w:rsid w:val="00B749B4"/>
    <w:rsid w:val="00B77421"/>
    <w:rsid w:val="00B808E6"/>
    <w:rsid w:val="00B82735"/>
    <w:rsid w:val="00B84566"/>
    <w:rsid w:val="00B94E91"/>
    <w:rsid w:val="00B952FA"/>
    <w:rsid w:val="00B96639"/>
    <w:rsid w:val="00BA0B72"/>
    <w:rsid w:val="00BA20FF"/>
    <w:rsid w:val="00BA76FD"/>
    <w:rsid w:val="00BB47D7"/>
    <w:rsid w:val="00BB7863"/>
    <w:rsid w:val="00BC2292"/>
    <w:rsid w:val="00BC29AC"/>
    <w:rsid w:val="00BC451C"/>
    <w:rsid w:val="00BC499B"/>
    <w:rsid w:val="00BC5E25"/>
    <w:rsid w:val="00BD413C"/>
    <w:rsid w:val="00BD6551"/>
    <w:rsid w:val="00BD7452"/>
    <w:rsid w:val="00BE08D7"/>
    <w:rsid w:val="00BE0C21"/>
    <w:rsid w:val="00BE3370"/>
    <w:rsid w:val="00BE358E"/>
    <w:rsid w:val="00BE5C0E"/>
    <w:rsid w:val="00BF03C7"/>
    <w:rsid w:val="00BF0622"/>
    <w:rsid w:val="00BF156E"/>
    <w:rsid w:val="00BF38CE"/>
    <w:rsid w:val="00BF4653"/>
    <w:rsid w:val="00BF5D66"/>
    <w:rsid w:val="00C15415"/>
    <w:rsid w:val="00C15C76"/>
    <w:rsid w:val="00C176B3"/>
    <w:rsid w:val="00C219D7"/>
    <w:rsid w:val="00C236BF"/>
    <w:rsid w:val="00C24D57"/>
    <w:rsid w:val="00C2767A"/>
    <w:rsid w:val="00C31C08"/>
    <w:rsid w:val="00C354D0"/>
    <w:rsid w:val="00C360D2"/>
    <w:rsid w:val="00C45485"/>
    <w:rsid w:val="00C4578E"/>
    <w:rsid w:val="00C46439"/>
    <w:rsid w:val="00C47108"/>
    <w:rsid w:val="00C47DEF"/>
    <w:rsid w:val="00C50490"/>
    <w:rsid w:val="00C53492"/>
    <w:rsid w:val="00C56345"/>
    <w:rsid w:val="00C63ADB"/>
    <w:rsid w:val="00C6454C"/>
    <w:rsid w:val="00C67AC4"/>
    <w:rsid w:val="00C73FFA"/>
    <w:rsid w:val="00C743D9"/>
    <w:rsid w:val="00C767D4"/>
    <w:rsid w:val="00C81BD1"/>
    <w:rsid w:val="00C83827"/>
    <w:rsid w:val="00C83A9D"/>
    <w:rsid w:val="00C86637"/>
    <w:rsid w:val="00C9592A"/>
    <w:rsid w:val="00C96813"/>
    <w:rsid w:val="00CA626E"/>
    <w:rsid w:val="00CB1AB5"/>
    <w:rsid w:val="00CB5904"/>
    <w:rsid w:val="00CB5AB7"/>
    <w:rsid w:val="00CB5E94"/>
    <w:rsid w:val="00CB69EE"/>
    <w:rsid w:val="00CB7991"/>
    <w:rsid w:val="00CC02DE"/>
    <w:rsid w:val="00CC14E2"/>
    <w:rsid w:val="00CC2978"/>
    <w:rsid w:val="00CC3126"/>
    <w:rsid w:val="00CC320A"/>
    <w:rsid w:val="00CC3514"/>
    <w:rsid w:val="00CC4452"/>
    <w:rsid w:val="00CC56B2"/>
    <w:rsid w:val="00CC666D"/>
    <w:rsid w:val="00CC6AD1"/>
    <w:rsid w:val="00CD080D"/>
    <w:rsid w:val="00CD1678"/>
    <w:rsid w:val="00CD4429"/>
    <w:rsid w:val="00CD6498"/>
    <w:rsid w:val="00CD7076"/>
    <w:rsid w:val="00CD79F2"/>
    <w:rsid w:val="00CE15FD"/>
    <w:rsid w:val="00CE16F4"/>
    <w:rsid w:val="00CE414C"/>
    <w:rsid w:val="00CE4448"/>
    <w:rsid w:val="00CE4B29"/>
    <w:rsid w:val="00CE7DBA"/>
    <w:rsid w:val="00CF02F5"/>
    <w:rsid w:val="00CF1622"/>
    <w:rsid w:val="00CF381B"/>
    <w:rsid w:val="00CF4454"/>
    <w:rsid w:val="00CF62C8"/>
    <w:rsid w:val="00CF647B"/>
    <w:rsid w:val="00CF67C4"/>
    <w:rsid w:val="00CF7868"/>
    <w:rsid w:val="00CF7A24"/>
    <w:rsid w:val="00D01184"/>
    <w:rsid w:val="00D01ED8"/>
    <w:rsid w:val="00D023B7"/>
    <w:rsid w:val="00D0499C"/>
    <w:rsid w:val="00D0502C"/>
    <w:rsid w:val="00D1047F"/>
    <w:rsid w:val="00D12491"/>
    <w:rsid w:val="00D134AF"/>
    <w:rsid w:val="00D135BB"/>
    <w:rsid w:val="00D1375B"/>
    <w:rsid w:val="00D13A32"/>
    <w:rsid w:val="00D14CE9"/>
    <w:rsid w:val="00D220C0"/>
    <w:rsid w:val="00D226E4"/>
    <w:rsid w:val="00D244BC"/>
    <w:rsid w:val="00D25DD2"/>
    <w:rsid w:val="00D335F0"/>
    <w:rsid w:val="00D33816"/>
    <w:rsid w:val="00D35017"/>
    <w:rsid w:val="00D36B93"/>
    <w:rsid w:val="00D414B2"/>
    <w:rsid w:val="00D5193D"/>
    <w:rsid w:val="00D5311F"/>
    <w:rsid w:val="00D618CD"/>
    <w:rsid w:val="00D630CF"/>
    <w:rsid w:val="00D650E0"/>
    <w:rsid w:val="00D65EC9"/>
    <w:rsid w:val="00D74F9D"/>
    <w:rsid w:val="00D75C04"/>
    <w:rsid w:val="00D82D42"/>
    <w:rsid w:val="00D86A5D"/>
    <w:rsid w:val="00D8756D"/>
    <w:rsid w:val="00D90249"/>
    <w:rsid w:val="00D926DB"/>
    <w:rsid w:val="00D95A83"/>
    <w:rsid w:val="00DA0C88"/>
    <w:rsid w:val="00DA1875"/>
    <w:rsid w:val="00DA6E6A"/>
    <w:rsid w:val="00DB467A"/>
    <w:rsid w:val="00DB5525"/>
    <w:rsid w:val="00DC0C76"/>
    <w:rsid w:val="00DC289C"/>
    <w:rsid w:val="00DC63E6"/>
    <w:rsid w:val="00DD008E"/>
    <w:rsid w:val="00DD0392"/>
    <w:rsid w:val="00DD0FBD"/>
    <w:rsid w:val="00DD1BD3"/>
    <w:rsid w:val="00DD21FB"/>
    <w:rsid w:val="00DD5E95"/>
    <w:rsid w:val="00DE6EF9"/>
    <w:rsid w:val="00DE7121"/>
    <w:rsid w:val="00DF18EA"/>
    <w:rsid w:val="00DF2901"/>
    <w:rsid w:val="00DF5EDB"/>
    <w:rsid w:val="00DF601E"/>
    <w:rsid w:val="00DF65F7"/>
    <w:rsid w:val="00DF763F"/>
    <w:rsid w:val="00E00064"/>
    <w:rsid w:val="00E03224"/>
    <w:rsid w:val="00E05034"/>
    <w:rsid w:val="00E074E3"/>
    <w:rsid w:val="00E103F2"/>
    <w:rsid w:val="00E12F6C"/>
    <w:rsid w:val="00E14892"/>
    <w:rsid w:val="00E15FE7"/>
    <w:rsid w:val="00E2002C"/>
    <w:rsid w:val="00E21912"/>
    <w:rsid w:val="00E21F84"/>
    <w:rsid w:val="00E23ADE"/>
    <w:rsid w:val="00E23F43"/>
    <w:rsid w:val="00E24E96"/>
    <w:rsid w:val="00E27F98"/>
    <w:rsid w:val="00E30435"/>
    <w:rsid w:val="00E32EE6"/>
    <w:rsid w:val="00E34CE8"/>
    <w:rsid w:val="00E4418C"/>
    <w:rsid w:val="00E468E3"/>
    <w:rsid w:val="00E507BE"/>
    <w:rsid w:val="00E514FB"/>
    <w:rsid w:val="00E54543"/>
    <w:rsid w:val="00E54EC5"/>
    <w:rsid w:val="00E553C7"/>
    <w:rsid w:val="00E554A7"/>
    <w:rsid w:val="00E56DD0"/>
    <w:rsid w:val="00E57263"/>
    <w:rsid w:val="00E6057C"/>
    <w:rsid w:val="00E61B03"/>
    <w:rsid w:val="00E74350"/>
    <w:rsid w:val="00E74FA0"/>
    <w:rsid w:val="00E815F5"/>
    <w:rsid w:val="00E9117F"/>
    <w:rsid w:val="00E9234E"/>
    <w:rsid w:val="00E965D6"/>
    <w:rsid w:val="00E96B2E"/>
    <w:rsid w:val="00EA2C1D"/>
    <w:rsid w:val="00EA5573"/>
    <w:rsid w:val="00EA59EE"/>
    <w:rsid w:val="00EA7E40"/>
    <w:rsid w:val="00EB02F8"/>
    <w:rsid w:val="00EB10BA"/>
    <w:rsid w:val="00EB1E48"/>
    <w:rsid w:val="00EB1F5D"/>
    <w:rsid w:val="00EB2E5D"/>
    <w:rsid w:val="00EB35B2"/>
    <w:rsid w:val="00EB4192"/>
    <w:rsid w:val="00EB4D94"/>
    <w:rsid w:val="00EB7B02"/>
    <w:rsid w:val="00EC0A9C"/>
    <w:rsid w:val="00EC135D"/>
    <w:rsid w:val="00EC2002"/>
    <w:rsid w:val="00EC2674"/>
    <w:rsid w:val="00EC27FF"/>
    <w:rsid w:val="00EC5249"/>
    <w:rsid w:val="00ED0BAD"/>
    <w:rsid w:val="00ED0E2F"/>
    <w:rsid w:val="00ED1D8F"/>
    <w:rsid w:val="00ED1E3F"/>
    <w:rsid w:val="00ED230A"/>
    <w:rsid w:val="00ED2587"/>
    <w:rsid w:val="00ED3442"/>
    <w:rsid w:val="00ED4AC2"/>
    <w:rsid w:val="00ED53A3"/>
    <w:rsid w:val="00ED598A"/>
    <w:rsid w:val="00ED67D8"/>
    <w:rsid w:val="00ED6B81"/>
    <w:rsid w:val="00ED7192"/>
    <w:rsid w:val="00EE08BF"/>
    <w:rsid w:val="00EE23E0"/>
    <w:rsid w:val="00EF0059"/>
    <w:rsid w:val="00EF0486"/>
    <w:rsid w:val="00EF1078"/>
    <w:rsid w:val="00EF1C91"/>
    <w:rsid w:val="00EF387B"/>
    <w:rsid w:val="00EF4C10"/>
    <w:rsid w:val="00F0012F"/>
    <w:rsid w:val="00F00F91"/>
    <w:rsid w:val="00F014E9"/>
    <w:rsid w:val="00F026B9"/>
    <w:rsid w:val="00F05EF8"/>
    <w:rsid w:val="00F07653"/>
    <w:rsid w:val="00F14686"/>
    <w:rsid w:val="00F14FBA"/>
    <w:rsid w:val="00F257FA"/>
    <w:rsid w:val="00F269F9"/>
    <w:rsid w:val="00F32D5D"/>
    <w:rsid w:val="00F4568E"/>
    <w:rsid w:val="00F47F2C"/>
    <w:rsid w:val="00F5264F"/>
    <w:rsid w:val="00F53802"/>
    <w:rsid w:val="00F54501"/>
    <w:rsid w:val="00F54807"/>
    <w:rsid w:val="00F56C43"/>
    <w:rsid w:val="00F56D23"/>
    <w:rsid w:val="00F56D42"/>
    <w:rsid w:val="00F574BA"/>
    <w:rsid w:val="00F57A60"/>
    <w:rsid w:val="00F63260"/>
    <w:rsid w:val="00F63B25"/>
    <w:rsid w:val="00F67D24"/>
    <w:rsid w:val="00F70C17"/>
    <w:rsid w:val="00F71561"/>
    <w:rsid w:val="00F71C97"/>
    <w:rsid w:val="00F7243F"/>
    <w:rsid w:val="00F72E2E"/>
    <w:rsid w:val="00F75962"/>
    <w:rsid w:val="00F76133"/>
    <w:rsid w:val="00F77611"/>
    <w:rsid w:val="00F82184"/>
    <w:rsid w:val="00F84FE6"/>
    <w:rsid w:val="00F865AE"/>
    <w:rsid w:val="00F921C0"/>
    <w:rsid w:val="00F935A4"/>
    <w:rsid w:val="00F945E8"/>
    <w:rsid w:val="00F94A14"/>
    <w:rsid w:val="00F968CA"/>
    <w:rsid w:val="00F96EDC"/>
    <w:rsid w:val="00FA0978"/>
    <w:rsid w:val="00FA0F61"/>
    <w:rsid w:val="00FA4378"/>
    <w:rsid w:val="00FA5856"/>
    <w:rsid w:val="00FA7471"/>
    <w:rsid w:val="00FB178D"/>
    <w:rsid w:val="00FB2BE3"/>
    <w:rsid w:val="00FB4464"/>
    <w:rsid w:val="00FB499F"/>
    <w:rsid w:val="00FB6559"/>
    <w:rsid w:val="00FB7B10"/>
    <w:rsid w:val="00FC253B"/>
    <w:rsid w:val="00FC2D71"/>
    <w:rsid w:val="00FC2FD4"/>
    <w:rsid w:val="00FC6BED"/>
    <w:rsid w:val="00FD1479"/>
    <w:rsid w:val="00FD167D"/>
    <w:rsid w:val="00FD488B"/>
    <w:rsid w:val="00FD66C3"/>
    <w:rsid w:val="00FD73C6"/>
    <w:rsid w:val="00FE4CBE"/>
    <w:rsid w:val="00FE67F9"/>
    <w:rsid w:val="00FE7E16"/>
    <w:rsid w:val="00FF5FB6"/>
    <w:rsid w:val="00FF6F87"/>
    <w:rsid w:val="00FF7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DFE0"/>
  <w15:chartTrackingRefBased/>
  <w15:docId w15:val="{15CD1210-7B51-43B9-ACF0-AC6BF019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29"/>
    <w:pPr>
      <w:spacing w:after="120" w:line="276" w:lineRule="auto"/>
    </w:pPr>
    <w:rPr>
      <w:rFonts w:ascii="Arial" w:hAnsi="Arial"/>
      <w:sz w:val="24"/>
    </w:rPr>
  </w:style>
  <w:style w:type="paragraph" w:styleId="Heading1">
    <w:name w:val="heading 1"/>
    <w:basedOn w:val="Normal"/>
    <w:next w:val="Normal"/>
    <w:link w:val="Heading1Char"/>
    <w:uiPriority w:val="9"/>
    <w:qFormat/>
    <w:rsid w:val="0015613E"/>
    <w:pPr>
      <w:keepNext/>
      <w:keepLines/>
      <w:spacing w:before="240" w:after="0" w:line="36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9827AC"/>
    <w:pPr>
      <w:keepNext/>
      <w:keepLines/>
      <w:spacing w:before="200"/>
      <w:outlineLvl w:val="1"/>
    </w:pPr>
    <w:rPr>
      <w:rFonts w:eastAsiaTheme="majorEastAsia" w:cs="Arial"/>
      <w:b/>
      <w:sz w:val="28"/>
      <w:szCs w:val="24"/>
    </w:rPr>
  </w:style>
  <w:style w:type="paragraph" w:styleId="Heading3">
    <w:name w:val="heading 3"/>
    <w:basedOn w:val="Normal"/>
    <w:next w:val="Normal"/>
    <w:link w:val="Heading3Char"/>
    <w:uiPriority w:val="9"/>
    <w:semiHidden/>
    <w:unhideWhenUsed/>
    <w:qFormat/>
    <w:rsid w:val="009A2C7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A2C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2C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13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827AC"/>
    <w:rPr>
      <w:rFonts w:ascii="Arial" w:eastAsiaTheme="majorEastAsia" w:hAnsi="Arial" w:cs="Arial"/>
      <w:b/>
      <w:sz w:val="28"/>
      <w:szCs w:val="24"/>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CD4429"/>
    <w:pPr>
      <w:ind w:left="720"/>
      <w:contextualSpacing/>
    </w:pPr>
  </w:style>
  <w:style w:type="paragraph" w:styleId="FootnoteText">
    <w:name w:val="footnote text"/>
    <w:basedOn w:val="Normal"/>
    <w:link w:val="FootnoteTextChar"/>
    <w:uiPriority w:val="99"/>
    <w:unhideWhenUsed/>
    <w:rsid w:val="00543D23"/>
    <w:pPr>
      <w:adjustRightInd w:val="0"/>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543D23"/>
    <w:rPr>
      <w:rFonts w:ascii="Arial" w:hAnsi="Arial"/>
      <w:color w:val="000000" w:themeColor="text1"/>
      <w:sz w:val="20"/>
      <w:szCs w:val="20"/>
    </w:rPr>
  </w:style>
  <w:style w:type="paragraph" w:styleId="EndnoteText">
    <w:name w:val="endnote text"/>
    <w:basedOn w:val="Normal"/>
    <w:link w:val="EndnoteTextChar"/>
    <w:uiPriority w:val="99"/>
    <w:unhideWhenUsed/>
    <w:rsid w:val="00CD4429"/>
    <w:pPr>
      <w:spacing w:after="0" w:line="240" w:lineRule="auto"/>
    </w:pPr>
    <w:rPr>
      <w:sz w:val="20"/>
      <w:szCs w:val="20"/>
    </w:rPr>
  </w:style>
  <w:style w:type="character" w:customStyle="1" w:styleId="EndnoteTextChar">
    <w:name w:val="Endnote Text Char"/>
    <w:basedOn w:val="DefaultParagraphFont"/>
    <w:link w:val="EndnoteText"/>
    <w:uiPriority w:val="99"/>
    <w:rsid w:val="00CD4429"/>
    <w:rPr>
      <w:rFonts w:ascii="Arial" w:hAnsi="Arial"/>
      <w:sz w:val="20"/>
      <w:szCs w:val="20"/>
    </w:rPr>
  </w:style>
  <w:style w:type="character" w:styleId="EndnoteReference">
    <w:name w:val="endnote reference"/>
    <w:basedOn w:val="DefaultParagraphFont"/>
    <w:uiPriority w:val="99"/>
    <w:semiHidden/>
    <w:unhideWhenUsed/>
    <w:rsid w:val="00CD4429"/>
    <w:rPr>
      <w:vertAlign w:val="superscript"/>
    </w:rPr>
  </w:style>
  <w:style w:type="paragraph" w:styleId="Header">
    <w:name w:val="header"/>
    <w:basedOn w:val="Normal"/>
    <w:link w:val="HeaderChar"/>
    <w:uiPriority w:val="99"/>
    <w:unhideWhenUsed/>
    <w:rsid w:val="00CD4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429"/>
    <w:rPr>
      <w:rFonts w:ascii="Arial" w:hAnsi="Arial"/>
      <w:sz w:val="24"/>
    </w:rPr>
  </w:style>
  <w:style w:type="paragraph" w:styleId="Footer">
    <w:name w:val="footer"/>
    <w:basedOn w:val="Normal"/>
    <w:link w:val="FooterChar"/>
    <w:uiPriority w:val="99"/>
    <w:unhideWhenUsed/>
    <w:rsid w:val="00071E5A"/>
    <w:pPr>
      <w:tabs>
        <w:tab w:val="center" w:pos="4513"/>
        <w:tab w:val="right" w:pos="9026"/>
      </w:tabs>
      <w:spacing w:after="0" w:line="240" w:lineRule="auto"/>
    </w:pPr>
    <w:rPr>
      <w:color w:val="00B0F0"/>
    </w:rPr>
  </w:style>
  <w:style w:type="character" w:customStyle="1" w:styleId="FooterChar">
    <w:name w:val="Footer Char"/>
    <w:basedOn w:val="DefaultParagraphFont"/>
    <w:link w:val="Footer"/>
    <w:uiPriority w:val="99"/>
    <w:rsid w:val="00071E5A"/>
    <w:rPr>
      <w:rFonts w:ascii="Arial" w:hAnsi="Arial"/>
      <w:color w:val="00B0F0"/>
      <w:sz w:val="24"/>
    </w:rPr>
  </w:style>
  <w:style w:type="character" w:customStyle="1" w:styleId="st">
    <w:name w:val="st"/>
    <w:basedOn w:val="DefaultParagraphFont"/>
    <w:rsid w:val="00CF647B"/>
  </w:style>
  <w:style w:type="character" w:customStyle="1" w:styleId="lrzxr">
    <w:name w:val="lrzxr"/>
    <w:basedOn w:val="DefaultParagraphFont"/>
    <w:rsid w:val="000D091F"/>
  </w:style>
  <w:style w:type="paragraph" w:styleId="BalloonText">
    <w:name w:val="Balloon Text"/>
    <w:basedOn w:val="Normal"/>
    <w:link w:val="BalloonTextChar"/>
    <w:uiPriority w:val="99"/>
    <w:semiHidden/>
    <w:unhideWhenUsed/>
    <w:rsid w:val="0083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88B"/>
    <w:rPr>
      <w:rFonts w:ascii="Segoe UI" w:hAnsi="Segoe UI" w:cs="Segoe UI"/>
      <w:sz w:val="18"/>
      <w:szCs w:val="18"/>
    </w:rPr>
  </w:style>
  <w:style w:type="character" w:styleId="CommentReference">
    <w:name w:val="annotation reference"/>
    <w:basedOn w:val="DefaultParagraphFont"/>
    <w:uiPriority w:val="99"/>
    <w:semiHidden/>
    <w:unhideWhenUsed/>
    <w:rsid w:val="0083388B"/>
    <w:rPr>
      <w:sz w:val="16"/>
      <w:szCs w:val="16"/>
    </w:rPr>
  </w:style>
  <w:style w:type="paragraph" w:styleId="CommentText">
    <w:name w:val="annotation text"/>
    <w:basedOn w:val="Normal"/>
    <w:link w:val="CommentTextChar"/>
    <w:uiPriority w:val="99"/>
    <w:unhideWhenUsed/>
    <w:rsid w:val="0083388B"/>
    <w:pPr>
      <w:spacing w:line="240" w:lineRule="auto"/>
    </w:pPr>
    <w:rPr>
      <w:sz w:val="20"/>
      <w:szCs w:val="20"/>
    </w:rPr>
  </w:style>
  <w:style w:type="character" w:customStyle="1" w:styleId="CommentTextChar">
    <w:name w:val="Comment Text Char"/>
    <w:basedOn w:val="DefaultParagraphFont"/>
    <w:link w:val="CommentText"/>
    <w:uiPriority w:val="99"/>
    <w:rsid w:val="008338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388B"/>
    <w:rPr>
      <w:b/>
      <w:bCs/>
    </w:rPr>
  </w:style>
  <w:style w:type="character" w:customStyle="1" w:styleId="CommentSubjectChar">
    <w:name w:val="Comment Subject Char"/>
    <w:basedOn w:val="CommentTextChar"/>
    <w:link w:val="CommentSubject"/>
    <w:uiPriority w:val="99"/>
    <w:semiHidden/>
    <w:rsid w:val="0083388B"/>
    <w:rPr>
      <w:rFonts w:ascii="Arial" w:hAnsi="Arial"/>
      <w:b/>
      <w:bCs/>
      <w:sz w:val="20"/>
      <w:szCs w:val="20"/>
    </w:rPr>
  </w:style>
  <w:style w:type="character" w:styleId="Emphasis">
    <w:name w:val="Emphasis"/>
    <w:basedOn w:val="DefaultParagraphFont"/>
    <w:uiPriority w:val="20"/>
    <w:qFormat/>
    <w:rsid w:val="00767D18"/>
    <w:rPr>
      <w:i/>
      <w:iCs/>
    </w:rPr>
  </w:style>
  <w:style w:type="character" w:styleId="Hyperlink">
    <w:name w:val="Hyperlink"/>
    <w:basedOn w:val="DefaultParagraphFont"/>
    <w:uiPriority w:val="99"/>
    <w:unhideWhenUsed/>
    <w:rsid w:val="00D244BC"/>
    <w:rPr>
      <w:color w:val="0563C1" w:themeColor="hyperlink"/>
      <w:u w:val="single"/>
    </w:rPr>
  </w:style>
  <w:style w:type="character" w:styleId="FollowedHyperlink">
    <w:name w:val="FollowedHyperlink"/>
    <w:basedOn w:val="DefaultParagraphFont"/>
    <w:uiPriority w:val="99"/>
    <w:semiHidden/>
    <w:unhideWhenUsed/>
    <w:rsid w:val="007016B2"/>
    <w:rPr>
      <w:color w:val="954F72" w:themeColor="followedHyperlink"/>
      <w:u w:val="single"/>
    </w:rPr>
  </w:style>
  <w:style w:type="paragraph" w:customStyle="1" w:styleId="xmsonormal">
    <w:name w:val="x_msonormal"/>
    <w:basedOn w:val="Normal"/>
    <w:rsid w:val="00C81BD1"/>
    <w:pPr>
      <w:spacing w:after="0" w:line="240" w:lineRule="auto"/>
    </w:pPr>
    <w:rPr>
      <w:rFonts w:ascii="Calibri" w:hAnsi="Calibri" w:cs="Calibri"/>
      <w:sz w:val="22"/>
      <w:lang w:eastAsia="en-AU"/>
    </w:rPr>
  </w:style>
  <w:style w:type="character" w:styleId="FootnoteReference">
    <w:name w:val="footnote reference"/>
    <w:basedOn w:val="DefaultParagraphFont"/>
    <w:uiPriority w:val="99"/>
    <w:semiHidden/>
    <w:unhideWhenUsed/>
    <w:rsid w:val="001818C7"/>
    <w:rPr>
      <w:vertAlign w:val="superscript"/>
    </w:rPr>
  </w:style>
  <w:style w:type="character" w:customStyle="1" w:styleId="authors">
    <w:name w:val="authors"/>
    <w:basedOn w:val="DefaultParagraphFont"/>
    <w:rsid w:val="006F5E8C"/>
  </w:style>
  <w:style w:type="character" w:customStyle="1" w:styleId="Date1">
    <w:name w:val="Date1"/>
    <w:basedOn w:val="DefaultParagraphFont"/>
    <w:rsid w:val="006F5E8C"/>
  </w:style>
  <w:style w:type="character" w:customStyle="1" w:styleId="arttitle">
    <w:name w:val="art_title"/>
    <w:basedOn w:val="DefaultParagraphFont"/>
    <w:rsid w:val="006F5E8C"/>
  </w:style>
  <w:style w:type="character" w:customStyle="1" w:styleId="serialtitle">
    <w:name w:val="serial_title"/>
    <w:basedOn w:val="DefaultParagraphFont"/>
    <w:rsid w:val="006F5E8C"/>
  </w:style>
  <w:style w:type="character" w:customStyle="1" w:styleId="volumeissue">
    <w:name w:val="volume_issue"/>
    <w:basedOn w:val="DefaultParagraphFont"/>
    <w:rsid w:val="006F5E8C"/>
  </w:style>
  <w:style w:type="character" w:customStyle="1" w:styleId="doilink">
    <w:name w:val="doi_link"/>
    <w:basedOn w:val="DefaultParagraphFont"/>
    <w:rsid w:val="006F5E8C"/>
  </w:style>
  <w:style w:type="paragraph" w:styleId="Revision">
    <w:name w:val="Revision"/>
    <w:hidden/>
    <w:uiPriority w:val="99"/>
    <w:semiHidden/>
    <w:rsid w:val="008F2712"/>
    <w:pPr>
      <w:spacing w:after="0" w:line="240" w:lineRule="auto"/>
    </w:pPr>
    <w:rPr>
      <w:rFonts w:ascii="Arial" w:hAnsi="Arial"/>
      <w:sz w:val="24"/>
    </w:rPr>
  </w:style>
  <w:style w:type="paragraph" w:styleId="TOCHeading">
    <w:name w:val="TOC Heading"/>
    <w:basedOn w:val="Heading1"/>
    <w:next w:val="Normal"/>
    <w:uiPriority w:val="39"/>
    <w:unhideWhenUsed/>
    <w:qFormat/>
    <w:rsid w:val="00CD6498"/>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6174DA"/>
    <w:pPr>
      <w:tabs>
        <w:tab w:val="right" w:leader="dot" w:pos="9016"/>
      </w:tabs>
      <w:spacing w:after="100"/>
    </w:pPr>
    <w:rPr>
      <w:b/>
      <w:noProof/>
    </w:rPr>
  </w:style>
  <w:style w:type="paragraph" w:styleId="TOC2">
    <w:name w:val="toc 2"/>
    <w:basedOn w:val="Normal"/>
    <w:next w:val="Normal"/>
    <w:autoRedefine/>
    <w:uiPriority w:val="39"/>
    <w:unhideWhenUsed/>
    <w:rsid w:val="008135CA"/>
    <w:pPr>
      <w:spacing w:after="100"/>
      <w:ind w:left="240"/>
    </w:pPr>
    <w:rPr>
      <w:lang w:val="en-US"/>
    </w:rPr>
  </w:style>
  <w:style w:type="paragraph" w:customStyle="1" w:styleId="Default">
    <w:name w:val="Default"/>
    <w:rsid w:val="006F289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6651B"/>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ite-author">
    <w:name w:val="cite-author"/>
    <w:basedOn w:val="DefaultParagraphFont"/>
    <w:rsid w:val="006174DA"/>
  </w:style>
  <w:style w:type="paragraph" w:styleId="BodyText">
    <w:name w:val="Body Text"/>
    <w:basedOn w:val="Normal"/>
    <w:link w:val="BodyTextChar"/>
    <w:semiHidden/>
    <w:unhideWhenUsed/>
    <w:qFormat/>
    <w:rsid w:val="009A2C73"/>
    <w:pPr>
      <w:spacing w:before="120" w:line="260" w:lineRule="atLeast"/>
    </w:pPr>
    <w:rPr>
      <w:rFonts w:asciiTheme="minorHAnsi" w:hAnsiTheme="minorHAnsi"/>
      <w:sz w:val="20"/>
    </w:rPr>
  </w:style>
  <w:style w:type="character" w:customStyle="1" w:styleId="BodyTextChar">
    <w:name w:val="Body Text Char"/>
    <w:basedOn w:val="DefaultParagraphFont"/>
    <w:link w:val="BodyText"/>
    <w:semiHidden/>
    <w:rsid w:val="009A2C73"/>
    <w:rPr>
      <w:sz w:val="20"/>
    </w:rPr>
  </w:style>
  <w:style w:type="paragraph" w:styleId="ListNumber0">
    <w:name w:val="List Number"/>
    <w:basedOn w:val="BodyText"/>
    <w:uiPriority w:val="2"/>
    <w:unhideWhenUsed/>
    <w:qFormat/>
    <w:rsid w:val="009A2C73"/>
    <w:pPr>
      <w:numPr>
        <w:numId w:val="1"/>
      </w:numPr>
    </w:pPr>
  </w:style>
  <w:style w:type="paragraph" w:styleId="ListNumber2">
    <w:name w:val="List Number 2"/>
    <w:basedOn w:val="ListNumber0"/>
    <w:uiPriority w:val="19"/>
    <w:semiHidden/>
    <w:unhideWhenUsed/>
    <w:rsid w:val="009A2C73"/>
    <w:pPr>
      <w:numPr>
        <w:ilvl w:val="1"/>
      </w:numPr>
    </w:pPr>
  </w:style>
  <w:style w:type="paragraph" w:styleId="ListNumber3">
    <w:name w:val="List Number 3"/>
    <w:basedOn w:val="ListNumber0"/>
    <w:uiPriority w:val="19"/>
    <w:semiHidden/>
    <w:unhideWhenUsed/>
    <w:rsid w:val="009A2C73"/>
    <w:pPr>
      <w:numPr>
        <w:ilvl w:val="2"/>
      </w:numPr>
    </w:pPr>
  </w:style>
  <w:style w:type="paragraph" w:styleId="ListNumber4">
    <w:name w:val="List Number 4"/>
    <w:basedOn w:val="ListNumber0"/>
    <w:uiPriority w:val="19"/>
    <w:semiHidden/>
    <w:unhideWhenUsed/>
    <w:rsid w:val="009A2C73"/>
    <w:pPr>
      <w:numPr>
        <w:ilvl w:val="3"/>
      </w:numPr>
    </w:pPr>
  </w:style>
  <w:style w:type="paragraph" w:styleId="ListNumber5">
    <w:name w:val="List Number 5"/>
    <w:basedOn w:val="ListNumber0"/>
    <w:uiPriority w:val="19"/>
    <w:semiHidden/>
    <w:unhideWhenUsed/>
    <w:rsid w:val="009A2C73"/>
    <w:pPr>
      <w:numPr>
        <w:ilvl w:val="4"/>
      </w:numPr>
    </w:pPr>
  </w:style>
  <w:style w:type="paragraph" w:customStyle="1" w:styleId="NbrHeading1">
    <w:name w:val="Nbr Heading 1"/>
    <w:basedOn w:val="Heading1"/>
    <w:next w:val="BodyText"/>
    <w:uiPriority w:val="1"/>
    <w:qFormat/>
    <w:rsid w:val="009A2C73"/>
    <w:pPr>
      <w:numPr>
        <w:numId w:val="2"/>
      </w:numPr>
      <w:tabs>
        <w:tab w:val="clear" w:pos="1134"/>
        <w:tab w:val="num" w:pos="360"/>
      </w:tabs>
      <w:spacing w:before="360" w:after="240" w:line="240" w:lineRule="auto"/>
      <w:ind w:left="0" w:firstLine="0"/>
    </w:pPr>
    <w:rPr>
      <w:rFonts w:asciiTheme="majorHAnsi" w:hAnsiTheme="majorHAnsi"/>
      <w:b w:val="0"/>
      <w:color w:val="5B9BD5" w:themeColor="accent1"/>
      <w:sz w:val="36"/>
    </w:rPr>
  </w:style>
  <w:style w:type="paragraph" w:customStyle="1" w:styleId="NbrHeading2">
    <w:name w:val="Nbr Heading 2"/>
    <w:basedOn w:val="Heading2"/>
    <w:next w:val="BodyText"/>
    <w:uiPriority w:val="1"/>
    <w:qFormat/>
    <w:rsid w:val="009A2C73"/>
    <w:pPr>
      <w:numPr>
        <w:ilvl w:val="1"/>
        <w:numId w:val="2"/>
      </w:numPr>
      <w:spacing w:before="240" w:line="240" w:lineRule="auto"/>
    </w:pPr>
    <w:rPr>
      <w:rFonts w:asciiTheme="majorHAnsi" w:hAnsiTheme="majorHAnsi" w:cstheme="majorBidi"/>
      <w:color w:val="5B9BD5" w:themeColor="accent1"/>
      <w:szCs w:val="26"/>
    </w:rPr>
  </w:style>
  <w:style w:type="paragraph" w:customStyle="1" w:styleId="NbrHeading3">
    <w:name w:val="Nbr Heading 3"/>
    <w:basedOn w:val="Heading3"/>
    <w:next w:val="BodyText"/>
    <w:uiPriority w:val="1"/>
    <w:qFormat/>
    <w:rsid w:val="009A2C73"/>
    <w:pPr>
      <w:numPr>
        <w:ilvl w:val="2"/>
        <w:numId w:val="2"/>
      </w:numPr>
      <w:tabs>
        <w:tab w:val="clear" w:pos="1134"/>
        <w:tab w:val="num" w:pos="360"/>
      </w:tabs>
      <w:spacing w:before="240" w:after="120" w:line="240" w:lineRule="auto"/>
      <w:ind w:left="0" w:firstLine="0"/>
    </w:pPr>
    <w:rPr>
      <w:color w:val="5B9BD5" w:themeColor="accent1"/>
    </w:rPr>
  </w:style>
  <w:style w:type="paragraph" w:customStyle="1" w:styleId="NbrHeading4">
    <w:name w:val="Nbr Heading 4"/>
    <w:basedOn w:val="Heading4"/>
    <w:next w:val="BodyText"/>
    <w:uiPriority w:val="1"/>
    <w:qFormat/>
    <w:rsid w:val="009A2C73"/>
    <w:pPr>
      <w:numPr>
        <w:ilvl w:val="3"/>
        <w:numId w:val="2"/>
      </w:numPr>
      <w:tabs>
        <w:tab w:val="clear" w:pos="1134"/>
        <w:tab w:val="num" w:pos="360"/>
      </w:tabs>
      <w:spacing w:before="240" w:after="120" w:line="240" w:lineRule="auto"/>
      <w:ind w:left="0" w:firstLine="0"/>
    </w:pPr>
    <w:rPr>
      <w:b/>
      <w:i w:val="0"/>
      <w:color w:val="5B9BD5" w:themeColor="accent1"/>
      <w:sz w:val="20"/>
    </w:rPr>
  </w:style>
  <w:style w:type="paragraph" w:customStyle="1" w:styleId="NbrHeading5">
    <w:name w:val="Nbr Heading 5"/>
    <w:basedOn w:val="Heading5"/>
    <w:next w:val="BodyText"/>
    <w:uiPriority w:val="1"/>
    <w:qFormat/>
    <w:rsid w:val="009A2C73"/>
    <w:pPr>
      <w:numPr>
        <w:ilvl w:val="4"/>
        <w:numId w:val="2"/>
      </w:numPr>
      <w:tabs>
        <w:tab w:val="clear" w:pos="1134"/>
        <w:tab w:val="num" w:pos="360"/>
      </w:tabs>
      <w:spacing w:before="240" w:after="120" w:line="240" w:lineRule="auto"/>
      <w:ind w:left="0" w:firstLine="0"/>
    </w:pPr>
    <w:rPr>
      <w:i/>
      <w:color w:val="5B9BD5" w:themeColor="accent1"/>
      <w:sz w:val="20"/>
    </w:rPr>
  </w:style>
  <w:style w:type="paragraph" w:customStyle="1" w:styleId="ListNumber6">
    <w:name w:val="List Number 6"/>
    <w:basedOn w:val="ListNumber0"/>
    <w:uiPriority w:val="19"/>
    <w:rsid w:val="009A2C73"/>
    <w:pPr>
      <w:numPr>
        <w:ilvl w:val="5"/>
      </w:numPr>
    </w:pPr>
  </w:style>
  <w:style w:type="paragraph" w:customStyle="1" w:styleId="TableNumber">
    <w:name w:val="Table Number"/>
    <w:basedOn w:val="Normal"/>
    <w:uiPriority w:val="4"/>
    <w:qFormat/>
    <w:rsid w:val="009A2C73"/>
    <w:pPr>
      <w:numPr>
        <w:numId w:val="3"/>
      </w:numPr>
      <w:spacing w:before="60" w:after="60" w:line="240" w:lineRule="auto"/>
      <w:ind w:right="113"/>
    </w:pPr>
    <w:rPr>
      <w:rFonts w:asciiTheme="minorHAnsi" w:hAnsiTheme="minorHAnsi"/>
      <w:sz w:val="20"/>
    </w:rPr>
  </w:style>
  <w:style w:type="paragraph" w:customStyle="1" w:styleId="TableNumber2">
    <w:name w:val="Table Number 2"/>
    <w:basedOn w:val="TableNumber"/>
    <w:uiPriority w:val="19"/>
    <w:rsid w:val="009A2C73"/>
    <w:pPr>
      <w:numPr>
        <w:ilvl w:val="1"/>
      </w:numPr>
    </w:pPr>
  </w:style>
  <w:style w:type="paragraph" w:customStyle="1" w:styleId="SectionTitleNumbered">
    <w:name w:val="Section Title Numbered"/>
    <w:basedOn w:val="Normal"/>
    <w:uiPriority w:val="19"/>
    <w:qFormat/>
    <w:rsid w:val="009A2C73"/>
    <w:pPr>
      <w:numPr>
        <w:numId w:val="22"/>
      </w:numPr>
      <w:spacing w:before="120" w:after="0" w:line="240" w:lineRule="auto"/>
    </w:pPr>
    <w:rPr>
      <w:rFonts w:asciiTheme="minorHAnsi" w:hAnsiTheme="minorHAnsi"/>
      <w:color w:val="5B9BD5" w:themeColor="accent1"/>
      <w:sz w:val="48"/>
    </w:rPr>
  </w:style>
  <w:style w:type="paragraph" w:customStyle="1" w:styleId="SectionNumberOnly">
    <w:name w:val="Section Number Only"/>
    <w:basedOn w:val="Normal"/>
    <w:uiPriority w:val="19"/>
    <w:qFormat/>
    <w:rsid w:val="009A2C73"/>
    <w:pPr>
      <w:numPr>
        <w:ilvl w:val="1"/>
        <w:numId w:val="22"/>
      </w:numPr>
      <w:spacing w:line="240" w:lineRule="auto"/>
    </w:pPr>
    <w:rPr>
      <w:rFonts w:asciiTheme="minorHAnsi" w:hAnsiTheme="minorHAnsi"/>
      <w:color w:val="ED7D31" w:themeColor="accent2"/>
      <w:sz w:val="72"/>
    </w:rPr>
  </w:style>
  <w:style w:type="table" w:customStyle="1" w:styleId="TableMSA">
    <w:name w:val="Table MSA"/>
    <w:basedOn w:val="TableNormal"/>
    <w:uiPriority w:val="99"/>
    <w:rsid w:val="005B015B"/>
    <w:pPr>
      <w:spacing w:after="0" w:line="240" w:lineRule="auto"/>
    </w:pPr>
    <w:tblPr>
      <w:tblStyleRowBandSize w:val="1"/>
      <w:tblStyleColBandSize w:val="1"/>
      <w:tblInd w:w="142" w:type="dxa"/>
      <w:tblBorders>
        <w:top w:val="single" w:sz="2" w:space="0" w:color="00A3DB"/>
        <w:bottom w:val="single" w:sz="4" w:space="0" w:color="00A3DB"/>
        <w:insideH w:val="single" w:sz="2" w:space="0" w:color="00A3DB"/>
      </w:tblBorders>
      <w:tblCellMar>
        <w:left w:w="142" w:type="dxa"/>
        <w:right w:w="0" w:type="dxa"/>
      </w:tblCellMar>
    </w:tblPr>
    <w:tcPr>
      <w:shd w:val="clear" w:color="auto" w:fill="D4EEF5"/>
    </w:tcPr>
    <w:tblStylePr w:type="firstRow">
      <w:rPr>
        <w:rFonts w:asciiTheme="minorHAnsi" w:hAnsiTheme="minorHAnsi"/>
        <w:b w:val="0"/>
        <w:color w:val="D4EEF5"/>
        <w:sz w:val="24"/>
      </w:rPr>
      <w:tblPr/>
      <w:tcPr>
        <w:shd w:val="clear" w:color="auto" w:fill="BADBE3"/>
      </w:tcPr>
    </w:tblStylePr>
    <w:tblStylePr w:type="lastRow">
      <w:rPr>
        <w:b/>
      </w:rPr>
      <w:tblPr/>
      <w:tcPr>
        <w:shd w:val="clear" w:color="auto" w:fill="E2EFD9" w:themeFill="accent6" w:themeFillTint="33"/>
      </w:tcPr>
    </w:tblStylePr>
    <w:tblStylePr w:type="lastCol">
      <w:tblPr/>
      <w:tcPr>
        <w:shd w:val="clear" w:color="auto" w:fill="E2EFD9" w:themeFill="accent6" w:themeFillTint="33"/>
      </w:tcPr>
    </w:tblStylePr>
    <w:tblStylePr w:type="band2Vert">
      <w:tblPr/>
      <w:tcPr>
        <w:shd w:val="clear" w:color="auto" w:fill="E2EFD9" w:themeFill="accent6" w:themeFillTint="33"/>
      </w:tcPr>
    </w:tblStylePr>
  </w:style>
  <w:style w:type="numbering" w:customStyle="1" w:styleId="ListNumber">
    <w:name w:val="List_Number"/>
    <w:uiPriority w:val="99"/>
    <w:rsid w:val="009A2C73"/>
    <w:pPr>
      <w:numPr>
        <w:numId w:val="1"/>
      </w:numPr>
    </w:pPr>
  </w:style>
  <w:style w:type="numbering" w:customStyle="1" w:styleId="ListNbrHeading">
    <w:name w:val="List_NbrHeading"/>
    <w:uiPriority w:val="99"/>
    <w:rsid w:val="009A2C73"/>
    <w:pPr>
      <w:numPr>
        <w:numId w:val="2"/>
      </w:numPr>
    </w:pPr>
  </w:style>
  <w:style w:type="numbering" w:customStyle="1" w:styleId="ListTableNumber">
    <w:name w:val="List_TableNumber"/>
    <w:uiPriority w:val="99"/>
    <w:rsid w:val="009A2C73"/>
    <w:pPr>
      <w:numPr>
        <w:numId w:val="3"/>
      </w:numPr>
    </w:pPr>
  </w:style>
  <w:style w:type="numbering" w:customStyle="1" w:styleId="ListSectionTitle">
    <w:name w:val="List_SectionTitle"/>
    <w:uiPriority w:val="99"/>
    <w:rsid w:val="009A2C73"/>
    <w:pPr>
      <w:numPr>
        <w:numId w:val="22"/>
      </w:numPr>
    </w:pPr>
  </w:style>
  <w:style w:type="character" w:customStyle="1" w:styleId="Heading3Char">
    <w:name w:val="Heading 3 Char"/>
    <w:basedOn w:val="DefaultParagraphFont"/>
    <w:link w:val="Heading3"/>
    <w:uiPriority w:val="9"/>
    <w:semiHidden/>
    <w:rsid w:val="009A2C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A2C7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9A2C73"/>
    <w:rPr>
      <w:rFonts w:asciiTheme="majorHAnsi" w:eastAsiaTheme="majorEastAsia" w:hAnsiTheme="majorHAnsi" w:cstheme="majorBidi"/>
      <w:color w:val="2E74B5" w:themeColor="accent1" w:themeShade="BF"/>
      <w:sz w:val="24"/>
    </w:rPr>
  </w:style>
  <w:style w:type="paragraph" w:customStyle="1" w:styleId="Footnote">
    <w:name w:val="Footnote"/>
    <w:basedOn w:val="Normal"/>
    <w:link w:val="FootnoteChar"/>
    <w:qFormat/>
    <w:rsid w:val="009A2C73"/>
    <w:rPr>
      <w:sz w:val="20"/>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53228A"/>
    <w:rPr>
      <w:rFonts w:ascii="Arial" w:hAnsi="Arial"/>
      <w:sz w:val="24"/>
    </w:rPr>
  </w:style>
  <w:style w:type="character" w:customStyle="1" w:styleId="FootnoteChar">
    <w:name w:val="Footnote Char"/>
    <w:basedOn w:val="DefaultParagraphFont"/>
    <w:link w:val="Footnote"/>
    <w:rsid w:val="009A2C73"/>
    <w:rPr>
      <w:rFonts w:ascii="Arial" w:hAnsi="Arial"/>
      <w:sz w:val="20"/>
    </w:rPr>
  </w:style>
  <w:style w:type="character" w:styleId="Strong">
    <w:name w:val="Strong"/>
    <w:basedOn w:val="DefaultParagraphFont"/>
    <w:uiPriority w:val="22"/>
    <w:qFormat/>
    <w:rsid w:val="00451DE4"/>
    <w:rPr>
      <w:b/>
      <w:bCs/>
    </w:rPr>
  </w:style>
  <w:style w:type="paragraph" w:customStyle="1" w:styleId="Folios">
    <w:name w:val="Folios"/>
    <w:basedOn w:val="FootnoteText"/>
    <w:qFormat/>
    <w:rsid w:val="00543D23"/>
    <w:rPr>
      <w:color w:val="00B0F0"/>
    </w:rPr>
  </w:style>
  <w:style w:type="table" w:styleId="GridTable2-Accent1">
    <w:name w:val="Grid Table 2 Accent 1"/>
    <w:basedOn w:val="TableNormal"/>
    <w:uiPriority w:val="47"/>
    <w:rsid w:val="0049511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aliases w:val="Cover Title Table"/>
    <w:basedOn w:val="TableNormal"/>
    <w:uiPriority w:val="39"/>
    <w:rsid w:val="00527B57"/>
    <w:pPr>
      <w:spacing w:after="0" w:line="240" w:lineRule="auto"/>
    </w:pPr>
    <w:tblPr>
      <w:tblBorders>
        <w:top w:val="single" w:sz="6" w:space="0" w:color="FFFFFF" w:themeColor="background1"/>
        <w:bottom w:val="single" w:sz="6" w:space="0" w:color="FFFFFF" w:themeColor="background1"/>
        <w:insideH w:val="single" w:sz="6" w:space="0" w:color="FFFFFF" w:themeColor="background1"/>
      </w:tblBorders>
      <w:tblCellMar>
        <w:top w:w="567" w:type="dxa"/>
        <w:bottom w:w="567" w:type="dxa"/>
      </w:tblCellMar>
    </w:tblPr>
    <w:tcPr>
      <w:shd w:val="clear" w:color="auto" w:fill="auto"/>
    </w:tcPr>
  </w:style>
  <w:style w:type="table" w:styleId="GridTable3-Accent1">
    <w:name w:val="Grid Table 3 Accent 1"/>
    <w:basedOn w:val="TableNormal"/>
    <w:uiPriority w:val="48"/>
    <w:rsid w:val="0049511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5">
    <w:name w:val="Grid Table 2 Accent 5"/>
    <w:basedOn w:val="TableNormal"/>
    <w:uiPriority w:val="47"/>
    <w:rsid w:val="0049511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06B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5B015B"/>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B015B"/>
    <w:rPr>
      <w:rFonts w:eastAsiaTheme="minorEastAsia"/>
      <w:lang w:val="en-US" w:eastAsia="zh-CN"/>
    </w:rPr>
  </w:style>
  <w:style w:type="paragraph" w:customStyle="1" w:styleId="CoverTitle">
    <w:name w:val="Cover Title"/>
    <w:qFormat/>
    <w:rsid w:val="003440BA"/>
    <w:pPr>
      <w:spacing w:line="240" w:lineRule="auto"/>
    </w:pPr>
    <w:rPr>
      <w:rFonts w:ascii="Palatino" w:hAnsi="Palatino" w:cs="Arial"/>
      <w:b/>
      <w:bCs/>
      <w:color w:val="FFFFFF" w:themeColor="background1"/>
      <w:sz w:val="72"/>
      <w:szCs w:val="72"/>
    </w:rPr>
  </w:style>
  <w:style w:type="paragraph" w:customStyle="1" w:styleId="CoverAuthors">
    <w:name w:val="Cover Authors"/>
    <w:basedOn w:val="BodyText"/>
    <w:qFormat/>
    <w:rsid w:val="00527B57"/>
    <w:pPr>
      <w:spacing w:after="0"/>
    </w:pPr>
    <w:rPr>
      <w:color w:val="FFFFFF" w:themeColor="background1"/>
      <w:sz w:val="32"/>
    </w:rPr>
  </w:style>
  <w:style w:type="paragraph" w:customStyle="1" w:styleId="Quotes">
    <w:name w:val="Quotes"/>
    <w:basedOn w:val="Normal"/>
    <w:qFormat/>
    <w:rsid w:val="009825BC"/>
    <w:pPr>
      <w:ind w:left="170" w:hanging="170"/>
    </w:pPr>
    <w:rPr>
      <w:b/>
      <w:iCs/>
      <w:lang w:val="en-US"/>
    </w:rPr>
  </w:style>
  <w:style w:type="character" w:customStyle="1" w:styleId="UnresolvedMention1">
    <w:name w:val="Unresolved Mention1"/>
    <w:basedOn w:val="DefaultParagraphFont"/>
    <w:uiPriority w:val="99"/>
    <w:semiHidden/>
    <w:unhideWhenUsed/>
    <w:rsid w:val="00146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580">
      <w:bodyDiv w:val="1"/>
      <w:marLeft w:val="0"/>
      <w:marRight w:val="0"/>
      <w:marTop w:val="0"/>
      <w:marBottom w:val="0"/>
      <w:divBdr>
        <w:top w:val="none" w:sz="0" w:space="0" w:color="auto"/>
        <w:left w:val="none" w:sz="0" w:space="0" w:color="auto"/>
        <w:bottom w:val="none" w:sz="0" w:space="0" w:color="auto"/>
        <w:right w:val="none" w:sz="0" w:space="0" w:color="auto"/>
      </w:divBdr>
    </w:div>
    <w:div w:id="210117383">
      <w:bodyDiv w:val="1"/>
      <w:marLeft w:val="0"/>
      <w:marRight w:val="0"/>
      <w:marTop w:val="0"/>
      <w:marBottom w:val="0"/>
      <w:divBdr>
        <w:top w:val="none" w:sz="0" w:space="0" w:color="auto"/>
        <w:left w:val="none" w:sz="0" w:space="0" w:color="auto"/>
        <w:bottom w:val="none" w:sz="0" w:space="0" w:color="auto"/>
        <w:right w:val="none" w:sz="0" w:space="0" w:color="auto"/>
      </w:divBdr>
    </w:div>
    <w:div w:id="215089786">
      <w:bodyDiv w:val="1"/>
      <w:marLeft w:val="0"/>
      <w:marRight w:val="0"/>
      <w:marTop w:val="0"/>
      <w:marBottom w:val="0"/>
      <w:divBdr>
        <w:top w:val="none" w:sz="0" w:space="0" w:color="auto"/>
        <w:left w:val="none" w:sz="0" w:space="0" w:color="auto"/>
        <w:bottom w:val="none" w:sz="0" w:space="0" w:color="auto"/>
        <w:right w:val="none" w:sz="0" w:space="0" w:color="auto"/>
      </w:divBdr>
      <w:divsChild>
        <w:div w:id="1670869027">
          <w:marLeft w:val="0"/>
          <w:marRight w:val="0"/>
          <w:marTop w:val="0"/>
          <w:marBottom w:val="0"/>
          <w:divBdr>
            <w:top w:val="none" w:sz="0" w:space="0" w:color="auto"/>
            <w:left w:val="none" w:sz="0" w:space="0" w:color="auto"/>
            <w:bottom w:val="none" w:sz="0" w:space="0" w:color="auto"/>
            <w:right w:val="none" w:sz="0" w:space="0" w:color="auto"/>
          </w:divBdr>
        </w:div>
      </w:divsChild>
    </w:div>
    <w:div w:id="281621453">
      <w:bodyDiv w:val="1"/>
      <w:marLeft w:val="0"/>
      <w:marRight w:val="0"/>
      <w:marTop w:val="0"/>
      <w:marBottom w:val="0"/>
      <w:divBdr>
        <w:top w:val="none" w:sz="0" w:space="0" w:color="auto"/>
        <w:left w:val="none" w:sz="0" w:space="0" w:color="auto"/>
        <w:bottom w:val="none" w:sz="0" w:space="0" w:color="auto"/>
        <w:right w:val="none" w:sz="0" w:space="0" w:color="auto"/>
      </w:divBdr>
    </w:div>
    <w:div w:id="364135050">
      <w:bodyDiv w:val="1"/>
      <w:marLeft w:val="0"/>
      <w:marRight w:val="0"/>
      <w:marTop w:val="0"/>
      <w:marBottom w:val="0"/>
      <w:divBdr>
        <w:top w:val="none" w:sz="0" w:space="0" w:color="auto"/>
        <w:left w:val="none" w:sz="0" w:space="0" w:color="auto"/>
        <w:bottom w:val="none" w:sz="0" w:space="0" w:color="auto"/>
        <w:right w:val="none" w:sz="0" w:space="0" w:color="auto"/>
      </w:divBdr>
    </w:div>
    <w:div w:id="374931725">
      <w:bodyDiv w:val="1"/>
      <w:marLeft w:val="0"/>
      <w:marRight w:val="0"/>
      <w:marTop w:val="0"/>
      <w:marBottom w:val="0"/>
      <w:divBdr>
        <w:top w:val="none" w:sz="0" w:space="0" w:color="auto"/>
        <w:left w:val="none" w:sz="0" w:space="0" w:color="auto"/>
        <w:bottom w:val="none" w:sz="0" w:space="0" w:color="auto"/>
        <w:right w:val="none" w:sz="0" w:space="0" w:color="auto"/>
      </w:divBdr>
    </w:div>
    <w:div w:id="547423358">
      <w:bodyDiv w:val="1"/>
      <w:marLeft w:val="0"/>
      <w:marRight w:val="0"/>
      <w:marTop w:val="0"/>
      <w:marBottom w:val="0"/>
      <w:divBdr>
        <w:top w:val="none" w:sz="0" w:space="0" w:color="auto"/>
        <w:left w:val="none" w:sz="0" w:space="0" w:color="auto"/>
        <w:bottom w:val="none" w:sz="0" w:space="0" w:color="auto"/>
        <w:right w:val="none" w:sz="0" w:space="0" w:color="auto"/>
      </w:divBdr>
    </w:div>
    <w:div w:id="569731430">
      <w:bodyDiv w:val="1"/>
      <w:marLeft w:val="0"/>
      <w:marRight w:val="0"/>
      <w:marTop w:val="0"/>
      <w:marBottom w:val="0"/>
      <w:divBdr>
        <w:top w:val="none" w:sz="0" w:space="0" w:color="auto"/>
        <w:left w:val="none" w:sz="0" w:space="0" w:color="auto"/>
        <w:bottom w:val="none" w:sz="0" w:space="0" w:color="auto"/>
        <w:right w:val="none" w:sz="0" w:space="0" w:color="auto"/>
      </w:divBdr>
    </w:div>
    <w:div w:id="582959368">
      <w:bodyDiv w:val="1"/>
      <w:marLeft w:val="0"/>
      <w:marRight w:val="0"/>
      <w:marTop w:val="0"/>
      <w:marBottom w:val="0"/>
      <w:divBdr>
        <w:top w:val="none" w:sz="0" w:space="0" w:color="auto"/>
        <w:left w:val="none" w:sz="0" w:space="0" w:color="auto"/>
        <w:bottom w:val="none" w:sz="0" w:space="0" w:color="auto"/>
        <w:right w:val="none" w:sz="0" w:space="0" w:color="auto"/>
      </w:divBdr>
    </w:div>
    <w:div w:id="592785140">
      <w:bodyDiv w:val="1"/>
      <w:marLeft w:val="0"/>
      <w:marRight w:val="0"/>
      <w:marTop w:val="0"/>
      <w:marBottom w:val="0"/>
      <w:divBdr>
        <w:top w:val="none" w:sz="0" w:space="0" w:color="auto"/>
        <w:left w:val="none" w:sz="0" w:space="0" w:color="auto"/>
        <w:bottom w:val="none" w:sz="0" w:space="0" w:color="auto"/>
        <w:right w:val="none" w:sz="0" w:space="0" w:color="auto"/>
      </w:divBdr>
    </w:div>
    <w:div w:id="664281296">
      <w:bodyDiv w:val="1"/>
      <w:marLeft w:val="0"/>
      <w:marRight w:val="0"/>
      <w:marTop w:val="0"/>
      <w:marBottom w:val="0"/>
      <w:divBdr>
        <w:top w:val="none" w:sz="0" w:space="0" w:color="auto"/>
        <w:left w:val="none" w:sz="0" w:space="0" w:color="auto"/>
        <w:bottom w:val="none" w:sz="0" w:space="0" w:color="auto"/>
        <w:right w:val="none" w:sz="0" w:space="0" w:color="auto"/>
      </w:divBdr>
      <w:divsChild>
        <w:div w:id="795879518">
          <w:marLeft w:val="0"/>
          <w:marRight w:val="0"/>
          <w:marTop w:val="0"/>
          <w:marBottom w:val="0"/>
          <w:divBdr>
            <w:top w:val="none" w:sz="0" w:space="0" w:color="auto"/>
            <w:left w:val="none" w:sz="0" w:space="0" w:color="auto"/>
            <w:bottom w:val="none" w:sz="0" w:space="0" w:color="auto"/>
            <w:right w:val="none" w:sz="0" w:space="0" w:color="auto"/>
          </w:divBdr>
        </w:div>
      </w:divsChild>
    </w:div>
    <w:div w:id="680201321">
      <w:bodyDiv w:val="1"/>
      <w:marLeft w:val="0"/>
      <w:marRight w:val="0"/>
      <w:marTop w:val="0"/>
      <w:marBottom w:val="0"/>
      <w:divBdr>
        <w:top w:val="none" w:sz="0" w:space="0" w:color="auto"/>
        <w:left w:val="none" w:sz="0" w:space="0" w:color="auto"/>
        <w:bottom w:val="none" w:sz="0" w:space="0" w:color="auto"/>
        <w:right w:val="none" w:sz="0" w:space="0" w:color="auto"/>
      </w:divBdr>
    </w:div>
    <w:div w:id="689263538">
      <w:bodyDiv w:val="1"/>
      <w:marLeft w:val="0"/>
      <w:marRight w:val="0"/>
      <w:marTop w:val="0"/>
      <w:marBottom w:val="0"/>
      <w:divBdr>
        <w:top w:val="none" w:sz="0" w:space="0" w:color="auto"/>
        <w:left w:val="none" w:sz="0" w:space="0" w:color="auto"/>
        <w:bottom w:val="none" w:sz="0" w:space="0" w:color="auto"/>
        <w:right w:val="none" w:sz="0" w:space="0" w:color="auto"/>
      </w:divBdr>
    </w:div>
    <w:div w:id="713501247">
      <w:bodyDiv w:val="1"/>
      <w:marLeft w:val="0"/>
      <w:marRight w:val="0"/>
      <w:marTop w:val="0"/>
      <w:marBottom w:val="0"/>
      <w:divBdr>
        <w:top w:val="none" w:sz="0" w:space="0" w:color="auto"/>
        <w:left w:val="none" w:sz="0" w:space="0" w:color="auto"/>
        <w:bottom w:val="none" w:sz="0" w:space="0" w:color="auto"/>
        <w:right w:val="none" w:sz="0" w:space="0" w:color="auto"/>
      </w:divBdr>
      <w:divsChild>
        <w:div w:id="367339704">
          <w:marLeft w:val="0"/>
          <w:marRight w:val="0"/>
          <w:marTop w:val="0"/>
          <w:marBottom w:val="0"/>
          <w:divBdr>
            <w:top w:val="none" w:sz="0" w:space="0" w:color="auto"/>
            <w:left w:val="none" w:sz="0" w:space="0" w:color="auto"/>
            <w:bottom w:val="none" w:sz="0" w:space="0" w:color="auto"/>
            <w:right w:val="none" w:sz="0" w:space="0" w:color="auto"/>
          </w:divBdr>
        </w:div>
      </w:divsChild>
    </w:div>
    <w:div w:id="764497465">
      <w:bodyDiv w:val="1"/>
      <w:marLeft w:val="0"/>
      <w:marRight w:val="0"/>
      <w:marTop w:val="0"/>
      <w:marBottom w:val="0"/>
      <w:divBdr>
        <w:top w:val="none" w:sz="0" w:space="0" w:color="auto"/>
        <w:left w:val="none" w:sz="0" w:space="0" w:color="auto"/>
        <w:bottom w:val="none" w:sz="0" w:space="0" w:color="auto"/>
        <w:right w:val="none" w:sz="0" w:space="0" w:color="auto"/>
      </w:divBdr>
    </w:div>
    <w:div w:id="812403875">
      <w:bodyDiv w:val="1"/>
      <w:marLeft w:val="0"/>
      <w:marRight w:val="0"/>
      <w:marTop w:val="0"/>
      <w:marBottom w:val="0"/>
      <w:divBdr>
        <w:top w:val="none" w:sz="0" w:space="0" w:color="auto"/>
        <w:left w:val="none" w:sz="0" w:space="0" w:color="auto"/>
        <w:bottom w:val="none" w:sz="0" w:space="0" w:color="auto"/>
        <w:right w:val="none" w:sz="0" w:space="0" w:color="auto"/>
      </w:divBdr>
      <w:divsChild>
        <w:div w:id="2092659077">
          <w:marLeft w:val="0"/>
          <w:marRight w:val="0"/>
          <w:marTop w:val="0"/>
          <w:marBottom w:val="0"/>
          <w:divBdr>
            <w:top w:val="none" w:sz="0" w:space="0" w:color="auto"/>
            <w:left w:val="none" w:sz="0" w:space="0" w:color="auto"/>
            <w:bottom w:val="none" w:sz="0" w:space="0" w:color="auto"/>
            <w:right w:val="none" w:sz="0" w:space="0" w:color="auto"/>
          </w:divBdr>
        </w:div>
      </w:divsChild>
    </w:div>
    <w:div w:id="835220208">
      <w:bodyDiv w:val="1"/>
      <w:marLeft w:val="0"/>
      <w:marRight w:val="0"/>
      <w:marTop w:val="0"/>
      <w:marBottom w:val="0"/>
      <w:divBdr>
        <w:top w:val="none" w:sz="0" w:space="0" w:color="auto"/>
        <w:left w:val="none" w:sz="0" w:space="0" w:color="auto"/>
        <w:bottom w:val="none" w:sz="0" w:space="0" w:color="auto"/>
        <w:right w:val="none" w:sz="0" w:space="0" w:color="auto"/>
      </w:divBdr>
    </w:div>
    <w:div w:id="917400338">
      <w:bodyDiv w:val="1"/>
      <w:marLeft w:val="0"/>
      <w:marRight w:val="0"/>
      <w:marTop w:val="0"/>
      <w:marBottom w:val="0"/>
      <w:divBdr>
        <w:top w:val="none" w:sz="0" w:space="0" w:color="auto"/>
        <w:left w:val="none" w:sz="0" w:space="0" w:color="auto"/>
        <w:bottom w:val="none" w:sz="0" w:space="0" w:color="auto"/>
        <w:right w:val="none" w:sz="0" w:space="0" w:color="auto"/>
      </w:divBdr>
    </w:div>
    <w:div w:id="955138330">
      <w:bodyDiv w:val="1"/>
      <w:marLeft w:val="0"/>
      <w:marRight w:val="0"/>
      <w:marTop w:val="0"/>
      <w:marBottom w:val="0"/>
      <w:divBdr>
        <w:top w:val="none" w:sz="0" w:space="0" w:color="auto"/>
        <w:left w:val="none" w:sz="0" w:space="0" w:color="auto"/>
        <w:bottom w:val="none" w:sz="0" w:space="0" w:color="auto"/>
        <w:right w:val="none" w:sz="0" w:space="0" w:color="auto"/>
      </w:divBdr>
    </w:div>
    <w:div w:id="1035158708">
      <w:bodyDiv w:val="1"/>
      <w:marLeft w:val="0"/>
      <w:marRight w:val="0"/>
      <w:marTop w:val="0"/>
      <w:marBottom w:val="0"/>
      <w:divBdr>
        <w:top w:val="none" w:sz="0" w:space="0" w:color="auto"/>
        <w:left w:val="none" w:sz="0" w:space="0" w:color="auto"/>
        <w:bottom w:val="none" w:sz="0" w:space="0" w:color="auto"/>
        <w:right w:val="none" w:sz="0" w:space="0" w:color="auto"/>
      </w:divBdr>
    </w:div>
    <w:div w:id="1089078570">
      <w:bodyDiv w:val="1"/>
      <w:marLeft w:val="0"/>
      <w:marRight w:val="0"/>
      <w:marTop w:val="0"/>
      <w:marBottom w:val="0"/>
      <w:divBdr>
        <w:top w:val="none" w:sz="0" w:space="0" w:color="auto"/>
        <w:left w:val="none" w:sz="0" w:space="0" w:color="auto"/>
        <w:bottom w:val="none" w:sz="0" w:space="0" w:color="auto"/>
        <w:right w:val="none" w:sz="0" w:space="0" w:color="auto"/>
      </w:divBdr>
    </w:div>
    <w:div w:id="1129906177">
      <w:bodyDiv w:val="1"/>
      <w:marLeft w:val="0"/>
      <w:marRight w:val="0"/>
      <w:marTop w:val="0"/>
      <w:marBottom w:val="0"/>
      <w:divBdr>
        <w:top w:val="none" w:sz="0" w:space="0" w:color="auto"/>
        <w:left w:val="none" w:sz="0" w:space="0" w:color="auto"/>
        <w:bottom w:val="none" w:sz="0" w:space="0" w:color="auto"/>
        <w:right w:val="none" w:sz="0" w:space="0" w:color="auto"/>
      </w:divBdr>
    </w:div>
    <w:div w:id="1164005983">
      <w:bodyDiv w:val="1"/>
      <w:marLeft w:val="0"/>
      <w:marRight w:val="0"/>
      <w:marTop w:val="0"/>
      <w:marBottom w:val="0"/>
      <w:divBdr>
        <w:top w:val="none" w:sz="0" w:space="0" w:color="auto"/>
        <w:left w:val="none" w:sz="0" w:space="0" w:color="auto"/>
        <w:bottom w:val="none" w:sz="0" w:space="0" w:color="auto"/>
        <w:right w:val="none" w:sz="0" w:space="0" w:color="auto"/>
      </w:divBdr>
    </w:div>
    <w:div w:id="1174225584">
      <w:bodyDiv w:val="1"/>
      <w:marLeft w:val="0"/>
      <w:marRight w:val="0"/>
      <w:marTop w:val="0"/>
      <w:marBottom w:val="0"/>
      <w:divBdr>
        <w:top w:val="none" w:sz="0" w:space="0" w:color="auto"/>
        <w:left w:val="none" w:sz="0" w:space="0" w:color="auto"/>
        <w:bottom w:val="none" w:sz="0" w:space="0" w:color="auto"/>
        <w:right w:val="none" w:sz="0" w:space="0" w:color="auto"/>
      </w:divBdr>
    </w:div>
    <w:div w:id="1211570195">
      <w:bodyDiv w:val="1"/>
      <w:marLeft w:val="0"/>
      <w:marRight w:val="0"/>
      <w:marTop w:val="0"/>
      <w:marBottom w:val="0"/>
      <w:divBdr>
        <w:top w:val="none" w:sz="0" w:space="0" w:color="auto"/>
        <w:left w:val="none" w:sz="0" w:space="0" w:color="auto"/>
        <w:bottom w:val="none" w:sz="0" w:space="0" w:color="auto"/>
        <w:right w:val="none" w:sz="0" w:space="0" w:color="auto"/>
      </w:divBdr>
    </w:div>
    <w:div w:id="1216354071">
      <w:bodyDiv w:val="1"/>
      <w:marLeft w:val="0"/>
      <w:marRight w:val="0"/>
      <w:marTop w:val="0"/>
      <w:marBottom w:val="0"/>
      <w:divBdr>
        <w:top w:val="none" w:sz="0" w:space="0" w:color="auto"/>
        <w:left w:val="none" w:sz="0" w:space="0" w:color="auto"/>
        <w:bottom w:val="none" w:sz="0" w:space="0" w:color="auto"/>
        <w:right w:val="none" w:sz="0" w:space="0" w:color="auto"/>
      </w:divBdr>
    </w:div>
    <w:div w:id="1255433490">
      <w:bodyDiv w:val="1"/>
      <w:marLeft w:val="0"/>
      <w:marRight w:val="0"/>
      <w:marTop w:val="0"/>
      <w:marBottom w:val="0"/>
      <w:divBdr>
        <w:top w:val="none" w:sz="0" w:space="0" w:color="auto"/>
        <w:left w:val="none" w:sz="0" w:space="0" w:color="auto"/>
        <w:bottom w:val="none" w:sz="0" w:space="0" w:color="auto"/>
        <w:right w:val="none" w:sz="0" w:space="0" w:color="auto"/>
      </w:divBdr>
    </w:div>
    <w:div w:id="1315908754">
      <w:bodyDiv w:val="1"/>
      <w:marLeft w:val="0"/>
      <w:marRight w:val="0"/>
      <w:marTop w:val="0"/>
      <w:marBottom w:val="0"/>
      <w:divBdr>
        <w:top w:val="none" w:sz="0" w:space="0" w:color="auto"/>
        <w:left w:val="none" w:sz="0" w:space="0" w:color="auto"/>
        <w:bottom w:val="none" w:sz="0" w:space="0" w:color="auto"/>
        <w:right w:val="none" w:sz="0" w:space="0" w:color="auto"/>
      </w:divBdr>
    </w:div>
    <w:div w:id="1492482978">
      <w:bodyDiv w:val="1"/>
      <w:marLeft w:val="0"/>
      <w:marRight w:val="0"/>
      <w:marTop w:val="0"/>
      <w:marBottom w:val="0"/>
      <w:divBdr>
        <w:top w:val="none" w:sz="0" w:space="0" w:color="auto"/>
        <w:left w:val="none" w:sz="0" w:space="0" w:color="auto"/>
        <w:bottom w:val="none" w:sz="0" w:space="0" w:color="auto"/>
        <w:right w:val="none" w:sz="0" w:space="0" w:color="auto"/>
      </w:divBdr>
    </w:div>
    <w:div w:id="1562717523">
      <w:bodyDiv w:val="1"/>
      <w:marLeft w:val="0"/>
      <w:marRight w:val="0"/>
      <w:marTop w:val="0"/>
      <w:marBottom w:val="0"/>
      <w:divBdr>
        <w:top w:val="none" w:sz="0" w:space="0" w:color="auto"/>
        <w:left w:val="none" w:sz="0" w:space="0" w:color="auto"/>
        <w:bottom w:val="none" w:sz="0" w:space="0" w:color="auto"/>
        <w:right w:val="none" w:sz="0" w:space="0" w:color="auto"/>
      </w:divBdr>
    </w:div>
    <w:div w:id="1857766694">
      <w:bodyDiv w:val="1"/>
      <w:marLeft w:val="0"/>
      <w:marRight w:val="0"/>
      <w:marTop w:val="0"/>
      <w:marBottom w:val="0"/>
      <w:divBdr>
        <w:top w:val="none" w:sz="0" w:space="0" w:color="auto"/>
        <w:left w:val="none" w:sz="0" w:space="0" w:color="auto"/>
        <w:bottom w:val="none" w:sz="0" w:space="0" w:color="auto"/>
        <w:right w:val="none" w:sz="0" w:space="0" w:color="auto"/>
      </w:divBdr>
      <w:divsChild>
        <w:div w:id="626012500">
          <w:marLeft w:val="0"/>
          <w:marRight w:val="0"/>
          <w:marTop w:val="0"/>
          <w:marBottom w:val="0"/>
          <w:divBdr>
            <w:top w:val="none" w:sz="0" w:space="0" w:color="auto"/>
            <w:left w:val="none" w:sz="0" w:space="0" w:color="auto"/>
            <w:bottom w:val="none" w:sz="0" w:space="0" w:color="auto"/>
            <w:right w:val="none" w:sz="0" w:space="0" w:color="auto"/>
          </w:divBdr>
        </w:div>
      </w:divsChild>
    </w:div>
    <w:div w:id="2001034781">
      <w:bodyDiv w:val="1"/>
      <w:marLeft w:val="0"/>
      <w:marRight w:val="0"/>
      <w:marTop w:val="0"/>
      <w:marBottom w:val="0"/>
      <w:divBdr>
        <w:top w:val="none" w:sz="0" w:space="0" w:color="auto"/>
        <w:left w:val="none" w:sz="0" w:space="0" w:color="auto"/>
        <w:bottom w:val="none" w:sz="0" w:space="0" w:color="auto"/>
        <w:right w:val="none" w:sz="0" w:space="0" w:color="auto"/>
      </w:divBdr>
    </w:div>
    <w:div w:id="2003969798">
      <w:bodyDiv w:val="1"/>
      <w:marLeft w:val="0"/>
      <w:marRight w:val="0"/>
      <w:marTop w:val="0"/>
      <w:marBottom w:val="0"/>
      <w:divBdr>
        <w:top w:val="none" w:sz="0" w:space="0" w:color="auto"/>
        <w:left w:val="none" w:sz="0" w:space="0" w:color="auto"/>
        <w:bottom w:val="none" w:sz="0" w:space="0" w:color="auto"/>
        <w:right w:val="none" w:sz="0" w:space="0" w:color="auto"/>
      </w:divBdr>
      <w:divsChild>
        <w:div w:id="505438198">
          <w:marLeft w:val="0"/>
          <w:marRight w:val="0"/>
          <w:marTop w:val="0"/>
          <w:marBottom w:val="0"/>
          <w:divBdr>
            <w:top w:val="none" w:sz="0" w:space="0" w:color="auto"/>
            <w:left w:val="none" w:sz="0" w:space="0" w:color="auto"/>
            <w:bottom w:val="none" w:sz="0" w:space="0" w:color="auto"/>
            <w:right w:val="none" w:sz="0" w:space="0" w:color="auto"/>
          </w:divBdr>
        </w:div>
      </w:divsChild>
    </w:div>
    <w:div w:id="2031443663">
      <w:bodyDiv w:val="1"/>
      <w:marLeft w:val="0"/>
      <w:marRight w:val="0"/>
      <w:marTop w:val="0"/>
      <w:marBottom w:val="0"/>
      <w:divBdr>
        <w:top w:val="none" w:sz="0" w:space="0" w:color="auto"/>
        <w:left w:val="none" w:sz="0" w:space="0" w:color="auto"/>
        <w:bottom w:val="none" w:sz="0" w:space="0" w:color="auto"/>
        <w:right w:val="none" w:sz="0" w:space="0" w:color="auto"/>
      </w:divBdr>
    </w:div>
    <w:div w:id="20668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pdf/asmade/act-2018-023" TargetMode="External"/><Relationship Id="rId13" Type="http://schemas.openxmlformats.org/officeDocument/2006/relationships/hyperlink" Target="https://legislation.nt.gov.au/en/Legislation/TERMINATION-OF-PREGNANCY-LAW-REFORM-ACT-2017" TargetMode="External"/><Relationship Id="rId18" Type="http://schemas.openxmlformats.org/officeDocument/2006/relationships/hyperlink" Target="https://thebutterflyfoundation.org.au/our-services/helpline/over-the-phone/" TargetMode="External"/><Relationship Id="rId26" Type="http://schemas.openxmlformats.org/officeDocument/2006/relationships/hyperlink" Target="https://www.facebook.com/mariestopesau" TargetMode="External"/><Relationship Id="rId39" Type="http://schemas.openxmlformats.org/officeDocument/2006/relationships/hyperlink" Target="mailto:policy@mariestopes.org.au" TargetMode="External"/><Relationship Id="rId3" Type="http://schemas.openxmlformats.org/officeDocument/2006/relationships/styles" Target="styles.xml"/><Relationship Id="rId21" Type="http://schemas.openxmlformats.org/officeDocument/2006/relationships/hyperlink" Target="https://mindspot.org.au/" TargetMode="External"/><Relationship Id="rId34" Type="http://schemas.openxmlformats.org/officeDocument/2006/relationships/hyperlink" Target="https://twitter.com/mariestopesau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tas.gov.au/view/html/inforce/current/act-2013-072" TargetMode="External"/><Relationship Id="rId17" Type="http://schemas.openxmlformats.org/officeDocument/2006/relationships/hyperlink" Target="https://www.blueknot.org.au/" TargetMode="External"/><Relationship Id="rId25" Type="http://schemas.openxmlformats.org/officeDocument/2006/relationships/hyperlink" Target="https://twitter.com/mariestopesaus" TargetMode="External"/><Relationship Id="rId33" Type="http://schemas.openxmlformats.org/officeDocument/2006/relationships/image" Target="media/image4.jpeg"/><Relationship Id="rId38" Type="http://schemas.openxmlformats.org/officeDocument/2006/relationships/hyperlink" Target="https://www.mariestopes.org.au/donate/" TargetMode="External"/><Relationship Id="rId2" Type="http://schemas.openxmlformats.org/officeDocument/2006/relationships/numbering" Target="numbering.xml"/><Relationship Id="rId16" Type="http://schemas.openxmlformats.org/officeDocument/2006/relationships/hyperlink" Target="https://www.beyondblue.org.au/" TargetMode="External"/><Relationship Id="rId20" Type="http://schemas.openxmlformats.org/officeDocument/2006/relationships/hyperlink" Target="https://mensline.org.au/" TargetMode="External"/><Relationship Id="rId29" Type="http://schemas.openxmlformats.org/officeDocument/2006/relationships/hyperlink" Target="https://www.mariestopes.org.au/donat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nt.legislation.vic.gov.au/sites/default/files/2020-05/08-46aa043%20authorised.pdf" TargetMode="External"/><Relationship Id="rId24" Type="http://schemas.openxmlformats.org/officeDocument/2006/relationships/hyperlink" Target="https://www.sane.org/" TargetMode="External"/><Relationship Id="rId32" Type="http://schemas.openxmlformats.org/officeDocument/2006/relationships/image" Target="media/image3.png"/><Relationship Id="rId37" Type="http://schemas.openxmlformats.org/officeDocument/2006/relationships/hyperlink" Target="https://www.mariestopes.org.a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enestar.com/" TargetMode="External"/><Relationship Id="rId23" Type="http://schemas.openxmlformats.org/officeDocument/2006/relationships/hyperlink" Target="https://www.panda.org.au/" TargetMode="External"/><Relationship Id="rId28" Type="http://schemas.openxmlformats.org/officeDocument/2006/relationships/hyperlink" Target="https://www.mariestopes.org.au/" TargetMode="External"/><Relationship Id="rId36" Type="http://schemas.openxmlformats.org/officeDocument/2006/relationships/hyperlink" Target="https://www.instagram.com/mariestopesaus/" TargetMode="External"/><Relationship Id="rId10" Type="http://schemas.openxmlformats.org/officeDocument/2006/relationships/hyperlink" Target="https://www.legislation.act.gov.au/View/a/1993-13/current/PDF/1993-13.PDF" TargetMode="External"/><Relationship Id="rId19" Type="http://schemas.openxmlformats.org/officeDocument/2006/relationships/hyperlink" Target="https://www.lifeline.org.au/"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legislation.nsw.gov.au/~/pdf/view/act/2010/127/whole?download=false" TargetMode="External"/><Relationship Id="rId14" Type="http://schemas.openxmlformats.org/officeDocument/2006/relationships/hyperlink" Target="https://www.1800respect.org.au/resources-and-tools/work-induced-stress-and-trauma/" TargetMode="External"/><Relationship Id="rId22" Type="http://schemas.openxmlformats.org/officeDocument/2006/relationships/hyperlink" Target="https://qlife.org.au/" TargetMode="External"/><Relationship Id="rId27" Type="http://schemas.openxmlformats.org/officeDocument/2006/relationships/hyperlink" Target="https://www.instagram.com/mariestopesaus/" TargetMode="External"/><Relationship Id="rId30" Type="http://schemas.openxmlformats.org/officeDocument/2006/relationships/hyperlink" Target="mailto:policy@mariestopes.org.au" TargetMode="External"/><Relationship Id="rId35" Type="http://schemas.openxmlformats.org/officeDocument/2006/relationships/hyperlink" Target="https://www.facebook.com/mariestopesau"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perthnow.com.au/news/wa/midland-abortion-clinic-staff-want-safe-zones-ng-b881098721z" TargetMode="External"/><Relationship Id="rId2" Type="http://schemas.openxmlformats.org/officeDocument/2006/relationships/hyperlink" Target="https://www.abc.net.au/news/2019-03-26/abortion-clinic-safe-zones-considered-in-wa/10937920" TargetMode="External"/><Relationship Id="rId1" Type="http://schemas.openxmlformats.org/officeDocument/2006/relationships/hyperlink" Target="https://www.watoday.com.au/national/western-australia/anti-abortion-protesters-upsetting-clients-as-they-return-to-picket-perth-clinic-20200529-p54xoo.html" TargetMode="External"/><Relationship Id="rId6" Type="http://schemas.openxmlformats.org/officeDocument/2006/relationships/hyperlink" Target="https://www.hrlc.org.au/news/2019/9/25/safe-access-zone-bill-in-south-australia-welcome-but-amendments-needed" TargetMode="External"/><Relationship Id="rId5" Type="http://schemas.openxmlformats.org/officeDocument/2006/relationships/hyperlink" Target="https://www.watoday.com.au/national/western-australia/anti-abortion-protesters-upsetting-clients-as-they-return-to-picket-perth-clinic-20200529-p54xoo.html" TargetMode="External"/><Relationship Id="rId4" Type="http://schemas.openxmlformats.org/officeDocument/2006/relationships/hyperlink" Target="https://www.theguardian.com/world/2018/jan/26/protect-us-from-anti-abortion-protesters-say-womens-clinics-in-w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6307-1AEC-4244-90FF-77314B69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13396</Words>
  <Characters>72610</Characters>
  <Application>Microsoft Office Word</Application>
  <DocSecurity>0</DocSecurity>
  <Lines>1481</Lines>
  <Paragraphs>614</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85392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Corbin</dc:creator>
  <cp:keywords/>
  <dc:description/>
  <cp:lastModifiedBy>Sigrid Firth</cp:lastModifiedBy>
  <cp:revision>3</cp:revision>
  <cp:lastPrinted>2020-10-05T05:11:00Z</cp:lastPrinted>
  <dcterms:created xsi:type="dcterms:W3CDTF">2020-10-05T06:16:00Z</dcterms:created>
  <dcterms:modified xsi:type="dcterms:W3CDTF">2020-10-05T06:21:00Z</dcterms:modified>
</cp:coreProperties>
</file>