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4051" w14:textId="77777777" w:rsidR="004E3676" w:rsidRPr="006B3BEF" w:rsidRDefault="004E3676" w:rsidP="004E3676">
      <w:pPr>
        <w:pStyle w:val="NoSpacing"/>
      </w:pPr>
      <w:r w:rsidRPr="006B3BEF">
        <w:t xml:space="preserve">Retirement Income Review Secretariat </w:t>
      </w:r>
    </w:p>
    <w:p w14:paraId="749122F6" w14:textId="77777777" w:rsidR="004E3676" w:rsidRPr="006B3BEF" w:rsidRDefault="004E3676" w:rsidP="004E3676">
      <w:pPr>
        <w:pStyle w:val="NoSpacing"/>
      </w:pPr>
      <w:r w:rsidRPr="006B3BEF">
        <w:t xml:space="preserve">The Treasury </w:t>
      </w:r>
    </w:p>
    <w:p w14:paraId="1A7E66F2" w14:textId="3BD7EE0B" w:rsidR="004E3676" w:rsidRPr="006B3BEF" w:rsidRDefault="004E3676" w:rsidP="004E3676">
      <w:pPr>
        <w:pStyle w:val="NoSpacing"/>
      </w:pPr>
      <w:r w:rsidRPr="006B3BEF">
        <w:t xml:space="preserve">Langton Crescent PARKES ACT 2600 </w:t>
      </w:r>
    </w:p>
    <w:p w14:paraId="6FCD2CE4" w14:textId="37145264" w:rsidR="004E3676" w:rsidRPr="006B3BEF" w:rsidRDefault="004E3676" w:rsidP="004E3676">
      <w:pPr>
        <w:pStyle w:val="NoSpacing"/>
      </w:pPr>
      <w:r w:rsidRPr="006B3BEF">
        <w:t xml:space="preserve">By email: </w:t>
      </w:r>
      <w:bookmarkStart w:id="0" w:name="_GoBack"/>
      <w:r w:rsidRPr="006B3BEF">
        <w:t xml:space="preserve">retirementincomereview@treasury.gov.au </w:t>
      </w:r>
      <w:bookmarkEnd w:id="0"/>
    </w:p>
    <w:p w14:paraId="21A9A723" w14:textId="12B8F7E2" w:rsidR="004E3676" w:rsidRPr="006B3BEF" w:rsidRDefault="004E3676" w:rsidP="004E3676">
      <w:pPr>
        <w:pStyle w:val="NoSpacing"/>
      </w:pPr>
      <w:r w:rsidRPr="006B3BEF">
        <w:t xml:space="preserve">Date: </w:t>
      </w:r>
      <w:r w:rsidR="00BA76C2">
        <w:t>3 February 2020</w:t>
      </w:r>
    </w:p>
    <w:p w14:paraId="65D3F9BB" w14:textId="3A7782E2" w:rsidR="004E3676" w:rsidRPr="006B3BEF" w:rsidRDefault="004E3676" w:rsidP="004E3676">
      <w:pPr>
        <w:pStyle w:val="NoSpacing"/>
      </w:pPr>
    </w:p>
    <w:p w14:paraId="06780FE3" w14:textId="45E37368" w:rsidR="00046569" w:rsidRPr="006B3BEF" w:rsidRDefault="00046569" w:rsidP="004E3676">
      <w:pPr>
        <w:jc w:val="center"/>
        <w:rPr>
          <w:rFonts w:cstheme="majorHAnsi"/>
          <w:b/>
          <w:color w:val="000000" w:themeColor="text1"/>
          <w:sz w:val="30"/>
          <w:szCs w:val="30"/>
          <w:lang w:val="en-AU"/>
        </w:rPr>
      </w:pPr>
      <w:r w:rsidRPr="006B3BEF">
        <w:rPr>
          <w:rFonts w:cstheme="majorHAnsi"/>
          <w:b/>
          <w:color w:val="000000" w:themeColor="text1"/>
          <w:sz w:val="30"/>
          <w:szCs w:val="30"/>
          <w:lang w:val="en-AU"/>
        </w:rPr>
        <w:t xml:space="preserve">Submission </w:t>
      </w:r>
      <w:r w:rsidR="004E3676" w:rsidRPr="006B3BEF">
        <w:rPr>
          <w:rFonts w:cstheme="majorHAnsi"/>
          <w:b/>
          <w:color w:val="000000" w:themeColor="text1"/>
          <w:sz w:val="30"/>
          <w:szCs w:val="30"/>
          <w:lang w:val="en-AU"/>
        </w:rPr>
        <w:t>on the Retirement income review</w:t>
      </w:r>
    </w:p>
    <w:p w14:paraId="107A0CDB" w14:textId="2BB6DBA2" w:rsidR="007962DE" w:rsidRPr="006B3BEF" w:rsidRDefault="00046569" w:rsidP="004E3676">
      <w:pPr>
        <w:rPr>
          <w:lang w:val="en-AU"/>
        </w:rPr>
      </w:pPr>
      <w:r w:rsidRPr="006B3BEF">
        <w:rPr>
          <w:rFonts w:eastAsia="Calibri" w:cs="Calibri Light"/>
          <w:lang w:val="en-AU"/>
        </w:rPr>
        <w:t xml:space="preserve">Thank you for the opportunity to make a submission </w:t>
      </w:r>
      <w:r w:rsidR="004E3676" w:rsidRPr="006B3BEF">
        <w:rPr>
          <w:rFonts w:eastAsia="Calibri" w:cs="Calibri Light"/>
          <w:lang w:val="en-AU"/>
        </w:rPr>
        <w:t xml:space="preserve">on the retirement income review run by the Treasury. </w:t>
      </w:r>
    </w:p>
    <w:p w14:paraId="09293B49" w14:textId="6FF0E080" w:rsidR="00263168" w:rsidRPr="006B3BEF" w:rsidRDefault="00263168" w:rsidP="00120B12">
      <w:pPr>
        <w:rPr>
          <w:lang w:val="en-AU"/>
        </w:rPr>
      </w:pPr>
    </w:p>
    <w:p w14:paraId="3DA8F323" w14:textId="77777777" w:rsidR="00046569" w:rsidRPr="006B3BEF" w:rsidRDefault="00046569" w:rsidP="00BA7F02">
      <w:pPr>
        <w:rPr>
          <w:b/>
          <w:color w:val="7030A0"/>
          <w:lang w:val="en-AU"/>
        </w:rPr>
      </w:pPr>
      <w:bookmarkStart w:id="1" w:name="_Toc19104963"/>
      <w:r w:rsidRPr="006B3BEF">
        <w:rPr>
          <w:b/>
          <w:color w:val="7030A0"/>
          <w:lang w:val="en-AU"/>
        </w:rPr>
        <w:t>About Australian Women Against Violence Alliance</w:t>
      </w:r>
      <w:bookmarkEnd w:id="1"/>
      <w:r w:rsidRPr="006B3BEF">
        <w:rPr>
          <w:b/>
          <w:color w:val="7030A0"/>
          <w:lang w:val="en-AU"/>
        </w:rPr>
        <w:t xml:space="preserve"> </w:t>
      </w:r>
    </w:p>
    <w:p w14:paraId="15844F72" w14:textId="4407B165" w:rsidR="00BA7F02" w:rsidRDefault="00046569" w:rsidP="00120B12">
      <w:pPr>
        <w:rPr>
          <w:rFonts w:eastAsia="Calibri" w:cs="Calibri Light"/>
          <w:lang w:val="en-AU"/>
        </w:rPr>
      </w:pPr>
      <w:r w:rsidRPr="006B3BEF">
        <w:rPr>
          <w:rFonts w:eastAsia="Calibri" w:cs="Calibri Light"/>
          <w:lang w:val="en-AU"/>
        </w:rP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contract manager is the Women's Services Network (WESNET).</w:t>
      </w:r>
    </w:p>
    <w:p w14:paraId="762D5A29" w14:textId="77777777" w:rsidR="009E79BC" w:rsidRDefault="009E79BC" w:rsidP="00120B12">
      <w:pPr>
        <w:rPr>
          <w:rFonts w:eastAsia="Calibri" w:cs="Calibri Light"/>
          <w:lang w:val="en-AU"/>
        </w:rPr>
      </w:pPr>
    </w:p>
    <w:p w14:paraId="1FAAA87C" w14:textId="6A92D0C1" w:rsidR="00115A52" w:rsidRPr="00115A52" w:rsidRDefault="00115A52" w:rsidP="00120B12">
      <w:pPr>
        <w:rPr>
          <w:rFonts w:eastAsia="Calibri" w:cs="Calibri Light"/>
          <w:b/>
          <w:color w:val="7030A0"/>
          <w:lang w:val="en-AU"/>
        </w:rPr>
      </w:pPr>
      <w:r w:rsidRPr="00115A52">
        <w:rPr>
          <w:rFonts w:eastAsia="Calibri" w:cs="Calibri Light"/>
          <w:b/>
          <w:color w:val="7030A0"/>
          <w:lang w:val="en-AU"/>
        </w:rPr>
        <w:t>List of used acronyms</w:t>
      </w:r>
    </w:p>
    <w:p w14:paraId="209545D2" w14:textId="10EE3B5B" w:rsidR="00115A52" w:rsidRDefault="00115A52" w:rsidP="00272BE6">
      <w:pPr>
        <w:pStyle w:val="NoSpacing"/>
        <w:rPr>
          <w:rFonts w:eastAsia="Calibri" w:cs="Calibri Light"/>
        </w:rPr>
      </w:pPr>
      <w:r w:rsidRPr="006B3BEF">
        <w:t>ACOSS</w:t>
      </w:r>
      <w:r>
        <w:tab/>
      </w:r>
      <w:r>
        <w:tab/>
        <w:t>Australian Council for Social Services</w:t>
      </w:r>
    </w:p>
    <w:p w14:paraId="26EFB1C8" w14:textId="2892BE24" w:rsidR="00115A52" w:rsidRDefault="00115A52" w:rsidP="00272BE6">
      <w:pPr>
        <w:pStyle w:val="NoSpacing"/>
        <w:rPr>
          <w:rFonts w:eastAsia="Calibri" w:cs="Calibri Light"/>
        </w:rPr>
      </w:pPr>
      <w:r>
        <w:rPr>
          <w:rFonts w:eastAsia="Calibri" w:cs="Calibri Light"/>
        </w:rPr>
        <w:t>ASFA</w:t>
      </w:r>
      <w:r>
        <w:rPr>
          <w:rFonts w:eastAsia="Calibri" w:cs="Calibri Light"/>
        </w:rPr>
        <w:tab/>
      </w:r>
      <w:r>
        <w:rPr>
          <w:rFonts w:eastAsia="Calibri" w:cs="Calibri Light"/>
        </w:rPr>
        <w:tab/>
      </w:r>
      <w:r w:rsidRPr="00115A52">
        <w:rPr>
          <w:rFonts w:eastAsia="Calibri" w:cs="Calibri Light"/>
        </w:rPr>
        <w:t>The Association of Superannuation Funds of Australia Limited</w:t>
      </w:r>
    </w:p>
    <w:p w14:paraId="66AB85F2" w14:textId="6046AB36" w:rsidR="00115A52" w:rsidRDefault="00115A52" w:rsidP="00272BE6">
      <w:pPr>
        <w:pStyle w:val="NoSpacing"/>
        <w:rPr>
          <w:rFonts w:eastAsia="Calibri" w:cs="Calibri Light"/>
        </w:rPr>
      </w:pPr>
      <w:r>
        <w:rPr>
          <w:rFonts w:eastAsia="Calibri" w:cs="Calibri Light"/>
        </w:rPr>
        <w:t>AWAVA</w:t>
      </w:r>
      <w:r>
        <w:rPr>
          <w:rFonts w:eastAsia="Calibri" w:cs="Calibri Light"/>
        </w:rPr>
        <w:tab/>
      </w:r>
      <w:r>
        <w:rPr>
          <w:rFonts w:eastAsia="Calibri" w:cs="Calibri Light"/>
        </w:rPr>
        <w:tab/>
        <w:t>Australian Women Against Violence Alliance</w:t>
      </w:r>
    </w:p>
    <w:p w14:paraId="4CD19A43" w14:textId="4767F387" w:rsidR="00115A52" w:rsidRDefault="00115A52" w:rsidP="00272BE6">
      <w:pPr>
        <w:pStyle w:val="NoSpacing"/>
        <w:rPr>
          <w:rFonts w:eastAsia="Calibri" w:cs="Calibri Light"/>
        </w:rPr>
      </w:pPr>
      <w:r>
        <w:rPr>
          <w:rFonts w:eastAsia="Calibri" w:cs="Calibri Light"/>
        </w:rPr>
        <w:t>CALD</w:t>
      </w:r>
      <w:r>
        <w:rPr>
          <w:rFonts w:eastAsia="Calibri" w:cs="Calibri Light"/>
        </w:rPr>
        <w:tab/>
      </w:r>
      <w:r>
        <w:rPr>
          <w:rFonts w:eastAsia="Calibri" w:cs="Calibri Light"/>
        </w:rPr>
        <w:tab/>
        <w:t xml:space="preserve">People from culturally and linguistically diverse backgrounds </w:t>
      </w:r>
    </w:p>
    <w:p w14:paraId="79F66445" w14:textId="612A87E5" w:rsidR="00115A52" w:rsidRDefault="00115A52" w:rsidP="00272BE6">
      <w:pPr>
        <w:pStyle w:val="NoSpacing"/>
        <w:rPr>
          <w:rFonts w:eastAsia="Calibri" w:cs="Calibri Light"/>
        </w:rPr>
      </w:pPr>
      <w:r>
        <w:rPr>
          <w:rFonts w:eastAsia="Calibri" w:cs="Calibri Light"/>
        </w:rPr>
        <w:t>LGBTIQ+</w:t>
      </w:r>
      <w:r>
        <w:rPr>
          <w:rFonts w:eastAsia="Calibri" w:cs="Calibri Light"/>
        </w:rPr>
        <w:tab/>
        <w:t xml:space="preserve">People who are lesbian, gay, bisexual, transgender, intersex and queer </w:t>
      </w:r>
    </w:p>
    <w:p w14:paraId="37AC46E4" w14:textId="3A8A5027" w:rsidR="00115A52" w:rsidRDefault="00115A52" w:rsidP="00120B12">
      <w:pPr>
        <w:rPr>
          <w:rFonts w:eastAsia="Calibri" w:cs="Calibri Light"/>
          <w:lang w:val="en-AU"/>
        </w:rPr>
      </w:pPr>
    </w:p>
    <w:sdt>
      <w:sdtPr>
        <w:rPr>
          <w:rFonts w:ascii="Calibri Light" w:eastAsiaTheme="minorHAnsi" w:hAnsi="Calibri Light" w:cs="Times New Roman"/>
          <w:color w:val="auto"/>
          <w:sz w:val="22"/>
          <w:szCs w:val="22"/>
          <w:lang w:val="en-GB" w:eastAsia="en-GB"/>
        </w:rPr>
        <w:id w:val="-1709251916"/>
        <w:docPartObj>
          <w:docPartGallery w:val="Table of Contents"/>
          <w:docPartUnique/>
        </w:docPartObj>
      </w:sdtPr>
      <w:sdtEndPr>
        <w:rPr>
          <w:b/>
          <w:bCs/>
          <w:noProof/>
        </w:rPr>
      </w:sdtEndPr>
      <w:sdtContent>
        <w:p w14:paraId="2B1B0FC0" w14:textId="5356358F" w:rsidR="0055598A" w:rsidRPr="0055598A" w:rsidRDefault="0055598A">
          <w:pPr>
            <w:pStyle w:val="TOCHeading"/>
            <w:rPr>
              <w:rFonts w:ascii="Calibri Light" w:eastAsia="Calibri" w:hAnsi="Calibri Light" w:cs="Calibri Light"/>
              <w:b/>
              <w:color w:val="7030A0"/>
              <w:sz w:val="22"/>
              <w:szCs w:val="22"/>
              <w:lang w:val="en-AU" w:eastAsia="en-GB"/>
            </w:rPr>
          </w:pPr>
          <w:r w:rsidRPr="0055598A">
            <w:rPr>
              <w:rFonts w:ascii="Calibri Light" w:eastAsia="Calibri" w:hAnsi="Calibri Light" w:cs="Calibri Light"/>
              <w:b/>
              <w:color w:val="7030A0"/>
              <w:sz w:val="22"/>
              <w:szCs w:val="22"/>
              <w:lang w:val="en-AU" w:eastAsia="en-GB"/>
            </w:rPr>
            <w:t xml:space="preserve">Table of Contents </w:t>
          </w:r>
        </w:p>
        <w:p w14:paraId="4359E29F" w14:textId="341804B3" w:rsidR="001B4A4A" w:rsidRPr="001B4A4A" w:rsidRDefault="0055598A">
          <w:pPr>
            <w:pStyle w:val="TOC1"/>
            <w:tabs>
              <w:tab w:val="right" w:leader="dot" w:pos="9323"/>
            </w:tabs>
            <w:rPr>
              <w:rFonts w:asciiTheme="majorHAnsi" w:hAnsiTheme="majorHAnsi" w:cstheme="majorHAnsi"/>
              <w:noProof/>
              <w:lang w:val="en-AU" w:eastAsia="en-AU"/>
            </w:rPr>
          </w:pPr>
          <w:r w:rsidRPr="001B4A4A">
            <w:rPr>
              <w:rFonts w:asciiTheme="majorHAnsi" w:hAnsiTheme="majorHAnsi" w:cstheme="majorHAnsi"/>
            </w:rPr>
            <w:fldChar w:fldCharType="begin"/>
          </w:r>
          <w:r w:rsidRPr="001B4A4A">
            <w:rPr>
              <w:rFonts w:asciiTheme="majorHAnsi" w:hAnsiTheme="majorHAnsi" w:cstheme="majorHAnsi"/>
            </w:rPr>
            <w:instrText xml:space="preserve"> TOC \o "1-3" \h \z \u </w:instrText>
          </w:r>
          <w:r w:rsidRPr="001B4A4A">
            <w:rPr>
              <w:rFonts w:asciiTheme="majorHAnsi" w:hAnsiTheme="majorHAnsi" w:cstheme="majorHAnsi"/>
            </w:rPr>
            <w:fldChar w:fldCharType="separate"/>
          </w:r>
          <w:hyperlink w:anchor="_Toc31624181" w:history="1">
            <w:r w:rsidR="001B4A4A" w:rsidRPr="001B4A4A">
              <w:rPr>
                <w:rStyle w:val="Hyperlink"/>
                <w:rFonts w:asciiTheme="majorHAnsi" w:eastAsia="Calibri" w:hAnsiTheme="majorHAnsi" w:cstheme="majorHAnsi"/>
                <w:noProof/>
                <w:lang w:val="en-AU"/>
              </w:rPr>
              <w:t>Introduction</w:t>
            </w:r>
            <w:r w:rsidR="001B4A4A" w:rsidRPr="001B4A4A">
              <w:rPr>
                <w:rFonts w:asciiTheme="majorHAnsi" w:hAnsiTheme="majorHAnsi" w:cstheme="majorHAnsi"/>
                <w:noProof/>
                <w:webHidden/>
              </w:rPr>
              <w:tab/>
            </w:r>
            <w:r w:rsidR="001B4A4A" w:rsidRPr="001B4A4A">
              <w:rPr>
                <w:rFonts w:asciiTheme="majorHAnsi" w:hAnsiTheme="majorHAnsi" w:cstheme="majorHAnsi"/>
                <w:noProof/>
                <w:webHidden/>
              </w:rPr>
              <w:fldChar w:fldCharType="begin"/>
            </w:r>
            <w:r w:rsidR="001B4A4A" w:rsidRPr="001B4A4A">
              <w:rPr>
                <w:rFonts w:asciiTheme="majorHAnsi" w:hAnsiTheme="majorHAnsi" w:cstheme="majorHAnsi"/>
                <w:noProof/>
                <w:webHidden/>
              </w:rPr>
              <w:instrText xml:space="preserve"> PAGEREF _Toc31624181 \h </w:instrText>
            </w:r>
            <w:r w:rsidR="001B4A4A" w:rsidRPr="001B4A4A">
              <w:rPr>
                <w:rFonts w:asciiTheme="majorHAnsi" w:hAnsiTheme="majorHAnsi" w:cstheme="majorHAnsi"/>
                <w:noProof/>
                <w:webHidden/>
              </w:rPr>
            </w:r>
            <w:r w:rsidR="001B4A4A" w:rsidRPr="001B4A4A">
              <w:rPr>
                <w:rFonts w:asciiTheme="majorHAnsi" w:hAnsiTheme="majorHAnsi" w:cstheme="majorHAnsi"/>
                <w:noProof/>
                <w:webHidden/>
              </w:rPr>
              <w:fldChar w:fldCharType="separate"/>
            </w:r>
            <w:r w:rsidR="00151380">
              <w:rPr>
                <w:rFonts w:asciiTheme="majorHAnsi" w:hAnsiTheme="majorHAnsi" w:cstheme="majorHAnsi"/>
                <w:noProof/>
                <w:webHidden/>
              </w:rPr>
              <w:t>2</w:t>
            </w:r>
            <w:r w:rsidR="001B4A4A" w:rsidRPr="001B4A4A">
              <w:rPr>
                <w:rFonts w:asciiTheme="majorHAnsi" w:hAnsiTheme="majorHAnsi" w:cstheme="majorHAnsi"/>
                <w:noProof/>
                <w:webHidden/>
              </w:rPr>
              <w:fldChar w:fldCharType="end"/>
            </w:r>
          </w:hyperlink>
        </w:p>
        <w:p w14:paraId="6A57C56D" w14:textId="7AC36CBF" w:rsidR="001B4A4A" w:rsidRPr="001B4A4A" w:rsidRDefault="001B4A4A">
          <w:pPr>
            <w:pStyle w:val="TOC1"/>
            <w:tabs>
              <w:tab w:val="right" w:leader="dot" w:pos="9323"/>
            </w:tabs>
            <w:rPr>
              <w:rFonts w:asciiTheme="majorHAnsi" w:hAnsiTheme="majorHAnsi" w:cstheme="majorHAnsi"/>
              <w:noProof/>
              <w:lang w:val="en-AU" w:eastAsia="en-AU"/>
            </w:rPr>
          </w:pPr>
          <w:hyperlink w:anchor="_Toc31624182" w:history="1">
            <w:r w:rsidRPr="001B4A4A">
              <w:rPr>
                <w:rStyle w:val="Hyperlink"/>
                <w:rFonts w:asciiTheme="majorHAnsi" w:hAnsiTheme="majorHAnsi" w:cstheme="majorHAnsi"/>
                <w:noProof/>
                <w:lang w:val="en-AU"/>
              </w:rPr>
              <w:t>Structural issues impeding women’s financial security during the course of life</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_Toc31624182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2</w:t>
            </w:r>
            <w:r w:rsidRPr="001B4A4A">
              <w:rPr>
                <w:rFonts w:asciiTheme="majorHAnsi" w:hAnsiTheme="majorHAnsi" w:cstheme="majorHAnsi"/>
                <w:noProof/>
                <w:webHidden/>
              </w:rPr>
              <w:fldChar w:fldCharType="end"/>
            </w:r>
          </w:hyperlink>
        </w:p>
        <w:p w14:paraId="443DD45E" w14:textId="65417F04" w:rsidR="001B4A4A" w:rsidRPr="001B4A4A" w:rsidRDefault="001B4A4A">
          <w:pPr>
            <w:pStyle w:val="TOC2"/>
            <w:tabs>
              <w:tab w:val="right" w:leader="dot" w:pos="9323"/>
            </w:tabs>
            <w:rPr>
              <w:rFonts w:asciiTheme="majorHAnsi" w:hAnsiTheme="majorHAnsi" w:cstheme="majorHAnsi"/>
              <w:noProof/>
              <w:lang w:val="en-AU" w:eastAsia="en-AU"/>
            </w:rPr>
          </w:pPr>
          <w:hyperlink w:anchor="_Toc31624183" w:history="1">
            <w:r w:rsidRPr="001B4A4A">
              <w:rPr>
                <w:rStyle w:val="Hyperlink"/>
                <w:rFonts w:asciiTheme="majorHAnsi" w:hAnsiTheme="majorHAnsi" w:cstheme="majorHAnsi"/>
                <w:noProof/>
                <w:lang w:val="en-AU"/>
              </w:rPr>
              <w:t>Feminisation of poverty</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_Toc31624183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2</w:t>
            </w:r>
            <w:r w:rsidRPr="001B4A4A">
              <w:rPr>
                <w:rFonts w:asciiTheme="majorHAnsi" w:hAnsiTheme="majorHAnsi" w:cstheme="majorHAnsi"/>
                <w:noProof/>
                <w:webHidden/>
              </w:rPr>
              <w:fldChar w:fldCharType="end"/>
            </w:r>
          </w:hyperlink>
        </w:p>
        <w:p w14:paraId="1308F7F6" w14:textId="0A5C2B80" w:rsidR="001B4A4A" w:rsidRPr="001B4A4A" w:rsidRDefault="001B4A4A">
          <w:pPr>
            <w:pStyle w:val="TOC2"/>
            <w:tabs>
              <w:tab w:val="right" w:leader="dot" w:pos="9323"/>
            </w:tabs>
            <w:rPr>
              <w:rFonts w:asciiTheme="majorHAnsi" w:hAnsiTheme="majorHAnsi" w:cstheme="majorHAnsi"/>
              <w:noProof/>
              <w:lang w:val="en-AU" w:eastAsia="en-AU"/>
            </w:rPr>
          </w:pPr>
          <w:hyperlink w:anchor="_Toc31624184" w:history="1">
            <w:r w:rsidRPr="001B4A4A">
              <w:rPr>
                <w:rStyle w:val="Hyperlink"/>
                <w:rFonts w:asciiTheme="majorHAnsi" w:hAnsiTheme="majorHAnsi" w:cstheme="majorHAnsi"/>
                <w:noProof/>
                <w:lang w:val="en-AU"/>
              </w:rPr>
              <w:t>Gender pay and superannuation gaps</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_Toc31624184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4</w:t>
            </w:r>
            <w:r w:rsidRPr="001B4A4A">
              <w:rPr>
                <w:rFonts w:asciiTheme="majorHAnsi" w:hAnsiTheme="majorHAnsi" w:cstheme="majorHAnsi"/>
                <w:noProof/>
                <w:webHidden/>
              </w:rPr>
              <w:fldChar w:fldCharType="end"/>
            </w:r>
          </w:hyperlink>
        </w:p>
        <w:p w14:paraId="5A1D5BBA" w14:textId="732D354B" w:rsidR="001B4A4A" w:rsidRPr="001B4A4A" w:rsidRDefault="001B4A4A">
          <w:pPr>
            <w:pStyle w:val="TOC2"/>
            <w:tabs>
              <w:tab w:val="right" w:leader="dot" w:pos="9323"/>
            </w:tabs>
            <w:rPr>
              <w:rFonts w:asciiTheme="majorHAnsi" w:hAnsiTheme="majorHAnsi" w:cstheme="majorHAnsi"/>
              <w:noProof/>
              <w:lang w:val="en-AU" w:eastAsia="en-AU"/>
            </w:rPr>
          </w:pPr>
          <w:hyperlink w:anchor="_Toc31624185" w:history="1">
            <w:r w:rsidRPr="001B4A4A">
              <w:rPr>
                <w:rStyle w:val="Hyperlink"/>
                <w:rFonts w:asciiTheme="majorHAnsi" w:hAnsiTheme="majorHAnsi" w:cstheme="majorHAnsi"/>
                <w:noProof/>
                <w:lang w:val="en-AU"/>
              </w:rPr>
              <w:t>Impact of domestic and family violence and cost of leaving partners who are use violence</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_Toc31624185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5</w:t>
            </w:r>
            <w:r w:rsidRPr="001B4A4A">
              <w:rPr>
                <w:rFonts w:asciiTheme="majorHAnsi" w:hAnsiTheme="majorHAnsi" w:cstheme="majorHAnsi"/>
                <w:noProof/>
                <w:webHidden/>
              </w:rPr>
              <w:fldChar w:fldCharType="end"/>
            </w:r>
          </w:hyperlink>
        </w:p>
        <w:p w14:paraId="3354D3B9" w14:textId="636F0C8F" w:rsidR="001B4A4A" w:rsidRPr="001B4A4A" w:rsidRDefault="001B4A4A">
          <w:pPr>
            <w:pStyle w:val="TOC1"/>
            <w:tabs>
              <w:tab w:val="right" w:leader="dot" w:pos="9323"/>
            </w:tabs>
            <w:rPr>
              <w:rFonts w:asciiTheme="majorHAnsi" w:hAnsiTheme="majorHAnsi" w:cstheme="majorHAnsi"/>
              <w:noProof/>
              <w:lang w:val="en-AU" w:eastAsia="en-AU"/>
            </w:rPr>
          </w:pPr>
          <w:hyperlink w:anchor="_Toc31624186" w:history="1">
            <w:r w:rsidRPr="001B4A4A">
              <w:rPr>
                <w:rStyle w:val="Hyperlink"/>
                <w:rFonts w:asciiTheme="majorHAnsi" w:hAnsiTheme="majorHAnsi" w:cstheme="majorHAnsi"/>
                <w:noProof/>
                <w:lang w:val="en-AU"/>
              </w:rPr>
              <w:t>Embed an intersectional gender lens into social policy</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_Toc31624186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7</w:t>
            </w:r>
            <w:r w:rsidRPr="001B4A4A">
              <w:rPr>
                <w:rFonts w:asciiTheme="majorHAnsi" w:hAnsiTheme="majorHAnsi" w:cstheme="majorHAnsi"/>
                <w:noProof/>
                <w:webHidden/>
              </w:rPr>
              <w:fldChar w:fldCharType="end"/>
            </w:r>
          </w:hyperlink>
        </w:p>
        <w:p w14:paraId="584B4249" w14:textId="0FB0E87F" w:rsidR="001B4A4A" w:rsidRPr="001B4A4A" w:rsidRDefault="001B4A4A">
          <w:pPr>
            <w:pStyle w:val="TOC1"/>
            <w:tabs>
              <w:tab w:val="right" w:leader="dot" w:pos="9323"/>
            </w:tabs>
            <w:rPr>
              <w:rFonts w:asciiTheme="majorHAnsi" w:hAnsiTheme="majorHAnsi" w:cstheme="majorHAnsi"/>
              <w:noProof/>
              <w:lang w:val="en-AU" w:eastAsia="en-AU"/>
            </w:rPr>
          </w:pPr>
          <w:hyperlink w:anchor="_Toc31624187" w:history="1">
            <w:r w:rsidRPr="001B4A4A">
              <w:rPr>
                <w:rStyle w:val="Hyperlink"/>
                <w:rFonts w:asciiTheme="majorHAnsi" w:hAnsiTheme="majorHAnsi" w:cstheme="majorHAnsi"/>
                <w:noProof/>
                <w:lang w:val="en-AU"/>
              </w:rPr>
              <w:t>Recommendations</w:t>
            </w:r>
            <w:r w:rsidRPr="001B4A4A">
              <w:rPr>
                <w:rFonts w:asciiTheme="majorHAnsi" w:hAnsiTheme="majorHAnsi" w:cstheme="majorHAnsi"/>
                <w:noProof/>
                <w:webHidden/>
              </w:rPr>
              <w:tab/>
            </w:r>
            <w:r w:rsidRPr="001B4A4A">
              <w:rPr>
                <w:rFonts w:asciiTheme="majorHAnsi" w:hAnsiTheme="majorHAnsi" w:cstheme="majorHAnsi"/>
                <w:noProof/>
                <w:webHidden/>
              </w:rPr>
              <w:fldChar w:fldCharType="begin"/>
            </w:r>
            <w:r w:rsidRPr="001B4A4A">
              <w:rPr>
                <w:rFonts w:asciiTheme="majorHAnsi" w:hAnsiTheme="majorHAnsi" w:cstheme="majorHAnsi"/>
                <w:noProof/>
                <w:webHidden/>
              </w:rPr>
              <w:instrText xml:space="preserve"> PAGEREF _Toc31624187 \h </w:instrText>
            </w:r>
            <w:r w:rsidRPr="001B4A4A">
              <w:rPr>
                <w:rFonts w:asciiTheme="majorHAnsi" w:hAnsiTheme="majorHAnsi" w:cstheme="majorHAnsi"/>
                <w:noProof/>
                <w:webHidden/>
              </w:rPr>
            </w:r>
            <w:r w:rsidRPr="001B4A4A">
              <w:rPr>
                <w:rFonts w:asciiTheme="majorHAnsi" w:hAnsiTheme="majorHAnsi" w:cstheme="majorHAnsi"/>
                <w:noProof/>
                <w:webHidden/>
              </w:rPr>
              <w:fldChar w:fldCharType="separate"/>
            </w:r>
            <w:r w:rsidR="00151380">
              <w:rPr>
                <w:rFonts w:asciiTheme="majorHAnsi" w:hAnsiTheme="majorHAnsi" w:cstheme="majorHAnsi"/>
                <w:noProof/>
                <w:webHidden/>
              </w:rPr>
              <w:t>8</w:t>
            </w:r>
            <w:r w:rsidRPr="001B4A4A">
              <w:rPr>
                <w:rFonts w:asciiTheme="majorHAnsi" w:hAnsiTheme="majorHAnsi" w:cstheme="majorHAnsi"/>
                <w:noProof/>
                <w:webHidden/>
              </w:rPr>
              <w:fldChar w:fldCharType="end"/>
            </w:r>
          </w:hyperlink>
        </w:p>
        <w:p w14:paraId="483802EE" w14:textId="1F315A17" w:rsidR="0055598A" w:rsidRDefault="0055598A">
          <w:r w:rsidRPr="001B4A4A">
            <w:rPr>
              <w:rFonts w:asciiTheme="majorHAnsi" w:hAnsiTheme="majorHAnsi" w:cstheme="majorHAnsi"/>
              <w:b/>
              <w:bCs/>
              <w:noProof/>
            </w:rPr>
            <w:fldChar w:fldCharType="end"/>
          </w:r>
        </w:p>
      </w:sdtContent>
    </w:sdt>
    <w:p w14:paraId="28D8A1FF" w14:textId="69897986" w:rsidR="004E3676" w:rsidRPr="006B3BEF" w:rsidRDefault="00BA7F02" w:rsidP="00440DB3">
      <w:pPr>
        <w:spacing w:before="0" w:after="160" w:line="259" w:lineRule="auto"/>
        <w:jc w:val="left"/>
        <w:rPr>
          <w:rFonts w:eastAsia="Calibri" w:cs="Calibri Light"/>
          <w:lang w:val="en-AU"/>
        </w:rPr>
      </w:pPr>
      <w:r w:rsidRPr="006B3BEF">
        <w:rPr>
          <w:rFonts w:eastAsia="Calibri" w:cs="Calibri Light"/>
          <w:lang w:val="en-AU"/>
        </w:rPr>
        <w:br w:type="page"/>
      </w:r>
    </w:p>
    <w:p w14:paraId="4C501B8A" w14:textId="5151DCAC" w:rsidR="00683697" w:rsidRPr="006B3BEF" w:rsidRDefault="00C02763" w:rsidP="00C02763">
      <w:pPr>
        <w:pStyle w:val="Heading1"/>
        <w:rPr>
          <w:rFonts w:eastAsia="Calibri"/>
          <w:lang w:val="en-AU"/>
        </w:rPr>
      </w:pPr>
      <w:bookmarkStart w:id="2" w:name="_Toc31624181"/>
      <w:r w:rsidRPr="006B3BEF">
        <w:rPr>
          <w:rFonts w:eastAsia="Calibri"/>
          <w:lang w:val="en-AU"/>
        </w:rPr>
        <w:lastRenderedPageBreak/>
        <w:t>Introduction</w:t>
      </w:r>
      <w:bookmarkEnd w:id="2"/>
    </w:p>
    <w:p w14:paraId="6256F3D7" w14:textId="79CBC9D5" w:rsidR="001C3C5C" w:rsidRPr="006B3BEF" w:rsidRDefault="001C3C5C" w:rsidP="001C3C5C">
      <w:pPr>
        <w:rPr>
          <w:lang w:val="en-AU"/>
        </w:rPr>
      </w:pPr>
      <w:r w:rsidRPr="006B3BEF">
        <w:rPr>
          <w:lang w:val="en-AU"/>
        </w:rPr>
        <w:t>Around half of older Australians aged 65 and over are women.</w:t>
      </w:r>
      <w:r w:rsidRPr="006B3BEF">
        <w:rPr>
          <w:vertAlign w:val="superscript"/>
          <w:lang w:val="en-AU"/>
        </w:rPr>
        <w:footnoteReference w:id="1"/>
      </w:r>
      <w:r w:rsidRPr="006B3BEF">
        <w:rPr>
          <w:vertAlign w:val="superscript"/>
          <w:lang w:val="en-AU"/>
        </w:rPr>
        <w:t xml:space="preserve"> </w:t>
      </w:r>
      <w:r w:rsidRPr="006B3BEF">
        <w:rPr>
          <w:lang w:val="en-AU"/>
        </w:rPr>
        <w:t>1 in 6 of all homeless people on Census night were aged 55 or over.</w:t>
      </w:r>
      <w:r w:rsidRPr="006B3BEF">
        <w:rPr>
          <w:rStyle w:val="FootnoteReference"/>
          <w:lang w:val="en-AU"/>
        </w:rPr>
        <w:footnoteReference w:id="2"/>
      </w:r>
      <w:r w:rsidRPr="006B3BEF">
        <w:rPr>
          <w:lang w:val="en-AU"/>
        </w:rPr>
        <w:t xml:space="preserve"> The number of older women </w:t>
      </w:r>
      <w:r w:rsidR="00BA76C2">
        <w:rPr>
          <w:lang w:val="en-AU"/>
        </w:rPr>
        <w:t xml:space="preserve">who are homeless </w:t>
      </w:r>
      <w:r w:rsidRPr="006B3BEF">
        <w:rPr>
          <w:lang w:val="en-AU"/>
        </w:rPr>
        <w:t>in Australia</w:t>
      </w:r>
      <w:r w:rsidR="00A00FB4" w:rsidRPr="006B3BEF">
        <w:rPr>
          <w:lang w:val="en-AU"/>
        </w:rPr>
        <w:t xml:space="preserve"> ha</w:t>
      </w:r>
      <w:r w:rsidR="00BA76C2">
        <w:rPr>
          <w:lang w:val="en-AU"/>
        </w:rPr>
        <w:t>s</w:t>
      </w:r>
      <w:r w:rsidRPr="006B3BEF">
        <w:rPr>
          <w:lang w:val="en-AU"/>
        </w:rPr>
        <w:t xml:space="preserve"> increased by 3</w:t>
      </w:r>
      <w:r w:rsidR="00A00FB4" w:rsidRPr="006B3BEF">
        <w:rPr>
          <w:lang w:val="en-AU"/>
        </w:rPr>
        <w:t>1</w:t>
      </w:r>
      <w:r w:rsidRPr="006B3BEF">
        <w:rPr>
          <w:lang w:val="en-AU"/>
        </w:rPr>
        <w:t xml:space="preserve">% </w:t>
      </w:r>
      <w:r w:rsidR="00A00FB4" w:rsidRPr="006B3BEF">
        <w:rPr>
          <w:lang w:val="en-AU"/>
        </w:rPr>
        <w:t>since 2011</w:t>
      </w:r>
      <w:r w:rsidRPr="006B3BEF">
        <w:rPr>
          <w:rStyle w:val="FootnoteReference"/>
          <w:lang w:val="en-AU"/>
        </w:rPr>
        <w:footnoteReference w:id="3"/>
      </w:r>
      <w:r w:rsidR="00104521" w:rsidRPr="006B3BEF">
        <w:rPr>
          <w:lang w:val="en-AU"/>
        </w:rPr>
        <w:t xml:space="preserve"> </w:t>
      </w:r>
      <w:r w:rsidR="00A00FB4" w:rsidRPr="006B3BEF">
        <w:rPr>
          <w:lang w:val="en-AU"/>
        </w:rPr>
        <w:t>due to</w:t>
      </w:r>
      <w:r w:rsidR="00104521" w:rsidRPr="006B3BEF">
        <w:rPr>
          <w:lang w:val="en-AU"/>
        </w:rPr>
        <w:t xml:space="preserve"> increasing economic insecurity, gender pay and super</w:t>
      </w:r>
      <w:r w:rsidR="00BA76C2">
        <w:rPr>
          <w:lang w:val="en-AU"/>
        </w:rPr>
        <w:t>annuation</w:t>
      </w:r>
      <w:r w:rsidR="00104521" w:rsidRPr="006B3BEF">
        <w:rPr>
          <w:lang w:val="en-AU"/>
        </w:rPr>
        <w:t xml:space="preserve"> gaps and </w:t>
      </w:r>
      <w:r w:rsidR="00BA76C2">
        <w:rPr>
          <w:lang w:val="en-AU"/>
        </w:rPr>
        <w:t xml:space="preserve">the </w:t>
      </w:r>
      <w:r w:rsidR="00104521" w:rsidRPr="006B3BEF">
        <w:rPr>
          <w:lang w:val="en-AU"/>
        </w:rPr>
        <w:t xml:space="preserve">impacts of domestic and family violence. </w:t>
      </w:r>
      <w:r w:rsidR="00DE155D">
        <w:rPr>
          <w:lang w:val="en-AU"/>
        </w:rPr>
        <w:t xml:space="preserve">Increasingly women are retiring with much less savings or superannuation, yet social policy remains gender-blind to these issues. </w:t>
      </w:r>
    </w:p>
    <w:p w14:paraId="36597B20" w14:textId="3C2155F0" w:rsidR="00C02763" w:rsidRDefault="00C02763" w:rsidP="001C3C5C">
      <w:pPr>
        <w:rPr>
          <w:lang w:val="en-AU"/>
        </w:rPr>
      </w:pPr>
      <w:r w:rsidRPr="006B3BEF">
        <w:rPr>
          <w:lang w:val="en-AU"/>
        </w:rPr>
        <w:t>We are disappointed that the consultation paper</w:t>
      </w:r>
      <w:r w:rsidR="00DE155D">
        <w:rPr>
          <w:lang w:val="en-AU"/>
        </w:rPr>
        <w:t xml:space="preserve"> itself</w:t>
      </w:r>
      <w:r w:rsidRPr="006B3BEF">
        <w:rPr>
          <w:lang w:val="en-AU"/>
        </w:rPr>
        <w:t xml:space="preserve"> does not properly address gender disparity in economic security more broadly and retirement income specifically. Omission of the impacts of domestic and family violence is a big gap </w:t>
      </w:r>
      <w:r w:rsidR="00DE155D">
        <w:rPr>
          <w:lang w:val="en-AU"/>
        </w:rPr>
        <w:t>in</w:t>
      </w:r>
      <w:r w:rsidRPr="006B3BEF">
        <w:rPr>
          <w:lang w:val="en-AU"/>
        </w:rPr>
        <w:t xml:space="preserve"> the discussion about women’s ability to live secure and dignified lives in the retirement. In this submission we wish to draw</w:t>
      </w:r>
      <w:r w:rsidR="00DE155D">
        <w:rPr>
          <w:lang w:val="en-AU"/>
        </w:rPr>
        <w:t xml:space="preserve"> the</w:t>
      </w:r>
      <w:r w:rsidRPr="006B3BEF">
        <w:rPr>
          <w:lang w:val="en-AU"/>
        </w:rPr>
        <w:t xml:space="preserve"> attention to the structural barriers that impact diverse groups of women to establish their financial independence and stability, impacts of feminisation of poverty and impacts of domestic and family violence. We argue that without embedding </w:t>
      </w:r>
      <w:r w:rsidR="00DE155D">
        <w:rPr>
          <w:lang w:val="en-AU"/>
        </w:rPr>
        <w:t xml:space="preserve">an intersectional </w:t>
      </w:r>
      <w:r w:rsidRPr="006B3BEF">
        <w:rPr>
          <w:lang w:val="en-AU"/>
        </w:rPr>
        <w:t xml:space="preserve">gender lens in social policy, equitable outcomes for women in their diversity will not be achieved. </w:t>
      </w:r>
    </w:p>
    <w:p w14:paraId="3D014768" w14:textId="309B084C" w:rsidR="00440DB3" w:rsidRPr="00440DB3" w:rsidRDefault="00440DB3" w:rsidP="00440DB3">
      <w:pPr>
        <w:rPr>
          <w:lang w:val="en-AU"/>
        </w:rPr>
      </w:pPr>
      <w:r>
        <w:rPr>
          <w:lang w:val="en-AU"/>
        </w:rPr>
        <w:t>In this submission we are seeking to address questions 13 (</w:t>
      </w:r>
      <w:r w:rsidRPr="00440DB3">
        <w:rPr>
          <w:lang w:val="en-AU"/>
        </w:rPr>
        <w:t xml:space="preserve">What should the Panel consider when assessing the equity of the retirement income system?) and 14 </w:t>
      </w:r>
      <w:r>
        <w:rPr>
          <w:lang w:val="en-AU"/>
        </w:rPr>
        <w:t>(</w:t>
      </w:r>
      <w:r w:rsidRPr="00440DB3">
        <w:rPr>
          <w:lang w:val="en-AU"/>
        </w:rPr>
        <w:t xml:space="preserve">What factors and information should the Panel consider when examining whether the retirement income system is delivering fair outcomes in retirement? What evidence is available to assess whether the current settings of the retirement income system support fair outcomes in retirement for individuals with different characteristics and/or in different circumstances (e.g. women, renters, etc.)? </w:t>
      </w:r>
    </w:p>
    <w:p w14:paraId="37A52188" w14:textId="0061AACC" w:rsidR="00C02763" w:rsidRPr="006B3BEF" w:rsidRDefault="00115A52" w:rsidP="00C02763">
      <w:pPr>
        <w:pStyle w:val="Heading1"/>
        <w:rPr>
          <w:lang w:val="en-AU"/>
        </w:rPr>
      </w:pPr>
      <w:bookmarkStart w:id="3" w:name="_Toc31624182"/>
      <w:r>
        <w:rPr>
          <w:lang w:val="en-AU"/>
        </w:rPr>
        <w:t>Structural issues impeding women’s financial security</w:t>
      </w:r>
      <w:r w:rsidR="00DE155D">
        <w:rPr>
          <w:lang w:val="en-AU"/>
        </w:rPr>
        <w:t xml:space="preserve"> during the course of life</w:t>
      </w:r>
      <w:bookmarkEnd w:id="3"/>
    </w:p>
    <w:p w14:paraId="0F913511" w14:textId="59686BF3" w:rsidR="003020D0" w:rsidRDefault="00DE155D" w:rsidP="00115A52">
      <w:pPr>
        <w:pStyle w:val="Heading2"/>
        <w:rPr>
          <w:lang w:val="en-AU"/>
        </w:rPr>
      </w:pPr>
      <w:bookmarkStart w:id="4" w:name="_Toc31624183"/>
      <w:r>
        <w:rPr>
          <w:lang w:val="en-AU"/>
        </w:rPr>
        <w:t>Feminisation of p</w:t>
      </w:r>
      <w:r w:rsidR="003020D0">
        <w:rPr>
          <w:lang w:val="en-AU"/>
        </w:rPr>
        <w:t>overty</w:t>
      </w:r>
      <w:bookmarkEnd w:id="4"/>
      <w:r w:rsidR="003020D0">
        <w:rPr>
          <w:lang w:val="en-AU"/>
        </w:rPr>
        <w:t xml:space="preserve"> </w:t>
      </w:r>
    </w:p>
    <w:p w14:paraId="5504327A" w14:textId="616E3436" w:rsidR="00C02763" w:rsidRDefault="00C02763" w:rsidP="00063EB7">
      <w:pPr>
        <w:spacing w:before="0" w:after="0"/>
        <w:rPr>
          <w:lang w:val="en-AU"/>
        </w:rPr>
      </w:pPr>
      <w:r w:rsidRPr="006B3BEF">
        <w:rPr>
          <w:lang w:val="en-AU"/>
        </w:rPr>
        <w:t>Current rates of poverty for people in Australia are $433 a week for a single adult (calculated as 50% of median income before housing costs and $909 a week for a couple with two children).</w:t>
      </w:r>
      <w:r w:rsidRPr="006B3BEF">
        <w:rPr>
          <w:rStyle w:val="FootnoteReference"/>
          <w:lang w:val="en-AU"/>
        </w:rPr>
        <w:footnoteReference w:id="4"/>
      </w:r>
      <w:r w:rsidRPr="006B3BEF">
        <w:rPr>
          <w:lang w:val="en-AU"/>
        </w:rPr>
        <w:t xml:space="preserve"> Poverty is a gendered phenomenon whereby women </w:t>
      </w:r>
      <w:r w:rsidR="00BA76C2">
        <w:rPr>
          <w:lang w:val="en-AU"/>
        </w:rPr>
        <w:t>are</w:t>
      </w:r>
      <w:r w:rsidRPr="006B3BEF">
        <w:rPr>
          <w:lang w:val="en-AU"/>
        </w:rPr>
        <w:t xml:space="preserve"> more likely to live in “households below the poverty line than men (13.4% as against 13.0% for men based on the 50% poverty line)”</w:t>
      </w:r>
      <w:r w:rsidRPr="006B3BEF">
        <w:rPr>
          <w:rStyle w:val="FootnoteReference"/>
          <w:lang w:val="en-AU"/>
        </w:rPr>
        <w:footnoteReference w:id="5"/>
      </w:r>
      <w:r w:rsidRPr="006B3BEF">
        <w:rPr>
          <w:lang w:val="en-AU"/>
        </w:rPr>
        <w:t xml:space="preserve">. </w:t>
      </w:r>
      <w:r w:rsidR="00BA76C2">
        <w:rPr>
          <w:lang w:val="en-AU"/>
        </w:rPr>
        <w:t xml:space="preserve">At an individual level the disparity is likely to be greater, with women aged </w:t>
      </w:r>
      <w:r w:rsidR="00BA76C2" w:rsidRPr="00BA76C2">
        <w:rPr>
          <w:lang w:val="en-AU"/>
        </w:rPr>
        <w:t xml:space="preserve">25–44 more than two and a half times </w:t>
      </w:r>
      <w:r w:rsidR="00BA76C2">
        <w:rPr>
          <w:lang w:val="en-AU"/>
        </w:rPr>
        <w:t xml:space="preserve">more </w:t>
      </w:r>
      <w:r w:rsidR="00BA76C2" w:rsidRPr="00BA76C2">
        <w:rPr>
          <w:lang w:val="en-AU"/>
        </w:rPr>
        <w:t xml:space="preserve">likely </w:t>
      </w:r>
      <w:r w:rsidR="00BA76C2">
        <w:rPr>
          <w:lang w:val="en-AU"/>
        </w:rPr>
        <w:t xml:space="preserve">than </w:t>
      </w:r>
      <w:r w:rsidR="00BA76C2" w:rsidRPr="00BA76C2">
        <w:rPr>
          <w:lang w:val="en-AU"/>
        </w:rPr>
        <w:t>men of the same age to be out of the labour force.</w:t>
      </w:r>
      <w:r w:rsidR="00BA76C2">
        <w:rPr>
          <w:rStyle w:val="FootnoteReference"/>
          <w:lang w:val="en-AU"/>
        </w:rPr>
        <w:footnoteReference w:id="6"/>
      </w:r>
    </w:p>
    <w:p w14:paraId="1D114485" w14:textId="77777777" w:rsidR="00C02763" w:rsidRPr="006B3BEF" w:rsidRDefault="00C02763" w:rsidP="00063EB7">
      <w:pPr>
        <w:rPr>
          <w:lang w:val="en-AU"/>
        </w:rPr>
      </w:pPr>
      <w:r w:rsidRPr="006B3BEF">
        <w:rPr>
          <w:lang w:val="en-AU"/>
        </w:rPr>
        <w:t>The rates of poverty for people with disability is estimated by various report to be between 17% and 34%</w:t>
      </w:r>
      <w:r w:rsidRPr="006B3BEF">
        <w:rPr>
          <w:rStyle w:val="FootnoteReference"/>
          <w:lang w:val="en-AU"/>
        </w:rPr>
        <w:footnoteReference w:id="7"/>
      </w:r>
      <w:r w:rsidRPr="006B3BEF">
        <w:rPr>
          <w:lang w:val="en-AU"/>
        </w:rPr>
        <w:t xml:space="preserve"> with some reports showing that 45% of people with disability experience poverty.</w:t>
      </w:r>
      <w:r w:rsidRPr="006B3BEF">
        <w:rPr>
          <w:rStyle w:val="FootnoteReference"/>
          <w:lang w:val="en-AU"/>
        </w:rPr>
        <w:footnoteReference w:id="8"/>
      </w:r>
      <w:r w:rsidRPr="006B3BEF">
        <w:rPr>
          <w:lang w:val="en-AU"/>
        </w:rPr>
        <w:t xml:space="preserve"> </w:t>
      </w:r>
    </w:p>
    <w:p w14:paraId="3A7E5FC2" w14:textId="061FADA1" w:rsidR="00C02763" w:rsidRPr="006B3BEF" w:rsidRDefault="00C02763" w:rsidP="00063EB7">
      <w:pPr>
        <w:rPr>
          <w:lang w:val="en-AU"/>
        </w:rPr>
      </w:pPr>
      <w:r w:rsidRPr="006B3BEF">
        <w:rPr>
          <w:lang w:val="en-AU"/>
        </w:rPr>
        <w:t>ACOSS drawing on a study by Markham &amp; Biddle</w:t>
      </w:r>
      <w:r w:rsidRPr="006B3BEF">
        <w:rPr>
          <w:rStyle w:val="FootnoteReference"/>
          <w:lang w:val="en-AU"/>
        </w:rPr>
        <w:footnoteReference w:id="9"/>
      </w:r>
      <w:r w:rsidRPr="006B3BEF">
        <w:rPr>
          <w:lang w:val="en-AU"/>
        </w:rPr>
        <w:t xml:space="preserve"> estimates that the poverty rate for Aboriginal and Torres Strait Islander people is 31%, while poverty is twice as high in very remote communities (54%) as in major </w:t>
      </w:r>
      <w:r w:rsidRPr="006B3BEF">
        <w:rPr>
          <w:lang w:val="en-AU"/>
        </w:rPr>
        <w:lastRenderedPageBreak/>
        <w:t>cities (24%).</w:t>
      </w:r>
      <w:r w:rsidRPr="006B3BEF">
        <w:rPr>
          <w:rStyle w:val="FootnoteReference"/>
          <w:lang w:val="en-AU"/>
        </w:rPr>
        <w:footnoteReference w:id="10"/>
      </w:r>
      <w:r w:rsidRPr="006B3BEF">
        <w:rPr>
          <w:lang w:val="en-AU"/>
        </w:rPr>
        <w:t xml:space="preserve"> ACOSS also notes that the complexity of family structures most likely result in the severe under-reporting of poverty rates among Aboriginal and Torres Strait Islander peoples. </w:t>
      </w:r>
      <w:r w:rsidR="0031660E" w:rsidRPr="006B3BEF">
        <w:rPr>
          <w:lang w:val="en-AU"/>
        </w:rPr>
        <w:t>The ABS Survey of Income and Housing does not disaggregate their data on poverty rates by Indigenous status.</w:t>
      </w:r>
    </w:p>
    <w:p w14:paraId="47C2CD20" w14:textId="617A424E" w:rsidR="00CC1480" w:rsidRDefault="0031660E" w:rsidP="00CC1480">
      <w:pPr>
        <w:rPr>
          <w:rFonts w:ascii="Open Sans" w:hAnsi="Open Sans" w:cs="Open Sans"/>
          <w:color w:val="333333"/>
          <w:sz w:val="23"/>
          <w:szCs w:val="23"/>
        </w:rPr>
      </w:pPr>
      <w:r>
        <w:rPr>
          <w:lang w:val="en-AU"/>
        </w:rPr>
        <w:t>Globally p</w:t>
      </w:r>
      <w:r w:rsidR="00E020CD" w:rsidRPr="00CC1480">
        <w:rPr>
          <w:lang w:val="en-AU"/>
        </w:rPr>
        <w:t>eople who identify as LGBTIQ</w:t>
      </w:r>
      <w:r w:rsidR="00530523">
        <w:rPr>
          <w:lang w:val="en-AU"/>
        </w:rPr>
        <w:t>+</w:t>
      </w:r>
      <w:r w:rsidR="00E020CD" w:rsidRPr="00CC1480">
        <w:rPr>
          <w:lang w:val="en-AU"/>
        </w:rPr>
        <w:t xml:space="preserve"> are 7% less likely to be employed than those who do not identify as LGBTIQ</w:t>
      </w:r>
      <w:r w:rsidR="00530523">
        <w:rPr>
          <w:lang w:val="en-AU"/>
        </w:rPr>
        <w:t>+</w:t>
      </w:r>
      <w:r w:rsidR="00E020CD" w:rsidRPr="00CC1480">
        <w:rPr>
          <w:lang w:val="en-AU"/>
        </w:rPr>
        <w:t>. Their e</w:t>
      </w:r>
      <w:r>
        <w:rPr>
          <w:lang w:val="en-AU"/>
        </w:rPr>
        <w:t>arnings are on average 4% lower</w:t>
      </w:r>
      <w:r w:rsidR="00E020CD" w:rsidRPr="00CC1480">
        <w:rPr>
          <w:lang w:val="en-AU"/>
        </w:rPr>
        <w:t xml:space="preserve"> and they are 11% less likely to hold a managerial position.</w:t>
      </w:r>
      <w:r w:rsidR="00E020CD" w:rsidRPr="00CC1480">
        <w:rPr>
          <w:vertAlign w:val="superscript"/>
          <w:lang w:val="en-AU"/>
        </w:rPr>
        <w:footnoteReference w:id="11"/>
      </w:r>
      <w:r w:rsidR="00CC1480" w:rsidRPr="00CC1480">
        <w:rPr>
          <w:vertAlign w:val="superscript"/>
        </w:rPr>
        <w:t xml:space="preserve"> </w:t>
      </w:r>
      <w:r w:rsidR="00CC1480" w:rsidRPr="00CC1480">
        <w:rPr>
          <w:lang w:val="en-AU"/>
        </w:rPr>
        <w:t xml:space="preserve">Council of Social Service of NSW </w:t>
      </w:r>
      <w:r>
        <w:rPr>
          <w:lang w:val="en-AU"/>
        </w:rPr>
        <w:t xml:space="preserve">in their 2015 report </w:t>
      </w:r>
      <w:r w:rsidR="00CC1480" w:rsidRPr="00CC1480">
        <w:rPr>
          <w:lang w:val="en-AU"/>
        </w:rPr>
        <w:t xml:space="preserve">reveals that </w:t>
      </w:r>
      <w:r w:rsidR="00CC1480">
        <w:rPr>
          <w:lang w:val="en-AU"/>
        </w:rPr>
        <w:t>LGBTIQ+</w:t>
      </w:r>
      <w:r w:rsidR="00CC1480" w:rsidRPr="00CC1480">
        <w:rPr>
          <w:lang w:val="en-AU"/>
        </w:rPr>
        <w:t xml:space="preserve"> people are experiencing higher levels of disadvantage than other Australians, putting them at greater risk of falling into poverty.</w:t>
      </w:r>
      <w:r w:rsidR="00CC1480">
        <w:rPr>
          <w:lang w:val="en-AU"/>
        </w:rPr>
        <w:t xml:space="preserve"> </w:t>
      </w:r>
      <w:r w:rsidR="00CC1480" w:rsidRPr="00CC1480">
        <w:rPr>
          <w:lang w:val="en-AU"/>
        </w:rPr>
        <w:t xml:space="preserve">The disadvantage is often marked by spells of unemployment, workplace discrimination and </w:t>
      </w:r>
      <w:r w:rsidR="00CC1480">
        <w:rPr>
          <w:lang w:val="en-AU"/>
        </w:rPr>
        <w:t>pay</w:t>
      </w:r>
      <w:r w:rsidR="00CC1480" w:rsidRPr="00CC1480">
        <w:rPr>
          <w:lang w:val="en-AU"/>
        </w:rPr>
        <w:t xml:space="preserve"> gaps, in spite of evidence of higher levels of education.</w:t>
      </w:r>
      <w:r w:rsidR="00CC1480">
        <w:rPr>
          <w:lang w:val="en-AU"/>
        </w:rPr>
        <w:t xml:space="preserve"> This means </w:t>
      </w:r>
      <w:r w:rsidR="00CC1480" w:rsidRPr="00CC1480">
        <w:rPr>
          <w:lang w:val="en-AU"/>
        </w:rPr>
        <w:t>they are more likely to experience a reduced asset-base to draw on later in life,</w:t>
      </w:r>
      <w:r w:rsidR="00F73FE1">
        <w:rPr>
          <w:lang w:val="en-AU"/>
        </w:rPr>
        <w:t xml:space="preserve"> lower levels of </w:t>
      </w:r>
      <w:r w:rsidR="00440DB3">
        <w:rPr>
          <w:lang w:val="en-AU"/>
        </w:rPr>
        <w:t>superannuation</w:t>
      </w:r>
      <w:r w:rsidR="00F73FE1">
        <w:rPr>
          <w:lang w:val="en-AU"/>
        </w:rPr>
        <w:t>,</w:t>
      </w:r>
      <w:r w:rsidR="00CC1480" w:rsidRPr="00CC1480">
        <w:rPr>
          <w:lang w:val="en-AU"/>
        </w:rPr>
        <w:t xml:space="preserve"> poor self-reported health status, barriers to accessing some forms of healthcare (including primary care) and, in some cases, to experience homelessness during their lives.</w:t>
      </w:r>
      <w:r w:rsidR="00CC1480">
        <w:rPr>
          <w:rStyle w:val="FootnoteReference"/>
          <w:lang w:val="en-AU"/>
        </w:rPr>
        <w:footnoteReference w:id="12"/>
      </w:r>
    </w:p>
    <w:p w14:paraId="11F6691B" w14:textId="0FB18792" w:rsidR="003020D0" w:rsidRPr="006B3BEF" w:rsidRDefault="003020D0" w:rsidP="00063EB7">
      <w:pPr>
        <w:spacing w:before="0" w:after="160" w:line="259" w:lineRule="auto"/>
        <w:rPr>
          <w:rFonts w:ascii="ArialMT" w:hAnsi="ArialMT" w:cs="ArialMT"/>
          <w:sz w:val="24"/>
          <w:szCs w:val="24"/>
          <w:lang w:val="en-AU" w:eastAsia="en-US"/>
        </w:rPr>
      </w:pPr>
      <w:r>
        <w:t>Of all Australians living in poverty</w:t>
      </w:r>
      <w:r w:rsidR="007936C0">
        <w:t xml:space="preserve">, 18.6% were born in Australia, and </w:t>
      </w:r>
      <w:r>
        <w:t>26.9% of those living in poverty were born outside of Australia from n</w:t>
      </w:r>
      <w:r w:rsidR="007936C0">
        <w:t>on-English speaking countries.</w:t>
      </w:r>
      <w:r w:rsidR="007936C0">
        <w:rPr>
          <w:rStyle w:val="FootnoteReference"/>
        </w:rPr>
        <w:footnoteReference w:id="13"/>
      </w:r>
    </w:p>
    <w:p w14:paraId="1D2C6D38" w14:textId="0CFB91DC" w:rsidR="00C02763" w:rsidRPr="006B3BEF" w:rsidRDefault="00C02763" w:rsidP="00C02763">
      <w:pPr>
        <w:rPr>
          <w:szCs w:val="20"/>
          <w:lang w:val="en-AU"/>
        </w:rPr>
      </w:pPr>
      <w:r w:rsidRPr="006B3BEF">
        <w:rPr>
          <w:rFonts w:cs="Arial"/>
          <w:lang w:val="en-AU"/>
        </w:rPr>
        <w:t>Women’s higher rates of poverty result from poorer employment opportunities, women’s over-representation</w:t>
      </w:r>
      <w:r w:rsidRPr="006B3BEF">
        <w:rPr>
          <w:rFonts w:cs="Arial"/>
          <w:color w:val="FF0000"/>
          <w:lang w:val="en-AU"/>
        </w:rPr>
        <w:t xml:space="preserve"> </w:t>
      </w:r>
      <w:r w:rsidRPr="006B3BEF">
        <w:rPr>
          <w:rFonts w:cs="Arial"/>
          <w:lang w:val="en-AU"/>
        </w:rPr>
        <w:t>in lower level positions, the gendered pay gap, women’s increased likelihood of performing unpaid caring roles and as a result women’s lower financial security in retirement.</w:t>
      </w:r>
      <w:r w:rsidRPr="006B3BEF">
        <w:rPr>
          <w:rStyle w:val="FootnoteReference"/>
          <w:lang w:val="en-AU"/>
        </w:rPr>
        <w:footnoteReference w:id="14"/>
      </w:r>
      <w:r w:rsidRPr="006B3BEF">
        <w:rPr>
          <w:rFonts w:cs="Arial"/>
          <w:lang w:val="en-AU"/>
        </w:rPr>
        <w:t xml:space="preserve"> </w:t>
      </w:r>
    </w:p>
    <w:p w14:paraId="4C66CBB8" w14:textId="5DF16A8D" w:rsidR="00C02763" w:rsidRPr="006B3BEF" w:rsidRDefault="00C02763" w:rsidP="00C02763">
      <w:pPr>
        <w:rPr>
          <w:rFonts w:cs="Arial"/>
          <w:lang w:val="en-AU"/>
        </w:rPr>
      </w:pPr>
      <w:r w:rsidRPr="006B3BEF">
        <w:rPr>
          <w:rFonts w:cs="Arial"/>
          <w:lang w:val="en-AU"/>
        </w:rPr>
        <w:t>Women more than men are engaged in unpaid domestic work. Mothers spend on average twice as many hours (8 hours and 33 minutes) each week looking after children aged under 15, compared to fathers (3 hours and 55 minutes)</w:t>
      </w:r>
      <w:r w:rsidRPr="006B3BEF">
        <w:rPr>
          <w:vertAlign w:val="superscript"/>
          <w:lang w:val="en-AU"/>
        </w:rPr>
        <w:footnoteReference w:id="15"/>
      </w:r>
      <w:r w:rsidRPr="006B3BEF">
        <w:rPr>
          <w:rFonts w:cs="Arial"/>
          <w:lang w:val="en-AU"/>
        </w:rPr>
        <w:t>. Furthermore, Australian women account for 92 per cent of primary carers for children with disabilities, 70 per cent of primary carers for parents and 52 per cent of primary carers for partners.</w:t>
      </w:r>
      <w:r w:rsidRPr="006B3BEF">
        <w:rPr>
          <w:rStyle w:val="FootnoteReference"/>
          <w:rFonts w:cs="Arial"/>
          <w:lang w:val="en-AU"/>
        </w:rPr>
        <w:footnoteReference w:id="16"/>
      </w:r>
      <w:r w:rsidRPr="006B3BEF">
        <w:rPr>
          <w:rFonts w:cs="Arial"/>
          <w:lang w:val="en-AU"/>
        </w:rPr>
        <w:t xml:space="preserve"> The traditional division of labour means that women and men are more likely to work in certain industries and that female dominated industries generally provide lower salaries than male dominated industries.</w:t>
      </w:r>
      <w:r w:rsidRPr="006B3BEF">
        <w:rPr>
          <w:rStyle w:val="FootnoteReference"/>
          <w:rFonts w:cs="Arial"/>
          <w:lang w:val="en-AU"/>
        </w:rPr>
        <w:footnoteReference w:id="17"/>
      </w:r>
      <w:r w:rsidRPr="006B3BEF">
        <w:rPr>
          <w:rFonts w:cs="Arial"/>
          <w:lang w:val="en-AU"/>
        </w:rPr>
        <w:t xml:space="preserve"> </w:t>
      </w:r>
    </w:p>
    <w:p w14:paraId="74CD3462" w14:textId="5A30D47F" w:rsidR="007A60B2" w:rsidRDefault="00663E3D" w:rsidP="006B3BEF">
      <w:pPr>
        <w:rPr>
          <w:rFonts w:cs="Arial"/>
          <w:lang w:val="en-AU"/>
        </w:rPr>
      </w:pPr>
      <w:r w:rsidRPr="006B3BEF">
        <w:rPr>
          <w:rFonts w:cs="Arial"/>
          <w:lang w:val="en-AU"/>
        </w:rPr>
        <w:t>Employment opportunities and workforce participation are limited for some groups due to structural issues, racism and homophobia, ongoing impacts of colonisation and gender bias. For Aboriginal and Torres Strait Islander people workforce participation sits at 52 per cent, where men are more likely than women to be employed (55% compared with 49%).</w:t>
      </w:r>
      <w:r w:rsidRPr="006B3BEF">
        <w:rPr>
          <w:rFonts w:cs="Arial"/>
          <w:vertAlign w:val="superscript"/>
          <w:lang w:val="en-AU"/>
        </w:rPr>
        <w:footnoteReference w:id="18"/>
      </w:r>
      <w:r w:rsidRPr="006B3BEF">
        <w:rPr>
          <w:rFonts w:cs="Arial"/>
          <w:vertAlign w:val="superscript"/>
          <w:lang w:val="en-AU"/>
        </w:rPr>
        <w:t xml:space="preserve"> </w:t>
      </w:r>
      <w:r w:rsidR="006B3BEF" w:rsidRPr="006B3BEF">
        <w:rPr>
          <w:rFonts w:cs="Arial"/>
          <w:lang w:val="en-AU"/>
        </w:rPr>
        <w:t xml:space="preserve">For Aboriginal and Torres Strait Islander women lower employment rates, </w:t>
      </w:r>
      <w:proofErr w:type="spellStart"/>
      <w:r w:rsidR="006B3BEF">
        <w:rPr>
          <w:rFonts w:cs="Arial"/>
          <w:lang w:val="en-AU"/>
        </w:rPr>
        <w:t>c</w:t>
      </w:r>
      <w:r w:rsidR="006B3BEF" w:rsidRPr="006B3BEF">
        <w:rPr>
          <w:rFonts w:cs="Arial"/>
          <w:lang w:val="en-AU"/>
        </w:rPr>
        <w:t>asualisation</w:t>
      </w:r>
      <w:proofErr w:type="spellEnd"/>
      <w:r w:rsidR="006B3BEF" w:rsidRPr="006B3BEF">
        <w:rPr>
          <w:rFonts w:cs="Arial"/>
          <w:lang w:val="en-AU"/>
        </w:rPr>
        <w:t xml:space="preserve"> of employment</w:t>
      </w:r>
      <w:r w:rsidR="006B3BEF">
        <w:rPr>
          <w:rFonts w:cs="Arial"/>
          <w:lang w:val="en-AU"/>
        </w:rPr>
        <w:t xml:space="preserve">, higher poverty rates and higher child removal rates, ongoing impact of colonisation, lower life expectancy and chronic illnesses and disability </w:t>
      </w:r>
      <w:r w:rsidR="00BA76C2">
        <w:rPr>
          <w:rFonts w:cs="Arial"/>
          <w:lang w:val="en-AU"/>
        </w:rPr>
        <w:t>impede</w:t>
      </w:r>
      <w:r w:rsidR="006B3BEF">
        <w:rPr>
          <w:rFonts w:cs="Arial"/>
          <w:lang w:val="en-AU"/>
        </w:rPr>
        <w:t xml:space="preserve"> their economic security. Aboriginal and Torres Strait Islander women are “</w:t>
      </w:r>
      <w:r w:rsidR="007A60B2" w:rsidRPr="006B3BEF">
        <w:rPr>
          <w:rFonts w:cs="Arial"/>
          <w:lang w:val="en-AU"/>
        </w:rPr>
        <w:t>more likely to be a sole parent, have a higher birth rate,</w:t>
      </w:r>
      <w:r w:rsidR="006B3BEF" w:rsidRPr="006B3BEF">
        <w:rPr>
          <w:rFonts w:cs="Arial"/>
          <w:lang w:val="en-AU"/>
        </w:rPr>
        <w:t xml:space="preserve"> </w:t>
      </w:r>
      <w:r w:rsidR="007A60B2" w:rsidRPr="006B3BEF">
        <w:rPr>
          <w:rFonts w:cs="Arial"/>
          <w:lang w:val="en-AU"/>
        </w:rPr>
        <w:t>larger families and women generally are more likely to make major changes to their work</w:t>
      </w:r>
      <w:r w:rsidR="006B3BEF" w:rsidRPr="006B3BEF">
        <w:rPr>
          <w:rFonts w:cs="Arial"/>
          <w:lang w:val="en-AU"/>
        </w:rPr>
        <w:t xml:space="preserve"> </w:t>
      </w:r>
      <w:r w:rsidR="007A60B2" w:rsidRPr="006B3BEF">
        <w:rPr>
          <w:rFonts w:cs="Arial"/>
          <w:lang w:val="en-AU"/>
        </w:rPr>
        <w:t>life to accommodate these responsibilities.</w:t>
      </w:r>
      <w:r w:rsidR="006B3BEF" w:rsidRPr="006B3BEF">
        <w:rPr>
          <w:rFonts w:cs="Arial"/>
          <w:lang w:val="en-AU"/>
        </w:rPr>
        <w:t>”</w:t>
      </w:r>
      <w:r w:rsidR="00ED3937">
        <w:rPr>
          <w:rStyle w:val="FootnoteReference"/>
          <w:rFonts w:cs="Arial"/>
          <w:lang w:val="en-AU"/>
        </w:rPr>
        <w:footnoteReference w:id="19"/>
      </w:r>
      <w:r w:rsidR="006B3BEF">
        <w:rPr>
          <w:rFonts w:cs="Arial"/>
          <w:lang w:val="en-AU"/>
        </w:rPr>
        <w:t xml:space="preserve"> This means that they will </w:t>
      </w:r>
      <w:r w:rsidR="0031660E">
        <w:rPr>
          <w:rFonts w:cs="Arial"/>
          <w:lang w:val="en-AU"/>
        </w:rPr>
        <w:t xml:space="preserve">need to care not only for their </w:t>
      </w:r>
      <w:r w:rsidR="0031660E">
        <w:rPr>
          <w:rFonts w:cs="Arial"/>
          <w:lang w:val="en-AU"/>
        </w:rPr>
        <w:lastRenderedPageBreak/>
        <w:t xml:space="preserve">children but elders too. In the long-term they will </w:t>
      </w:r>
      <w:r w:rsidR="006B3BEF">
        <w:rPr>
          <w:rFonts w:cs="Arial"/>
          <w:lang w:val="en-AU"/>
        </w:rPr>
        <w:t xml:space="preserve">accrue much less superannuation. It is worth noting in addition that there is no data available on superannuation balances for Aboriginal and Torres Strait Islander people as it is not being collected. </w:t>
      </w:r>
    </w:p>
    <w:p w14:paraId="13DB7443" w14:textId="601BCB47" w:rsidR="006B3BEF" w:rsidRDefault="006B3BEF" w:rsidP="00C26970">
      <w:pPr>
        <w:rPr>
          <w:lang w:val="en-AU"/>
        </w:rPr>
      </w:pPr>
      <w:r>
        <w:rPr>
          <w:rFonts w:cs="Arial"/>
          <w:lang w:val="en-AU"/>
        </w:rPr>
        <w:t>Women from culturally and linguistically diverse backgrounds also retire with less super</w:t>
      </w:r>
      <w:r w:rsidR="00BA76C2">
        <w:rPr>
          <w:rFonts w:cs="Arial"/>
          <w:lang w:val="en-AU"/>
        </w:rPr>
        <w:t>annuation</w:t>
      </w:r>
      <w:r>
        <w:rPr>
          <w:rFonts w:cs="Arial"/>
          <w:lang w:val="en-AU"/>
        </w:rPr>
        <w:t xml:space="preserve">. </w:t>
      </w:r>
      <w:r w:rsidR="00BA76C2">
        <w:rPr>
          <w:rFonts w:cs="Arial"/>
          <w:lang w:val="en-AU"/>
        </w:rPr>
        <w:t xml:space="preserve">Women from culturally and linguistically diverse backgrounds </w:t>
      </w:r>
      <w:r w:rsidRPr="006B3BEF">
        <w:rPr>
          <w:rFonts w:cs="Arial"/>
          <w:lang w:val="en-AU"/>
        </w:rPr>
        <w:t>may not have access to the full benefits of superannuation because they are mostly in casual and precarious work, and are often in and out of work due to family responsibilities and/or lack of available jobs</w:t>
      </w:r>
      <w:r w:rsidR="00F73FE1">
        <w:rPr>
          <w:rFonts w:cs="Arial"/>
          <w:lang w:val="en-AU"/>
        </w:rPr>
        <w:t xml:space="preserve">. Overall, people from culturally and linguistically diverse background face additional barriers in securing employment compared to people </w:t>
      </w:r>
      <w:r w:rsidR="00BA76C2">
        <w:rPr>
          <w:rFonts w:cs="Arial"/>
          <w:lang w:val="en-AU"/>
        </w:rPr>
        <w:t>with</w:t>
      </w:r>
      <w:r w:rsidR="00F73FE1">
        <w:rPr>
          <w:rFonts w:cs="Arial"/>
          <w:lang w:val="en-AU"/>
        </w:rPr>
        <w:t xml:space="preserve"> local work experience. There are also barriers with the recognition of qualifications and previous employment. An inquiry by the Federation of Ethnic Communities Council </w:t>
      </w:r>
      <w:r>
        <w:t xml:space="preserve">into insecure employment </w:t>
      </w:r>
      <w:r w:rsidR="00F73FE1">
        <w:t xml:space="preserve">has </w:t>
      </w:r>
      <w:r>
        <w:t xml:space="preserve">found that women from </w:t>
      </w:r>
      <w:r w:rsidR="00BA76C2">
        <w:t>culturally and linguistically diverse</w:t>
      </w:r>
      <w:r>
        <w:t xml:space="preserve"> backgrounds are over-represented in insecure employment fields leaving them more likely to ex</w:t>
      </w:r>
      <w:r w:rsidR="00F73FE1">
        <w:t>perience job loss and hardship.</w:t>
      </w:r>
      <w:r w:rsidR="00F73FE1">
        <w:rPr>
          <w:rStyle w:val="FootnoteReference"/>
        </w:rPr>
        <w:footnoteReference w:id="20"/>
      </w:r>
      <w:r w:rsidR="00C26970" w:rsidRPr="00C26970">
        <w:rPr>
          <w:lang w:val="en-AU"/>
        </w:rPr>
        <w:t xml:space="preserve"> </w:t>
      </w:r>
      <w:r w:rsidR="00C26970" w:rsidRPr="006B3BEF">
        <w:rPr>
          <w:lang w:val="en-AU"/>
        </w:rPr>
        <w:t>Women who are on temporary visas and are experiencing violence may not have any superannuation savings at all given the restrictions on work rights, the nature of their visas or simply their lack of employment.</w:t>
      </w:r>
    </w:p>
    <w:p w14:paraId="27DFD30C" w14:textId="6F103C8E" w:rsidR="0031660E" w:rsidRDefault="00BE55E8" w:rsidP="00C26970">
      <w:r>
        <w:t xml:space="preserve">Limited available </w:t>
      </w:r>
      <w:r w:rsidR="0031660E">
        <w:t>data shows that people with disability in Australia</w:t>
      </w:r>
      <w:r>
        <w:t xml:space="preserve"> are twice likely to be unemployed (10.0%) than those without disability and face longer periods</w:t>
      </w:r>
      <w:r w:rsidR="0031660E">
        <w:t>.</w:t>
      </w:r>
      <w:r w:rsidR="0031660E">
        <w:rPr>
          <w:rStyle w:val="FootnoteReference"/>
        </w:rPr>
        <w:footnoteReference w:id="21"/>
      </w:r>
      <w:r w:rsidR="0031660E">
        <w:t xml:space="preserve"> Women with disability in Australia </w:t>
      </w:r>
      <w:r>
        <w:t>experiences much</w:t>
      </w:r>
      <w:r w:rsidR="0031660E">
        <w:t xml:space="preserve"> disadvantage </w:t>
      </w:r>
      <w:r>
        <w:t>“</w:t>
      </w:r>
      <w:r w:rsidR="0031660E">
        <w:t>in employment in relation to access to jobs, in regard to remuneration for the work they perform, and in the types of jobs they gain</w:t>
      </w:r>
      <w:r>
        <w:t>”</w:t>
      </w:r>
      <w:r w:rsidR="0031660E">
        <w:t>.</w:t>
      </w:r>
      <w:r w:rsidR="0031660E">
        <w:rPr>
          <w:rStyle w:val="FootnoteReference"/>
        </w:rPr>
        <w:footnoteReference w:id="22"/>
      </w:r>
      <w:r>
        <w:t xml:space="preserve"> In employment </w:t>
      </w:r>
      <w:r w:rsidR="00BA76C2">
        <w:t xml:space="preserve">women with disability </w:t>
      </w:r>
      <w:r>
        <w:t xml:space="preserve">are subjected to </w:t>
      </w:r>
      <w:r w:rsidR="0031660E">
        <w:t>higher rates of sexual harassment, violence, abuse and discrimination in the workplace than women without disability.</w:t>
      </w:r>
      <w:r w:rsidR="0031660E">
        <w:rPr>
          <w:rStyle w:val="FootnoteReference"/>
        </w:rPr>
        <w:footnoteReference w:id="23"/>
      </w:r>
      <w:r>
        <w:t xml:space="preserve"> </w:t>
      </w:r>
    </w:p>
    <w:p w14:paraId="311E999D" w14:textId="0EB3A4AA" w:rsidR="00663E3D" w:rsidRPr="006B3BEF" w:rsidRDefault="00034D57" w:rsidP="00115A52">
      <w:pPr>
        <w:pStyle w:val="Heading2"/>
        <w:rPr>
          <w:lang w:val="en-AU"/>
        </w:rPr>
      </w:pPr>
      <w:bookmarkStart w:id="5" w:name="_Toc31624184"/>
      <w:r>
        <w:rPr>
          <w:lang w:val="en-AU"/>
        </w:rPr>
        <w:t>Gender pay and superannuation gaps</w:t>
      </w:r>
      <w:bookmarkEnd w:id="5"/>
    </w:p>
    <w:p w14:paraId="1EA22B89" w14:textId="1BB964EF" w:rsidR="00C02763" w:rsidRPr="006B3BEF" w:rsidRDefault="00034D57" w:rsidP="00C02763">
      <w:pPr>
        <w:rPr>
          <w:lang w:val="en-AU"/>
        </w:rPr>
      </w:pPr>
      <w:r>
        <w:rPr>
          <w:rFonts w:cs="Arial"/>
          <w:lang w:val="en-AU"/>
        </w:rPr>
        <w:t xml:space="preserve">All of these structural issues result in </w:t>
      </w:r>
      <w:r w:rsidR="00BA76C2">
        <w:rPr>
          <w:rFonts w:cs="Arial"/>
          <w:lang w:val="en-AU"/>
        </w:rPr>
        <w:t xml:space="preserve">a </w:t>
      </w:r>
      <w:r>
        <w:rPr>
          <w:rFonts w:cs="Arial"/>
          <w:lang w:val="en-AU"/>
        </w:rPr>
        <w:t xml:space="preserve">gender pay gap that later in life will also result in </w:t>
      </w:r>
      <w:r w:rsidR="00BA76C2">
        <w:rPr>
          <w:rFonts w:cs="Arial"/>
          <w:lang w:val="en-AU"/>
        </w:rPr>
        <w:t>a</w:t>
      </w:r>
      <w:r>
        <w:rPr>
          <w:rFonts w:cs="Arial"/>
          <w:lang w:val="en-AU"/>
        </w:rPr>
        <w:t xml:space="preserve"> superannuation gap and less savings in retirement. </w:t>
      </w:r>
      <w:r w:rsidR="00BA76C2">
        <w:rPr>
          <w:lang w:val="en-AU"/>
        </w:rPr>
        <w:t>The c</w:t>
      </w:r>
      <w:r w:rsidR="00C02763" w:rsidRPr="006B3BEF">
        <w:rPr>
          <w:lang w:val="en-AU"/>
        </w:rPr>
        <w:t xml:space="preserve">urrent full-time gender pay gap </w:t>
      </w:r>
      <w:r w:rsidR="00BA76C2">
        <w:rPr>
          <w:lang w:val="en-AU"/>
        </w:rPr>
        <w:t>is</w:t>
      </w:r>
      <w:r w:rsidR="00C02763" w:rsidRPr="006B3BEF">
        <w:rPr>
          <w:lang w:val="en-AU"/>
        </w:rPr>
        <w:t xml:space="preserve"> 14%, meaning that women on average are earning $241.50 less a week than men.</w:t>
      </w:r>
      <w:r w:rsidR="00C02763" w:rsidRPr="006B3BEF">
        <w:rPr>
          <w:rStyle w:val="FootnoteReference"/>
          <w:lang w:val="en-AU"/>
        </w:rPr>
        <w:footnoteReference w:id="24"/>
      </w:r>
      <w:r w:rsidR="00C02763" w:rsidRPr="006B3BEF">
        <w:rPr>
          <w:lang w:val="en-AU"/>
        </w:rPr>
        <w:t xml:space="preserve"> Gender pay gap is a result of bias and discriminatory practices in employment (that is often compounded by bias related to people’s race, sexual orientation, migration status </w:t>
      </w:r>
      <w:proofErr w:type="spellStart"/>
      <w:r w:rsidR="00C02763" w:rsidRPr="006B3BEF">
        <w:rPr>
          <w:lang w:val="en-AU"/>
        </w:rPr>
        <w:t>etc</w:t>
      </w:r>
      <w:proofErr w:type="spellEnd"/>
      <w:r w:rsidR="00C02763" w:rsidRPr="006B3BEF">
        <w:rPr>
          <w:lang w:val="en-AU"/>
        </w:rPr>
        <w:t xml:space="preserve">), women’s </w:t>
      </w:r>
      <w:r w:rsidR="00BA76C2" w:rsidRPr="006B3BEF">
        <w:rPr>
          <w:lang w:val="en-AU"/>
        </w:rPr>
        <w:t xml:space="preserve">disproportionate </w:t>
      </w:r>
      <w:r w:rsidR="00C02763" w:rsidRPr="006B3BEF">
        <w:rPr>
          <w:lang w:val="en-AU"/>
        </w:rPr>
        <w:t>share of domestic and unpaid care work</w:t>
      </w:r>
      <w:r w:rsidR="00115A52">
        <w:rPr>
          <w:lang w:val="en-AU"/>
        </w:rPr>
        <w:t xml:space="preserve"> (as discussed above)</w:t>
      </w:r>
      <w:r w:rsidR="00C02763" w:rsidRPr="006B3BEF">
        <w:rPr>
          <w:lang w:val="en-AU"/>
        </w:rPr>
        <w:t xml:space="preserve">, lack of opportunities for flexible workplace arrangements especially </w:t>
      </w:r>
      <w:r w:rsidR="00BA76C2">
        <w:rPr>
          <w:lang w:val="en-AU"/>
        </w:rPr>
        <w:t>i</w:t>
      </w:r>
      <w:r w:rsidR="00C02763" w:rsidRPr="006B3BEF">
        <w:rPr>
          <w:lang w:val="en-AU"/>
        </w:rPr>
        <w:t xml:space="preserve">n senior roles, </w:t>
      </w:r>
      <w:r w:rsidR="00BA76C2">
        <w:rPr>
          <w:lang w:val="en-AU"/>
        </w:rPr>
        <w:t xml:space="preserve">and </w:t>
      </w:r>
      <w:r w:rsidR="00C02763" w:rsidRPr="006B3BEF">
        <w:rPr>
          <w:lang w:val="en-AU"/>
        </w:rPr>
        <w:t>longer time out of the workforce</w:t>
      </w:r>
      <w:r w:rsidR="00BA76C2">
        <w:rPr>
          <w:lang w:val="en-AU"/>
        </w:rPr>
        <w:t>, which</w:t>
      </w:r>
      <w:r w:rsidR="00C02763" w:rsidRPr="006B3BEF">
        <w:rPr>
          <w:lang w:val="en-AU"/>
        </w:rPr>
        <w:t xml:space="preserve"> impacts on career progression and opportunities. </w:t>
      </w:r>
    </w:p>
    <w:p w14:paraId="0C96FEF7" w14:textId="33AA7719" w:rsidR="0056682D" w:rsidRDefault="00C02763" w:rsidP="00661A92">
      <w:pPr>
        <w:rPr>
          <w:szCs w:val="20"/>
          <w:lang w:val="en-AU"/>
        </w:rPr>
      </w:pPr>
      <w:r w:rsidRPr="006B3BEF">
        <w:rPr>
          <w:lang w:val="en-AU"/>
        </w:rPr>
        <w:t xml:space="preserve">The gender pay gap </w:t>
      </w:r>
      <w:r w:rsidR="00BA76C2">
        <w:rPr>
          <w:lang w:val="en-AU"/>
        </w:rPr>
        <w:t>leads to</w:t>
      </w:r>
      <w:r w:rsidRPr="006B3BEF">
        <w:rPr>
          <w:lang w:val="en-AU"/>
        </w:rPr>
        <w:t xml:space="preserve"> </w:t>
      </w:r>
      <w:r w:rsidR="00BA76C2">
        <w:rPr>
          <w:lang w:val="en-AU"/>
        </w:rPr>
        <w:t>w</w:t>
      </w:r>
      <w:r w:rsidR="005E4E70" w:rsidRPr="006B3BEF">
        <w:rPr>
          <w:color w:val="000000"/>
          <w:lang w:val="en-AU"/>
        </w:rPr>
        <w:t>omen in Australia retiring today with 47 per cent less superannuation than men</w:t>
      </w:r>
      <w:r w:rsidRPr="006B3BEF">
        <w:rPr>
          <w:vertAlign w:val="superscript"/>
          <w:lang w:val="en-AU"/>
        </w:rPr>
        <w:footnoteReference w:id="25"/>
      </w:r>
      <w:r w:rsidRPr="006B3BEF">
        <w:rPr>
          <w:lang w:val="en-AU"/>
        </w:rPr>
        <w:t xml:space="preserve"> As a result, women are more likely to experience poverty in their retirement years and be far more </w:t>
      </w:r>
      <w:r w:rsidRPr="006B3BEF">
        <w:rPr>
          <w:lang w:val="en-AU"/>
        </w:rPr>
        <w:lastRenderedPageBreak/>
        <w:t>reliant on the Age Pension.</w:t>
      </w:r>
      <w:r w:rsidRPr="006B3BEF">
        <w:rPr>
          <w:vertAlign w:val="superscript"/>
          <w:lang w:val="en-AU"/>
        </w:rPr>
        <w:footnoteReference w:id="26"/>
      </w:r>
      <w:r w:rsidRPr="006B3BEF">
        <w:rPr>
          <w:vertAlign w:val="superscript"/>
          <w:lang w:val="en-AU"/>
        </w:rPr>
        <w:t xml:space="preserve"> </w:t>
      </w:r>
      <w:r w:rsidR="005E4E70" w:rsidRPr="006B3BEF">
        <w:rPr>
          <w:lang w:val="en-AU"/>
        </w:rPr>
        <w:t>In</w:t>
      </w:r>
      <w:r w:rsidR="005E4E70" w:rsidRPr="006B3BEF">
        <w:rPr>
          <w:szCs w:val="20"/>
          <w:lang w:val="en-AU"/>
        </w:rPr>
        <w:t xml:space="preserve"> 2012, 38.7% of elderly single women compared to 33.8% of elderly single men were living in poverty</w:t>
      </w:r>
      <w:r w:rsidR="005E4E70" w:rsidRPr="006B3BEF">
        <w:rPr>
          <w:rStyle w:val="FootnoteReference"/>
          <w:szCs w:val="20"/>
          <w:lang w:val="en-AU"/>
        </w:rPr>
        <w:footnoteReference w:id="27"/>
      </w:r>
      <w:r w:rsidR="005E4E70" w:rsidRPr="006B3BEF">
        <w:rPr>
          <w:szCs w:val="20"/>
          <w:lang w:val="en-AU"/>
        </w:rPr>
        <w:t>.</w:t>
      </w:r>
      <w:r w:rsidR="00661A92">
        <w:rPr>
          <w:szCs w:val="20"/>
          <w:lang w:val="en-AU"/>
        </w:rPr>
        <w:t xml:space="preserve"> </w:t>
      </w:r>
    </w:p>
    <w:p w14:paraId="376252B3" w14:textId="75946838" w:rsidR="00115A52" w:rsidRPr="0056682D" w:rsidRDefault="00661A92" w:rsidP="0056682D">
      <w:pPr>
        <w:rPr>
          <w:lang w:val="en-AU"/>
        </w:rPr>
      </w:pPr>
      <w:r>
        <w:rPr>
          <w:szCs w:val="20"/>
          <w:lang w:val="en-AU"/>
        </w:rPr>
        <w:t xml:space="preserve">ASFA </w:t>
      </w:r>
      <w:r w:rsidRPr="00661A92">
        <w:rPr>
          <w:lang w:val="en-AU"/>
        </w:rPr>
        <w:t>reports that in 2015-16 there were</w:t>
      </w:r>
      <w:r w:rsidR="00115A52" w:rsidRPr="00661A92">
        <w:rPr>
          <w:lang w:val="en-AU"/>
        </w:rPr>
        <w:t xml:space="preserve"> 32.7 per cent of women with no superannuation.</w:t>
      </w:r>
      <w:r>
        <w:rPr>
          <w:rStyle w:val="FootnoteReference"/>
          <w:lang w:val="en-AU"/>
        </w:rPr>
        <w:footnoteReference w:id="28"/>
      </w:r>
      <w:r w:rsidR="0056682D">
        <w:rPr>
          <w:lang w:val="en-AU"/>
        </w:rPr>
        <w:t xml:space="preserve"> They also report that t</w:t>
      </w:r>
      <w:r w:rsidR="00115A52" w:rsidRPr="0056682D">
        <w:rPr>
          <w:lang w:val="en-AU"/>
        </w:rPr>
        <w:t xml:space="preserve">he percentage of </w:t>
      </w:r>
      <w:r w:rsidR="00BA76C2">
        <w:rPr>
          <w:lang w:val="en-AU"/>
        </w:rPr>
        <w:t>men</w:t>
      </w:r>
      <w:r w:rsidR="00115A52" w:rsidRPr="0056682D">
        <w:rPr>
          <w:lang w:val="en-AU"/>
        </w:rPr>
        <w:t xml:space="preserve"> with more than $100,000 in superannuation increased from 21.5 per cent two years earlier to 25.8 per cent, while for </w:t>
      </w:r>
      <w:r w:rsidR="00BA76C2">
        <w:rPr>
          <w:lang w:val="en-AU"/>
        </w:rPr>
        <w:t>women</w:t>
      </w:r>
      <w:r w:rsidR="00115A52" w:rsidRPr="0056682D">
        <w:rPr>
          <w:lang w:val="en-AU"/>
        </w:rPr>
        <w:t xml:space="preserve"> the percentage increased from </w:t>
      </w:r>
      <w:r w:rsidR="0056682D">
        <w:rPr>
          <w:lang w:val="en-AU"/>
        </w:rPr>
        <w:t>12.8 per cent to 16.4 per cent.</w:t>
      </w:r>
      <w:r w:rsidR="0056682D">
        <w:rPr>
          <w:rStyle w:val="FootnoteReference"/>
          <w:lang w:val="en-AU"/>
        </w:rPr>
        <w:footnoteReference w:id="29"/>
      </w:r>
    </w:p>
    <w:p w14:paraId="0720DEDA" w14:textId="77777777" w:rsidR="009B1138" w:rsidRPr="009B1138" w:rsidRDefault="009B1138" w:rsidP="009B1138">
      <w:pPr>
        <w:pStyle w:val="Heading2"/>
        <w:rPr>
          <w:lang w:val="en-AU"/>
        </w:rPr>
      </w:pPr>
      <w:bookmarkStart w:id="6" w:name="_Toc19106191"/>
      <w:bookmarkStart w:id="7" w:name="_Toc31624185"/>
      <w:r w:rsidRPr="009B1138">
        <w:rPr>
          <w:lang w:val="en-AU"/>
        </w:rPr>
        <w:t>Impact of domestic and family violence and cost of leaving partners who are use violence</w:t>
      </w:r>
      <w:bookmarkEnd w:id="6"/>
      <w:bookmarkEnd w:id="7"/>
    </w:p>
    <w:p w14:paraId="13120F17" w14:textId="77777777" w:rsidR="009B1138" w:rsidRPr="006B3BEF" w:rsidRDefault="009B1138" w:rsidP="00063EB7">
      <w:pPr>
        <w:autoSpaceDE w:val="0"/>
        <w:autoSpaceDN w:val="0"/>
        <w:adjustRightInd w:val="0"/>
        <w:spacing w:before="0" w:after="0"/>
        <w:rPr>
          <w:lang w:val="en-AU"/>
        </w:rPr>
      </w:pPr>
      <w:r w:rsidRPr="006B3BEF">
        <w:rPr>
          <w:lang w:val="en-AU"/>
        </w:rPr>
        <w:t>It is widely recognised that family, domestic and sexual violence is an endemic problem in Australian society.</w:t>
      </w:r>
      <w:r w:rsidRPr="006B3BEF">
        <w:rPr>
          <w:vertAlign w:val="superscript"/>
          <w:lang w:val="en-AU"/>
        </w:rPr>
        <w:footnoteReference w:id="30"/>
      </w:r>
      <w:r w:rsidRPr="006B3BEF">
        <w:rPr>
          <w:lang w:val="en-AU"/>
        </w:rPr>
        <w:t xml:space="preserve"> Australian Institute of Health and Welfare reports that: </w:t>
      </w:r>
    </w:p>
    <w:p w14:paraId="36D99A2E" w14:textId="77777777" w:rsidR="009B1138" w:rsidRPr="006B3BEF" w:rsidRDefault="009B1138" w:rsidP="009B1138">
      <w:pPr>
        <w:pStyle w:val="ListParagraph"/>
        <w:numPr>
          <w:ilvl w:val="0"/>
          <w:numId w:val="33"/>
        </w:numPr>
        <w:tabs>
          <w:tab w:val="left" w:pos="426"/>
        </w:tabs>
        <w:ind w:left="714" w:hanging="357"/>
        <w:contextualSpacing w:val="0"/>
        <w:rPr>
          <w:lang w:val="en-AU"/>
        </w:rPr>
      </w:pPr>
      <w:r w:rsidRPr="006B3BEF">
        <w:rPr>
          <w:lang w:val="en-AU"/>
        </w:rPr>
        <w:t>One in 6 (17%, or 1.6 million) women have experienced physical and/or sexual violence by a current or previous cohabiting partner since the age of 15;</w:t>
      </w:r>
    </w:p>
    <w:p w14:paraId="54FCB2B9" w14:textId="77777777" w:rsidR="009B1138" w:rsidRPr="006B3BEF" w:rsidRDefault="009B1138" w:rsidP="009B1138">
      <w:pPr>
        <w:pStyle w:val="ListParagraph"/>
        <w:numPr>
          <w:ilvl w:val="0"/>
          <w:numId w:val="33"/>
        </w:numPr>
        <w:tabs>
          <w:tab w:val="left" w:pos="426"/>
        </w:tabs>
        <w:ind w:left="714" w:hanging="357"/>
        <w:contextualSpacing w:val="0"/>
        <w:rPr>
          <w:lang w:val="en-AU"/>
        </w:rPr>
      </w:pPr>
      <w:r w:rsidRPr="006B3BEF">
        <w:rPr>
          <w:lang w:val="en-AU"/>
        </w:rPr>
        <w:t>Almost 1 in 4 (23%, or 2.2 million) women have experienced emotional abuse by a current or previous partner since the age of 15;</w:t>
      </w:r>
    </w:p>
    <w:p w14:paraId="7D613F24" w14:textId="77777777" w:rsidR="009B1138" w:rsidRPr="006B3BEF" w:rsidRDefault="009B1138" w:rsidP="009B1138">
      <w:pPr>
        <w:pStyle w:val="ListParagraph"/>
        <w:numPr>
          <w:ilvl w:val="0"/>
          <w:numId w:val="33"/>
        </w:numPr>
        <w:tabs>
          <w:tab w:val="left" w:pos="426"/>
        </w:tabs>
        <w:ind w:left="714" w:hanging="357"/>
        <w:contextualSpacing w:val="0"/>
        <w:rPr>
          <w:lang w:val="en-AU"/>
        </w:rPr>
      </w:pPr>
      <w:r w:rsidRPr="006B3BEF">
        <w:rPr>
          <w:lang w:val="en-AU"/>
        </w:rPr>
        <w:t>Almost 1 in 5 (18%, or 1.7 million) women have experienced sexual violence since the age of 15.</w:t>
      </w:r>
      <w:r w:rsidRPr="006B3BEF">
        <w:rPr>
          <w:vertAlign w:val="superscript"/>
          <w:lang w:val="en-AU"/>
        </w:rPr>
        <w:footnoteReference w:id="31"/>
      </w:r>
    </w:p>
    <w:p w14:paraId="16C0436A" w14:textId="77777777" w:rsidR="009B1138" w:rsidRPr="006B3BEF" w:rsidRDefault="009B1138" w:rsidP="009B1138">
      <w:pPr>
        <w:tabs>
          <w:tab w:val="left" w:pos="426"/>
        </w:tabs>
        <w:rPr>
          <w:lang w:val="en-AU"/>
        </w:rPr>
      </w:pPr>
      <w:r w:rsidRPr="006B3BEF">
        <w:rPr>
          <w:lang w:val="en-AU"/>
        </w:rPr>
        <w:t>Australian police deal with 5,000 family violence matters on average every week, which averages to one matter every two minutes.</w:t>
      </w:r>
      <w:r w:rsidRPr="006B3BEF">
        <w:rPr>
          <w:rStyle w:val="FootnoteReference"/>
          <w:lang w:val="en-AU"/>
        </w:rPr>
        <w:footnoteReference w:id="32"/>
      </w:r>
      <w:r w:rsidRPr="006B3BEF">
        <w:rPr>
          <w:lang w:val="en-AU"/>
        </w:rPr>
        <w:t xml:space="preserve"> It has been recognised that family violence is a gendered crime with the vast majority of family violence perpetrated against women, usually by a man.</w:t>
      </w:r>
      <w:r w:rsidRPr="006B3BEF">
        <w:rPr>
          <w:rStyle w:val="FootnoteReference"/>
          <w:lang w:val="en-AU"/>
        </w:rPr>
        <w:footnoteReference w:id="33"/>
      </w:r>
    </w:p>
    <w:p w14:paraId="68E6EC62" w14:textId="77777777" w:rsidR="009B1138" w:rsidRPr="006B3BEF" w:rsidRDefault="009B1138" w:rsidP="009B1138">
      <w:pPr>
        <w:tabs>
          <w:tab w:val="left" w:pos="426"/>
        </w:tabs>
        <w:rPr>
          <w:rFonts w:ascii="Open Sans" w:hAnsi="Open Sans" w:cs="Open Sans"/>
          <w:color w:val="FFFFFF"/>
          <w:sz w:val="30"/>
          <w:szCs w:val="30"/>
          <w:shd w:val="clear" w:color="auto" w:fill="41805B"/>
          <w:lang w:val="en-AU"/>
        </w:rPr>
      </w:pPr>
      <w:r w:rsidRPr="006B3BEF">
        <w:rPr>
          <w:lang w:val="en-AU"/>
        </w:rPr>
        <w:t>Almost eight women were hospitalised each day after being assaulted by their spouse or partner in 2014-2015 which amounts to 2800 women in total. 72,000 women, 34,000 children and 9,000 men sought homelessness services in 2016–17 due to family/domestic violence.</w:t>
      </w:r>
      <w:r w:rsidRPr="006B3BEF">
        <w:rPr>
          <w:rStyle w:val="FootnoteReference"/>
          <w:lang w:val="en-AU"/>
        </w:rPr>
        <w:footnoteReference w:id="34"/>
      </w:r>
    </w:p>
    <w:p w14:paraId="7E075240" w14:textId="60A891F9" w:rsidR="009B1138" w:rsidRPr="006B3BEF" w:rsidRDefault="009B1138" w:rsidP="009B1138">
      <w:pPr>
        <w:rPr>
          <w:lang w:val="en-AU"/>
        </w:rPr>
      </w:pPr>
      <w:r w:rsidRPr="006B3BEF">
        <w:rPr>
          <w:lang w:val="en-AU"/>
        </w:rPr>
        <w:t>The impact of domestic and family vio</w:t>
      </w:r>
      <w:r>
        <w:rPr>
          <w:lang w:val="en-AU"/>
        </w:rPr>
        <w:t>lence is severe, long-lasting and impacting on economic security for women</w:t>
      </w:r>
      <w:r w:rsidRPr="006B3BEF">
        <w:rPr>
          <w:lang w:val="en-AU"/>
        </w:rPr>
        <w:t>. This includes, but not limited to the following:</w:t>
      </w:r>
    </w:p>
    <w:p w14:paraId="79EB5B9B" w14:textId="77777777" w:rsidR="009B1138" w:rsidRPr="006B3BEF" w:rsidRDefault="009B1138" w:rsidP="009B1138">
      <w:pPr>
        <w:pStyle w:val="ListParagraph"/>
        <w:numPr>
          <w:ilvl w:val="0"/>
          <w:numId w:val="25"/>
        </w:numPr>
        <w:ind w:left="284" w:hanging="284"/>
        <w:contextualSpacing w:val="0"/>
        <w:rPr>
          <w:lang w:val="en-AU"/>
        </w:rPr>
      </w:pPr>
      <w:r w:rsidRPr="006B3BEF">
        <w:rPr>
          <w:b/>
          <w:lang w:val="en-AU"/>
        </w:rPr>
        <w:t>Worsened health outcomes</w:t>
      </w:r>
      <w:r w:rsidRPr="006B3BEF">
        <w:rPr>
          <w:lang w:val="en-AU"/>
        </w:rPr>
        <w:t>:</w:t>
      </w:r>
    </w:p>
    <w:p w14:paraId="55263AF9" w14:textId="77777777" w:rsidR="009B1138" w:rsidRPr="006B3BEF" w:rsidRDefault="009B1138" w:rsidP="009B1138">
      <w:pPr>
        <w:pStyle w:val="ListParagraph"/>
        <w:numPr>
          <w:ilvl w:val="1"/>
          <w:numId w:val="25"/>
        </w:numPr>
        <w:ind w:left="709"/>
        <w:contextualSpacing w:val="0"/>
        <w:rPr>
          <w:lang w:val="en-AU"/>
        </w:rPr>
      </w:pPr>
      <w:r w:rsidRPr="006B3BEF">
        <w:rPr>
          <w:lang w:val="en-AU"/>
        </w:rPr>
        <w:t>Intimate partner violence is the leading contributor to death, disability illness and injury among women aged 18 to 44.</w:t>
      </w:r>
      <w:r w:rsidRPr="006B3BEF">
        <w:rPr>
          <w:vertAlign w:val="superscript"/>
          <w:lang w:val="en-AU"/>
        </w:rPr>
        <w:footnoteReference w:id="35"/>
      </w:r>
      <w:r w:rsidRPr="006B3BEF">
        <w:rPr>
          <w:lang w:val="en-AU"/>
        </w:rPr>
        <w:t xml:space="preserve"> </w:t>
      </w:r>
    </w:p>
    <w:p w14:paraId="36B1516D" w14:textId="77777777" w:rsidR="009B1138" w:rsidRPr="006B3BEF" w:rsidRDefault="009B1138" w:rsidP="009B1138">
      <w:pPr>
        <w:pStyle w:val="ListParagraph"/>
        <w:numPr>
          <w:ilvl w:val="1"/>
          <w:numId w:val="25"/>
        </w:numPr>
        <w:ind w:left="709"/>
        <w:contextualSpacing w:val="0"/>
        <w:rPr>
          <w:lang w:val="en-AU"/>
        </w:rPr>
      </w:pPr>
      <w:r w:rsidRPr="006B3BEF">
        <w:rPr>
          <w:lang w:val="en-AU"/>
        </w:rPr>
        <w:lastRenderedPageBreak/>
        <w:t>Mental health conditions were the largest contributor to the burden due to physical/sexual intimate partner violence, with anxiety disorders making up the greatest proportion (35%), followed by depressive disorders (32%).</w:t>
      </w:r>
      <w:r w:rsidRPr="006B3BEF">
        <w:rPr>
          <w:vertAlign w:val="superscript"/>
          <w:lang w:val="en-AU"/>
        </w:rPr>
        <w:footnoteReference w:id="36"/>
      </w:r>
      <w:r w:rsidRPr="006B3BEF">
        <w:rPr>
          <w:vertAlign w:val="superscript"/>
          <w:lang w:val="en-AU"/>
        </w:rPr>
        <w:t xml:space="preserve"> </w:t>
      </w:r>
    </w:p>
    <w:p w14:paraId="4B8D9CD0" w14:textId="77777777" w:rsidR="009B1138" w:rsidRPr="006B3BEF" w:rsidRDefault="009B1138" w:rsidP="009B1138">
      <w:pPr>
        <w:pStyle w:val="ListParagraph"/>
        <w:numPr>
          <w:ilvl w:val="1"/>
          <w:numId w:val="25"/>
        </w:numPr>
        <w:ind w:left="709"/>
        <w:contextualSpacing w:val="0"/>
        <w:rPr>
          <w:lang w:val="en-AU"/>
        </w:rPr>
      </w:pPr>
      <w:r w:rsidRPr="006B3BEF">
        <w:rPr>
          <w:lang w:val="en-AU"/>
        </w:rPr>
        <w:t>Other diseases linked to physical/sexual intimate partner violence are early pregnancy loss, homicide and violence, suicide and self-inflicted injuries, pre-term and low birth weight, and alcohol use disorders.</w:t>
      </w:r>
    </w:p>
    <w:p w14:paraId="12C5A5B7" w14:textId="77777777" w:rsidR="009B1138" w:rsidRPr="006B3BEF" w:rsidRDefault="009B1138" w:rsidP="009B1138">
      <w:pPr>
        <w:pStyle w:val="ListParagraph"/>
        <w:numPr>
          <w:ilvl w:val="1"/>
          <w:numId w:val="25"/>
        </w:numPr>
        <w:ind w:left="709"/>
        <w:contextualSpacing w:val="0"/>
        <w:rPr>
          <w:lang w:val="en-AU"/>
        </w:rPr>
      </w:pPr>
      <w:r w:rsidRPr="006B3BEF">
        <w:rPr>
          <w:lang w:val="en-AU"/>
        </w:rPr>
        <w:t xml:space="preserve">A consequent need to attend a range of medical and counselling appointments increases the costs. </w:t>
      </w:r>
    </w:p>
    <w:p w14:paraId="32F65ACD" w14:textId="77777777" w:rsidR="009B1138" w:rsidRPr="006B3BEF" w:rsidRDefault="009B1138" w:rsidP="009B1138">
      <w:pPr>
        <w:pStyle w:val="ListParagraph"/>
        <w:numPr>
          <w:ilvl w:val="0"/>
          <w:numId w:val="25"/>
        </w:numPr>
        <w:ind w:left="284" w:hanging="284"/>
        <w:contextualSpacing w:val="0"/>
        <w:rPr>
          <w:lang w:val="en-AU"/>
        </w:rPr>
      </w:pPr>
      <w:r w:rsidRPr="006B3BEF">
        <w:rPr>
          <w:lang w:val="en-AU"/>
        </w:rPr>
        <w:t xml:space="preserve">A need to </w:t>
      </w:r>
      <w:r w:rsidRPr="006B3BEF">
        <w:rPr>
          <w:b/>
          <w:lang w:val="en-AU"/>
        </w:rPr>
        <w:t>navigate multiple legal systems</w:t>
      </w:r>
      <w:r w:rsidRPr="006B3BEF">
        <w:rPr>
          <w:lang w:val="en-AU"/>
        </w:rPr>
        <w:t xml:space="preserve"> that not only result in loss of time but also incur high fees: </w:t>
      </w:r>
    </w:p>
    <w:p w14:paraId="30064AFB" w14:textId="77777777" w:rsidR="009B1138" w:rsidRPr="006B3BEF" w:rsidRDefault="009B1138" w:rsidP="009B1138">
      <w:pPr>
        <w:pStyle w:val="ListParagraph"/>
        <w:numPr>
          <w:ilvl w:val="1"/>
          <w:numId w:val="25"/>
        </w:numPr>
        <w:ind w:left="709"/>
        <w:contextualSpacing w:val="0"/>
        <w:rPr>
          <w:lang w:val="en-AU"/>
        </w:rPr>
      </w:pPr>
      <w:r w:rsidRPr="006B3BEF">
        <w:rPr>
          <w:lang w:val="en-AU"/>
        </w:rPr>
        <w:t>A victim/survivor may be simultaneously navigating seven different legal processes. This includes: “(1) Children and property matters in the Federal Circuit Court, as well as, urgent interim applications in relation to the same proceedings; (2) Divorce proceedings in the Federal Circuit Court or Family Court; (3) Intervention order proceedings in the Magistrates Court; (4) Criminal proceedings; (5) Victim of Crime assistance proceedings; and (6) Debt issues that require resolution through the relevant agencies;”</w:t>
      </w:r>
      <w:r w:rsidRPr="006B3BEF">
        <w:rPr>
          <w:rStyle w:val="FootnoteReference"/>
          <w:lang w:val="en-AU"/>
        </w:rPr>
        <w:footnoteReference w:id="37"/>
      </w:r>
      <w:r w:rsidRPr="006B3BEF">
        <w:rPr>
          <w:lang w:val="en-AU"/>
        </w:rPr>
        <w:t xml:space="preserve"> and (7) Migration matters, for example applying for family violence provisions to secure permanent residency after relationships breakdown. </w:t>
      </w:r>
    </w:p>
    <w:p w14:paraId="095A0FF6" w14:textId="77777777" w:rsidR="009B1138" w:rsidRPr="006B3BEF" w:rsidRDefault="009B1138" w:rsidP="009B1138">
      <w:pPr>
        <w:pStyle w:val="ListParagraph"/>
        <w:numPr>
          <w:ilvl w:val="0"/>
          <w:numId w:val="25"/>
        </w:numPr>
        <w:ind w:left="284" w:hanging="284"/>
        <w:contextualSpacing w:val="0"/>
        <w:rPr>
          <w:b/>
          <w:lang w:val="en-AU"/>
        </w:rPr>
      </w:pPr>
      <w:r w:rsidRPr="006B3BEF">
        <w:rPr>
          <w:b/>
          <w:lang w:val="en-AU"/>
        </w:rPr>
        <w:t>Homelessness</w:t>
      </w:r>
    </w:p>
    <w:p w14:paraId="5F22F35B" w14:textId="77777777" w:rsidR="009B1138" w:rsidRPr="006B3BEF" w:rsidRDefault="009B1138" w:rsidP="009B1138">
      <w:pPr>
        <w:pStyle w:val="ListParagraph"/>
        <w:numPr>
          <w:ilvl w:val="1"/>
          <w:numId w:val="4"/>
        </w:numPr>
        <w:ind w:left="709"/>
        <w:contextualSpacing w:val="0"/>
        <w:rPr>
          <w:lang w:val="en-AU"/>
        </w:rPr>
      </w:pPr>
      <w:r w:rsidRPr="006B3BEF">
        <w:rPr>
          <w:lang w:val="en-AU"/>
        </w:rPr>
        <w:t>Domestic and family violence is the single largest reason for people to seek homelessness services.</w:t>
      </w:r>
      <w:r w:rsidRPr="006B3BEF">
        <w:rPr>
          <w:vertAlign w:val="superscript"/>
          <w:lang w:val="en-AU"/>
        </w:rPr>
        <w:footnoteReference w:id="38"/>
      </w:r>
      <w:r w:rsidRPr="006B3BEF">
        <w:rPr>
          <w:vertAlign w:val="superscript"/>
          <w:lang w:val="en-AU"/>
        </w:rPr>
        <w:t xml:space="preserve"> </w:t>
      </w:r>
    </w:p>
    <w:p w14:paraId="5ADEE397" w14:textId="4AD6A79A" w:rsidR="009B1138" w:rsidRPr="006B3BEF" w:rsidRDefault="009B1138" w:rsidP="009B1138">
      <w:pPr>
        <w:pStyle w:val="ListParagraph"/>
        <w:numPr>
          <w:ilvl w:val="1"/>
          <w:numId w:val="4"/>
        </w:numPr>
        <w:ind w:left="709"/>
        <w:contextualSpacing w:val="0"/>
        <w:rPr>
          <w:lang w:val="en-AU"/>
        </w:rPr>
      </w:pPr>
      <w:r w:rsidRPr="006B3BEF">
        <w:rPr>
          <w:lang w:val="en-AU"/>
        </w:rPr>
        <w:t>More female</w:t>
      </w:r>
      <w:r w:rsidR="00BA76C2">
        <w:rPr>
          <w:lang w:val="en-AU"/>
        </w:rPr>
        <w:t xml:space="preserve"> people</w:t>
      </w:r>
      <w:r w:rsidRPr="006B3BEF">
        <w:rPr>
          <w:lang w:val="en-AU"/>
        </w:rPr>
        <w:t xml:space="preserve"> than male</w:t>
      </w:r>
      <w:r w:rsidR="00BA76C2">
        <w:rPr>
          <w:lang w:val="en-AU"/>
        </w:rPr>
        <w:t xml:space="preserve"> people</w:t>
      </w:r>
      <w:r w:rsidRPr="006B3BEF">
        <w:rPr>
          <w:lang w:val="en-AU"/>
        </w:rPr>
        <w:t xml:space="preserve"> presented to agencies homeless in 2017–18; the number of female</w:t>
      </w:r>
      <w:r w:rsidR="00BA76C2">
        <w:rPr>
          <w:lang w:val="en-AU"/>
        </w:rPr>
        <w:t xml:space="preserve"> people</w:t>
      </w:r>
      <w:r w:rsidRPr="006B3BEF">
        <w:rPr>
          <w:lang w:val="en-AU"/>
        </w:rPr>
        <w:t xml:space="preserve"> presenting homeless in 2017–18 (57,000) has overtaken the number of male</w:t>
      </w:r>
      <w:r w:rsidR="00BA76C2">
        <w:rPr>
          <w:lang w:val="en-AU"/>
        </w:rPr>
        <w:t xml:space="preserve"> people</w:t>
      </w:r>
      <w:r w:rsidRPr="006B3BEF">
        <w:rPr>
          <w:lang w:val="en-AU"/>
        </w:rPr>
        <w:t xml:space="preserve"> (52,100), up from 41,900 for female</w:t>
      </w:r>
      <w:r w:rsidR="00BA76C2">
        <w:rPr>
          <w:lang w:val="en-AU"/>
        </w:rPr>
        <w:t xml:space="preserve"> people</w:t>
      </w:r>
      <w:r w:rsidRPr="006B3BEF">
        <w:rPr>
          <w:lang w:val="en-AU"/>
        </w:rPr>
        <w:t xml:space="preserve"> and 41,100 for male</w:t>
      </w:r>
      <w:r w:rsidR="00BA76C2">
        <w:rPr>
          <w:lang w:val="en-AU"/>
        </w:rPr>
        <w:t xml:space="preserve"> people</w:t>
      </w:r>
      <w:r w:rsidRPr="006B3BEF">
        <w:rPr>
          <w:lang w:val="en-AU"/>
        </w:rPr>
        <w:t xml:space="preserve"> in 2013–14.</w:t>
      </w:r>
      <w:r w:rsidRPr="006B3BEF">
        <w:rPr>
          <w:rStyle w:val="FootnoteReference"/>
          <w:lang w:val="en-AU"/>
        </w:rPr>
        <w:footnoteReference w:id="39"/>
      </w:r>
    </w:p>
    <w:p w14:paraId="33CE0986" w14:textId="77777777" w:rsidR="009B1138" w:rsidRPr="006B3BEF" w:rsidRDefault="009B1138" w:rsidP="009B1138">
      <w:pPr>
        <w:pStyle w:val="ListParagraph"/>
        <w:numPr>
          <w:ilvl w:val="1"/>
          <w:numId w:val="4"/>
        </w:numPr>
        <w:ind w:left="709"/>
        <w:contextualSpacing w:val="0"/>
        <w:rPr>
          <w:lang w:val="en-AU"/>
        </w:rPr>
      </w:pPr>
      <w:r w:rsidRPr="006B3BEF">
        <w:rPr>
          <w:lang w:val="en-AU"/>
        </w:rPr>
        <w:t xml:space="preserve">Homelessness may also increase risk of gender-based violence in particular sexual violence. In addition, when intertwined with poverty and lack of social security support, many women are forced to engage in survival sex to obtain any accommodation or general ‘protection’. </w:t>
      </w:r>
    </w:p>
    <w:p w14:paraId="02502237" w14:textId="77777777" w:rsidR="009B1138" w:rsidRPr="006B3BEF" w:rsidRDefault="009B1138" w:rsidP="009B1138">
      <w:pPr>
        <w:pStyle w:val="ListParagraph"/>
        <w:numPr>
          <w:ilvl w:val="1"/>
          <w:numId w:val="4"/>
        </w:numPr>
        <w:ind w:left="709"/>
        <w:contextualSpacing w:val="0"/>
        <w:rPr>
          <w:lang w:val="en-AU"/>
        </w:rPr>
      </w:pPr>
      <w:r w:rsidRPr="006B3BEF">
        <w:rPr>
          <w:lang w:val="en-AU"/>
        </w:rPr>
        <w:t>A general lack of affordable housing and social and public housing may push women to stay with a violent partner. In addition, in most states of Australia only Australian citizens and permanent residents are able to access social and public housing, further excluding women who are on temporary visas and are experiencing domestic and family violence.</w:t>
      </w:r>
    </w:p>
    <w:p w14:paraId="573D44DD" w14:textId="77777777" w:rsidR="009B1138" w:rsidRPr="006B3BEF" w:rsidRDefault="009B1138" w:rsidP="009B1138">
      <w:pPr>
        <w:pStyle w:val="ListParagraph"/>
        <w:numPr>
          <w:ilvl w:val="1"/>
          <w:numId w:val="4"/>
        </w:numPr>
        <w:ind w:left="709"/>
        <w:contextualSpacing w:val="0"/>
        <w:rPr>
          <w:lang w:val="en-AU"/>
        </w:rPr>
      </w:pPr>
      <w:r w:rsidRPr="006B3BEF">
        <w:rPr>
          <w:lang w:val="en-AU"/>
        </w:rPr>
        <w:t>Available government programs designed to support women to stay in their homes post separation are not able to support all women in this need. For example, in NSW there are capped amounts of places that can be supported given the requirement of case management.</w:t>
      </w:r>
      <w:r w:rsidRPr="006B3BEF">
        <w:rPr>
          <w:rStyle w:val="FootnoteReference"/>
          <w:lang w:val="en-AU"/>
        </w:rPr>
        <w:footnoteReference w:id="40"/>
      </w:r>
      <w:r w:rsidRPr="006B3BEF">
        <w:rPr>
          <w:lang w:val="en-AU"/>
        </w:rPr>
        <w:t xml:space="preserve"> </w:t>
      </w:r>
    </w:p>
    <w:p w14:paraId="6487A48F" w14:textId="77777777" w:rsidR="009B1138" w:rsidRPr="006B3BEF" w:rsidRDefault="009B1138" w:rsidP="009B1138">
      <w:pPr>
        <w:pStyle w:val="ListParagraph"/>
        <w:numPr>
          <w:ilvl w:val="0"/>
          <w:numId w:val="25"/>
        </w:numPr>
        <w:ind w:left="284" w:hanging="284"/>
        <w:contextualSpacing w:val="0"/>
        <w:rPr>
          <w:b/>
          <w:lang w:val="en-AU"/>
        </w:rPr>
      </w:pPr>
      <w:r w:rsidRPr="006B3BEF">
        <w:rPr>
          <w:b/>
          <w:lang w:val="en-AU"/>
        </w:rPr>
        <w:t>Economic cost</w:t>
      </w:r>
    </w:p>
    <w:p w14:paraId="42C0DD5D" w14:textId="77777777" w:rsidR="009B1138" w:rsidRPr="006B3BEF" w:rsidRDefault="009B1138" w:rsidP="009B1138">
      <w:pPr>
        <w:pStyle w:val="ListParagraph"/>
        <w:numPr>
          <w:ilvl w:val="1"/>
          <w:numId w:val="4"/>
        </w:numPr>
        <w:ind w:left="709"/>
        <w:contextualSpacing w:val="0"/>
        <w:rPr>
          <w:lang w:val="en-AU"/>
        </w:rPr>
      </w:pPr>
      <w:r w:rsidRPr="006B3BEF">
        <w:rPr>
          <w:lang w:val="en-AU"/>
        </w:rPr>
        <w:lastRenderedPageBreak/>
        <w:t>Price Waterhouse Coopers has estimated that violence against women in Australia imposes a financial cost of $21.7 billion a year, with victims/survivors bearing the main burden of this cost.</w:t>
      </w:r>
      <w:r w:rsidRPr="006B3BEF">
        <w:rPr>
          <w:vertAlign w:val="superscript"/>
          <w:lang w:val="en-AU"/>
        </w:rPr>
        <w:footnoteReference w:id="41"/>
      </w:r>
      <w:r w:rsidRPr="006B3BEF">
        <w:rPr>
          <w:vertAlign w:val="superscript"/>
          <w:lang w:val="en-AU"/>
        </w:rPr>
        <w:t xml:space="preserve"> </w:t>
      </w:r>
      <w:r w:rsidRPr="006B3BEF">
        <w:rPr>
          <w:lang w:val="en-AU"/>
        </w:rPr>
        <w:t xml:space="preserve">If appropriate action is not taken, this toll could rise to $323.4 billion by 2045. </w:t>
      </w:r>
    </w:p>
    <w:p w14:paraId="7BF90356" w14:textId="3C8902DE" w:rsidR="009B1138" w:rsidRPr="006B3BEF" w:rsidRDefault="009B1138" w:rsidP="009B1138">
      <w:pPr>
        <w:pStyle w:val="ListParagraph"/>
        <w:numPr>
          <w:ilvl w:val="1"/>
          <w:numId w:val="4"/>
        </w:numPr>
        <w:ind w:left="709"/>
        <w:contextualSpacing w:val="0"/>
        <w:rPr>
          <w:lang w:val="en-AU"/>
        </w:rPr>
      </w:pPr>
      <w:r w:rsidRPr="006B3BEF">
        <w:rPr>
          <w:lang w:val="en-AU"/>
        </w:rPr>
        <w:t xml:space="preserve">It costs </w:t>
      </w:r>
      <w:r w:rsidR="00BA76C2">
        <w:rPr>
          <w:lang w:val="en-AU"/>
        </w:rPr>
        <w:t xml:space="preserve">around </w:t>
      </w:r>
      <w:r w:rsidRPr="006B3BEF">
        <w:rPr>
          <w:lang w:val="en-AU"/>
        </w:rPr>
        <w:t>$18000 for a victim/survivor to leave violent relationship and establish safety. This would include costs associated with reallocation, safety upgrades, legal costs and medical costs.</w:t>
      </w:r>
      <w:r w:rsidRPr="006B3BEF">
        <w:rPr>
          <w:vertAlign w:val="superscript"/>
          <w:lang w:val="en-AU"/>
        </w:rPr>
        <w:footnoteReference w:id="42"/>
      </w:r>
    </w:p>
    <w:p w14:paraId="1B01F02F" w14:textId="77777777" w:rsidR="009B1138" w:rsidRPr="006B3BEF" w:rsidRDefault="009B1138" w:rsidP="009B1138">
      <w:pPr>
        <w:pStyle w:val="ListParagraph"/>
        <w:numPr>
          <w:ilvl w:val="1"/>
          <w:numId w:val="4"/>
        </w:numPr>
        <w:ind w:left="709"/>
        <w:contextualSpacing w:val="0"/>
        <w:rPr>
          <w:lang w:val="en-AU"/>
        </w:rPr>
      </w:pPr>
      <w:r w:rsidRPr="006B3BEF">
        <w:rPr>
          <w:lang w:val="en-AU"/>
        </w:rPr>
        <w:t>It takes an average of six years for women to recover financially from a divorce.</w:t>
      </w:r>
      <w:r w:rsidRPr="006B3BEF">
        <w:rPr>
          <w:rStyle w:val="FootnoteReference"/>
          <w:lang w:val="en-AU"/>
        </w:rPr>
        <w:footnoteReference w:id="43"/>
      </w:r>
    </w:p>
    <w:p w14:paraId="3467EAF4" w14:textId="77777777" w:rsidR="009B1138" w:rsidRPr="006B3BEF" w:rsidRDefault="009B1138" w:rsidP="009B1138">
      <w:pPr>
        <w:pStyle w:val="ListParagraph"/>
        <w:numPr>
          <w:ilvl w:val="1"/>
          <w:numId w:val="4"/>
        </w:numPr>
        <w:ind w:left="709"/>
        <w:contextualSpacing w:val="0"/>
        <w:rPr>
          <w:lang w:val="en-AU"/>
        </w:rPr>
      </w:pPr>
      <w:r w:rsidRPr="006B3BEF">
        <w:rPr>
          <w:lang w:val="en-AU"/>
        </w:rPr>
        <w:t>Separation for victim/survivors of domestic and family violence results in significantly reduced assets.</w:t>
      </w:r>
      <w:r w:rsidRPr="006B3BEF">
        <w:rPr>
          <w:rStyle w:val="FootnoteReference"/>
          <w:lang w:val="en-AU"/>
        </w:rPr>
        <w:footnoteReference w:id="44"/>
      </w:r>
    </w:p>
    <w:p w14:paraId="11AD6F1B" w14:textId="453013EA" w:rsidR="009B1138" w:rsidRDefault="009B1138" w:rsidP="009B1138">
      <w:pPr>
        <w:pStyle w:val="ListParagraph"/>
        <w:numPr>
          <w:ilvl w:val="1"/>
          <w:numId w:val="4"/>
        </w:numPr>
        <w:ind w:left="709"/>
        <w:contextualSpacing w:val="0"/>
        <w:rPr>
          <w:lang w:val="en-AU"/>
        </w:rPr>
      </w:pPr>
      <w:r w:rsidRPr="006B3BEF">
        <w:rPr>
          <w:lang w:val="en-AU"/>
        </w:rPr>
        <w:t>Perpetrators of domestic and family violence leave victim/survivors responsible for repaying jointly accumulated debts.</w:t>
      </w:r>
      <w:r w:rsidRPr="006B3BEF">
        <w:rPr>
          <w:rStyle w:val="FootnoteReference"/>
          <w:lang w:val="en-AU"/>
        </w:rPr>
        <w:footnoteReference w:id="45"/>
      </w:r>
    </w:p>
    <w:p w14:paraId="6078CDE0" w14:textId="58E74E98" w:rsidR="009B1138" w:rsidRPr="006B3BEF" w:rsidRDefault="009B1138" w:rsidP="009B1138">
      <w:pPr>
        <w:pStyle w:val="ListParagraph"/>
        <w:numPr>
          <w:ilvl w:val="1"/>
          <w:numId w:val="4"/>
        </w:numPr>
        <w:ind w:left="709"/>
        <w:contextualSpacing w:val="0"/>
        <w:rPr>
          <w:lang w:val="en-AU"/>
        </w:rPr>
      </w:pPr>
      <w:r>
        <w:rPr>
          <w:lang w:val="en-AU"/>
        </w:rPr>
        <w:t>Economic abuse is often used among other tactics of control and coercion by perpetrators of domestic and family violence.</w:t>
      </w:r>
      <w:r>
        <w:rPr>
          <w:rStyle w:val="FootnoteReference"/>
          <w:lang w:val="en-AU"/>
        </w:rPr>
        <w:footnoteReference w:id="46"/>
      </w:r>
      <w:r>
        <w:rPr>
          <w:lang w:val="en-AU"/>
        </w:rPr>
        <w:t xml:space="preserve"> </w:t>
      </w:r>
    </w:p>
    <w:p w14:paraId="4643FF22" w14:textId="7C77885A" w:rsidR="00115A52" w:rsidRDefault="00C26970" w:rsidP="00C26970">
      <w:pPr>
        <w:spacing w:before="0" w:after="160" w:line="259" w:lineRule="auto"/>
        <w:rPr>
          <w:lang w:val="en-AU"/>
        </w:rPr>
      </w:pPr>
      <w:r>
        <w:rPr>
          <w:rFonts w:eastAsia="Calibri" w:cs="Calibri Light"/>
          <w:lang w:val="en-AU"/>
        </w:rPr>
        <w:t>It is disappointing that the current review did not engage with the impacts of domestic and family violence on retirement savings and superannuation given the prevalence of violence against women. We also note that AWAVA opposed proposals</w:t>
      </w:r>
      <w:r w:rsidRPr="006B3BEF">
        <w:rPr>
          <w:rStyle w:val="FootnoteReference"/>
          <w:lang w:val="en-AU"/>
        </w:rPr>
        <w:footnoteReference w:id="47"/>
      </w:r>
      <w:r>
        <w:rPr>
          <w:rFonts w:eastAsia="Calibri" w:cs="Calibri Light"/>
          <w:lang w:val="en-AU"/>
        </w:rPr>
        <w:t xml:space="preserve"> (now passed and finalised) for an early release of superannuation benefits in situations of domestic and family violence. </w:t>
      </w:r>
      <w:r>
        <w:rPr>
          <w:lang w:val="en-AU"/>
        </w:rPr>
        <w:t>Such</w:t>
      </w:r>
      <w:r w:rsidRPr="006B3BEF">
        <w:rPr>
          <w:lang w:val="en-AU"/>
        </w:rPr>
        <w:t xml:space="preserve"> proposals appear</w:t>
      </w:r>
      <w:r>
        <w:rPr>
          <w:lang w:val="en-AU"/>
        </w:rPr>
        <w:t>ed</w:t>
      </w:r>
      <w:r w:rsidRPr="006B3BEF">
        <w:rPr>
          <w:lang w:val="en-AU"/>
        </w:rPr>
        <w:t xml:space="preserve"> to shift the onus of rebuilding one’s life after family violence onto the victim/survivor. This reinforces outdated stereotypes about family violence being a private issue rather than being a government responsibility to ensure the safety of all women in Australia.</w:t>
      </w:r>
      <w:r w:rsidR="00BA76C2">
        <w:rPr>
          <w:lang w:val="en-AU"/>
        </w:rPr>
        <w:t xml:space="preserve"> Instead, victims/survivors should have access to publicly-funded payments specifically targeted to assisting with recovery from domestic and family violence, as in the model of the Victorian Flexible Support Packages. </w:t>
      </w:r>
    </w:p>
    <w:p w14:paraId="5F3365FE" w14:textId="63654DE2" w:rsidR="00C26970" w:rsidRPr="006B3BEF" w:rsidRDefault="00C26970" w:rsidP="00C26970">
      <w:pPr>
        <w:rPr>
          <w:lang w:val="en-AU"/>
        </w:rPr>
      </w:pPr>
      <w:r w:rsidRPr="006B3BEF">
        <w:rPr>
          <w:lang w:val="en-AU"/>
        </w:rPr>
        <w:t xml:space="preserve">We wish to stress that alongside measures to improve women’s economic security, especially after having experienced family violence, a better investment in specialist women’s services is required to ensure their capacity to meet increasing service demand. </w:t>
      </w:r>
    </w:p>
    <w:p w14:paraId="725E4E64" w14:textId="75B36E89" w:rsidR="001A4781" w:rsidRPr="006B3BEF" w:rsidRDefault="00553B4E" w:rsidP="00553B4E">
      <w:pPr>
        <w:pStyle w:val="Heading1"/>
        <w:rPr>
          <w:lang w:val="en-AU"/>
        </w:rPr>
      </w:pPr>
      <w:bookmarkStart w:id="8" w:name="_Toc19106187"/>
      <w:bookmarkStart w:id="9" w:name="_Toc31624186"/>
      <w:r>
        <w:rPr>
          <w:lang w:val="en-AU"/>
        </w:rPr>
        <w:t>Embed an intersectional gender lens into social policy</w:t>
      </w:r>
      <w:bookmarkEnd w:id="9"/>
      <w:r w:rsidR="001A4781" w:rsidRPr="006B3BEF">
        <w:rPr>
          <w:lang w:val="en-AU"/>
        </w:rPr>
        <w:t xml:space="preserve"> </w:t>
      </w:r>
      <w:bookmarkEnd w:id="8"/>
    </w:p>
    <w:p w14:paraId="28A63DF4" w14:textId="3FFB1815" w:rsidR="007A31FB" w:rsidRPr="007A31FB" w:rsidRDefault="007A31FB" w:rsidP="007A31FB">
      <w:pPr>
        <w:rPr>
          <w:lang w:val="en-AU"/>
        </w:rPr>
      </w:pPr>
      <w:r w:rsidRPr="007A31FB">
        <w:rPr>
          <w:lang w:val="en-AU"/>
        </w:rPr>
        <w:t xml:space="preserve">In the section above we have highlighted the importance to embed </w:t>
      </w:r>
      <w:r>
        <w:rPr>
          <w:lang w:val="en-AU"/>
        </w:rPr>
        <w:t xml:space="preserve">an intersectional gender lens to social policy as it indicates how </w:t>
      </w:r>
      <w:r w:rsidRPr="006B3BEF">
        <w:rPr>
          <w:lang w:val="en-AU"/>
        </w:rPr>
        <w:t>multiple and inter</w:t>
      </w:r>
      <w:r w:rsidR="009E79BC">
        <w:rPr>
          <w:lang w:val="en-AU"/>
        </w:rPr>
        <w:t xml:space="preserve">secting factors may place diverse women into disadvantaged conditions. </w:t>
      </w:r>
    </w:p>
    <w:p w14:paraId="4F009F00" w14:textId="0F4690F3" w:rsidR="00174A29" w:rsidRDefault="009B1138" w:rsidP="00174A29">
      <w:pPr>
        <w:rPr>
          <w:lang w:val="en-AU"/>
        </w:rPr>
      </w:pPr>
      <w:r w:rsidRPr="006B3BEF">
        <w:rPr>
          <w:lang w:val="en-AU"/>
        </w:rPr>
        <w:t>Applying gender and intersectional lenses to social security policy makes it clear how an intersection of gender with other identities (such as race, sexual orientation, disability</w:t>
      </w:r>
      <w:r w:rsidR="009E79BC">
        <w:rPr>
          <w:lang w:val="en-AU"/>
        </w:rPr>
        <w:t>, migration status</w:t>
      </w:r>
      <w:r w:rsidRPr="006B3BEF">
        <w:rPr>
          <w:lang w:val="en-AU"/>
        </w:rPr>
        <w:t xml:space="preserve"> </w:t>
      </w:r>
      <w:proofErr w:type="spellStart"/>
      <w:r w:rsidRPr="006B3BEF">
        <w:rPr>
          <w:lang w:val="en-AU"/>
        </w:rPr>
        <w:t>etc</w:t>
      </w:r>
      <w:proofErr w:type="spellEnd"/>
      <w:r w:rsidRPr="006B3BEF">
        <w:rPr>
          <w:lang w:val="en-AU"/>
        </w:rPr>
        <w:t xml:space="preserve">) and other systemic forms of oppression (such as racism, homophobia, ableism </w:t>
      </w:r>
      <w:proofErr w:type="spellStart"/>
      <w:r w:rsidRPr="006B3BEF">
        <w:rPr>
          <w:lang w:val="en-AU"/>
        </w:rPr>
        <w:t>etc</w:t>
      </w:r>
      <w:proofErr w:type="spellEnd"/>
      <w:r w:rsidRPr="006B3BEF">
        <w:rPr>
          <w:lang w:val="en-AU"/>
        </w:rPr>
        <w:t xml:space="preserve">) exacerbates economic disempowerment, excludes people from and limits their employment opportunities. Having elucidated </w:t>
      </w:r>
      <w:r w:rsidRPr="006B3BEF">
        <w:rPr>
          <w:lang w:val="en-AU"/>
        </w:rPr>
        <w:lastRenderedPageBreak/>
        <w:t>those connections, government will be better enabled to take active steps to ensure just and fair outcomes for all.</w:t>
      </w:r>
      <w:r w:rsidRPr="006B3BEF">
        <w:rPr>
          <w:vertAlign w:val="superscript"/>
          <w:lang w:val="en-AU"/>
        </w:rPr>
        <w:footnoteReference w:id="48"/>
      </w:r>
      <w:r w:rsidRPr="006B3BEF">
        <w:rPr>
          <w:lang w:val="en-AU"/>
        </w:rPr>
        <w:t xml:space="preserve"> </w:t>
      </w:r>
    </w:p>
    <w:p w14:paraId="11902A43" w14:textId="4123684F" w:rsidR="00174A29" w:rsidRDefault="00174A29" w:rsidP="00174A29">
      <w:pPr>
        <w:pStyle w:val="Heading1"/>
        <w:rPr>
          <w:lang w:val="en-AU"/>
        </w:rPr>
      </w:pPr>
      <w:bookmarkStart w:id="10" w:name="_Toc31624187"/>
      <w:r>
        <w:rPr>
          <w:lang w:val="en-AU"/>
        </w:rPr>
        <w:t>Recommendations</w:t>
      </w:r>
      <w:bookmarkEnd w:id="10"/>
    </w:p>
    <w:p w14:paraId="06658009" w14:textId="444D4862" w:rsidR="00174A29" w:rsidRPr="00174A29" w:rsidRDefault="00174A29" w:rsidP="00174A29">
      <w:pPr>
        <w:rPr>
          <w:lang w:val="en-AU"/>
        </w:rPr>
      </w:pPr>
      <w:r>
        <w:rPr>
          <w:lang w:val="en-AU"/>
        </w:rPr>
        <w:t>We recommend that the Australian Government take the following steps:</w:t>
      </w:r>
    </w:p>
    <w:p w14:paraId="03108AA3" w14:textId="77777777" w:rsidR="00174A29" w:rsidRPr="00174A29" w:rsidRDefault="00174A29" w:rsidP="00174A29">
      <w:pPr>
        <w:pStyle w:val="ListParagraph"/>
        <w:numPr>
          <w:ilvl w:val="0"/>
          <w:numId w:val="55"/>
        </w:numPr>
        <w:ind w:left="0" w:firstLine="0"/>
        <w:rPr>
          <w:lang w:val="en-US"/>
        </w:rPr>
      </w:pPr>
      <w:r>
        <w:rPr>
          <w:lang w:val="en-US"/>
        </w:rPr>
        <w:t>A</w:t>
      </w:r>
      <w:proofErr w:type="spellStart"/>
      <w:r w:rsidRPr="00BD004C">
        <w:t>pply</w:t>
      </w:r>
      <w:proofErr w:type="spellEnd"/>
      <w:r w:rsidRPr="00BD004C">
        <w:t xml:space="preserve"> an intersectional gender lens to this review of </w:t>
      </w:r>
      <w:r>
        <w:t xml:space="preserve">retirement income to ensure equitable outcomes for women in all their diversity. </w:t>
      </w:r>
    </w:p>
    <w:p w14:paraId="4ACD7869" w14:textId="161A2871" w:rsidR="00174A29" w:rsidRDefault="00174A29" w:rsidP="00174A29">
      <w:pPr>
        <w:pStyle w:val="ListParagraph"/>
        <w:numPr>
          <w:ilvl w:val="0"/>
          <w:numId w:val="55"/>
        </w:numPr>
        <w:ind w:left="0" w:firstLine="0"/>
        <w:rPr>
          <w:lang w:val="en-US"/>
        </w:rPr>
      </w:pPr>
      <w:r>
        <w:rPr>
          <w:lang w:val="en-US"/>
        </w:rPr>
        <w:t xml:space="preserve">Take active steps to eliminate gender pay gap. </w:t>
      </w:r>
    </w:p>
    <w:p w14:paraId="60A9D9A3" w14:textId="75CFB516" w:rsidR="00174A29" w:rsidRDefault="00174A29" w:rsidP="00BE55E8">
      <w:pPr>
        <w:pStyle w:val="ListParagraph"/>
        <w:numPr>
          <w:ilvl w:val="0"/>
          <w:numId w:val="55"/>
        </w:numPr>
        <w:ind w:left="0" w:firstLine="0"/>
        <w:rPr>
          <w:lang w:val="en-US"/>
        </w:rPr>
      </w:pPr>
      <w:r>
        <w:rPr>
          <w:lang w:val="en-US"/>
        </w:rPr>
        <w:t>P</w:t>
      </w:r>
      <w:r w:rsidRPr="00174A29">
        <w:rPr>
          <w:lang w:val="en-US"/>
        </w:rPr>
        <w:t>ursue agreement through COAG that all States and Territories will implement flexible financial support programs for victims/survivors along the lines of the Victorian model</w:t>
      </w:r>
      <w:r>
        <w:rPr>
          <w:lang w:val="en-US"/>
        </w:rPr>
        <w:t>.</w:t>
      </w:r>
    </w:p>
    <w:p w14:paraId="1FC7C84D" w14:textId="1BDC9460" w:rsidR="00174A29" w:rsidRPr="00174A29" w:rsidRDefault="00174A29" w:rsidP="00BE55E8">
      <w:pPr>
        <w:pStyle w:val="ListParagraph"/>
        <w:numPr>
          <w:ilvl w:val="0"/>
          <w:numId w:val="55"/>
        </w:numPr>
        <w:ind w:left="0" w:firstLine="0"/>
        <w:rPr>
          <w:lang w:val="en-US"/>
        </w:rPr>
      </w:pPr>
      <w:r>
        <w:rPr>
          <w:lang w:val="en-US"/>
        </w:rPr>
        <w:t xml:space="preserve">Ensure </w:t>
      </w:r>
      <w:r w:rsidRPr="00174A29">
        <w:rPr>
          <w:lang w:val="en-US"/>
        </w:rPr>
        <w:t xml:space="preserve">access to affordable and accessible childcare. </w:t>
      </w:r>
    </w:p>
    <w:p w14:paraId="4AE1F941" w14:textId="72365308" w:rsidR="00174A29" w:rsidRDefault="00174A29" w:rsidP="00BE55E8">
      <w:pPr>
        <w:pStyle w:val="ListParagraph"/>
        <w:numPr>
          <w:ilvl w:val="0"/>
          <w:numId w:val="55"/>
        </w:numPr>
        <w:ind w:left="0" w:firstLine="0"/>
        <w:rPr>
          <w:lang w:val="en-AU"/>
        </w:rPr>
      </w:pPr>
      <w:r>
        <w:rPr>
          <w:lang w:val="en-AU"/>
        </w:rPr>
        <w:t xml:space="preserve">Incentivise employers to pay the superannuation guarantee on parental leave. </w:t>
      </w:r>
    </w:p>
    <w:p w14:paraId="7613D4A9" w14:textId="543AC4BD" w:rsidR="00174A29" w:rsidRDefault="00174A29" w:rsidP="00174A29">
      <w:pPr>
        <w:pStyle w:val="ListParagraph"/>
        <w:numPr>
          <w:ilvl w:val="0"/>
          <w:numId w:val="55"/>
        </w:numPr>
        <w:ind w:left="0" w:firstLine="0"/>
        <w:rPr>
          <w:lang w:val="en-AU"/>
        </w:rPr>
      </w:pPr>
      <w:r>
        <w:rPr>
          <w:lang w:val="en-AU"/>
        </w:rPr>
        <w:t xml:space="preserve">Abolish </w:t>
      </w:r>
      <w:r w:rsidRPr="00174A29">
        <w:rPr>
          <w:lang w:val="en-AU"/>
        </w:rPr>
        <w:t>the $450-a-month threshold for superannuation guarantee.</w:t>
      </w:r>
      <w:r>
        <w:rPr>
          <w:rStyle w:val="FootnoteReference"/>
          <w:lang w:val="en-AU"/>
        </w:rPr>
        <w:footnoteReference w:id="49"/>
      </w:r>
    </w:p>
    <w:p w14:paraId="0DC50153" w14:textId="1C31A704" w:rsidR="009B1138" w:rsidRPr="00174A29" w:rsidRDefault="00174A29" w:rsidP="00174A29">
      <w:pPr>
        <w:pStyle w:val="ListParagraph"/>
        <w:numPr>
          <w:ilvl w:val="0"/>
          <w:numId w:val="55"/>
        </w:numPr>
        <w:ind w:left="0" w:firstLine="0"/>
        <w:rPr>
          <w:lang w:val="en-AU"/>
        </w:rPr>
      </w:pPr>
      <w:r>
        <w:rPr>
          <w:lang w:val="en-AU"/>
        </w:rPr>
        <w:t xml:space="preserve">Increase </w:t>
      </w:r>
      <w:r w:rsidR="00BA76C2">
        <w:rPr>
          <w:lang w:val="en-AU"/>
        </w:rPr>
        <w:t xml:space="preserve">the </w:t>
      </w:r>
      <w:r>
        <w:rPr>
          <w:lang w:val="en-AU"/>
        </w:rPr>
        <w:t>superannuation guarantee from 9.5 percent to 12 percent.</w:t>
      </w:r>
    </w:p>
    <w:p w14:paraId="585C14C1" w14:textId="77777777" w:rsidR="00716320" w:rsidRPr="006B3BEF" w:rsidRDefault="00716320" w:rsidP="00120B12">
      <w:pPr>
        <w:rPr>
          <w:lang w:val="en-AU"/>
        </w:rPr>
      </w:pPr>
    </w:p>
    <w:p w14:paraId="4833E808" w14:textId="207A2975" w:rsidR="00F36D71" w:rsidRPr="006B3BEF" w:rsidRDefault="00644201" w:rsidP="00F36D71">
      <w:pPr>
        <w:rPr>
          <w:lang w:val="en-AU"/>
        </w:rPr>
      </w:pPr>
      <w:bookmarkStart w:id="11" w:name="_Impact_of_domestic"/>
      <w:bookmarkStart w:id="12" w:name="_Eligibility_and_access"/>
      <w:bookmarkEnd w:id="11"/>
      <w:bookmarkEnd w:id="12"/>
      <w:r w:rsidRPr="006B3BEF">
        <w:rPr>
          <w:lang w:val="en-AU"/>
        </w:rPr>
        <w:t>We t</w:t>
      </w:r>
      <w:r w:rsidR="00F36D71" w:rsidRPr="006B3BEF">
        <w:rPr>
          <w:lang w:val="en-AU"/>
        </w:rPr>
        <w:t xml:space="preserve">hank you for the opportunity to provide input to this consultation. If you would like to discuss the contents of the submission further, please contact Dr Merrindahl Andrew, AWAVA Program Manager, using the details below. </w:t>
      </w:r>
    </w:p>
    <w:p w14:paraId="20EC8B5D" w14:textId="77777777" w:rsidR="00F36D71" w:rsidRPr="006B3BEF" w:rsidRDefault="00F36D71" w:rsidP="00F36D71">
      <w:pPr>
        <w:rPr>
          <w:lang w:val="en-AU"/>
        </w:rPr>
      </w:pPr>
      <w:r w:rsidRPr="006B3BEF">
        <w:rPr>
          <w:lang w:val="en-AU"/>
        </w:rPr>
        <w:t xml:space="preserve">Dr Merrindahl Andrew </w:t>
      </w:r>
    </w:p>
    <w:p w14:paraId="18E99A8A" w14:textId="1B0BB776" w:rsidR="00F36D71" w:rsidRPr="006B3BEF" w:rsidRDefault="00F36D71" w:rsidP="00F36D71">
      <w:pPr>
        <w:rPr>
          <w:lang w:val="en-AU"/>
        </w:rPr>
      </w:pPr>
      <w:r w:rsidRPr="006B3BEF">
        <w:rPr>
          <w:lang w:val="en-AU"/>
        </w:rPr>
        <w:t xml:space="preserve">Program Manager </w:t>
      </w:r>
      <w:r w:rsidR="00440DB3">
        <w:rPr>
          <w:lang w:val="en-AU"/>
        </w:rPr>
        <w:t xml:space="preserve">| </w:t>
      </w:r>
      <w:r w:rsidRPr="006B3BEF">
        <w:rPr>
          <w:lang w:val="en-AU"/>
        </w:rPr>
        <w:t xml:space="preserve">Australian Women Against Violence Alliance </w:t>
      </w:r>
    </w:p>
    <w:p w14:paraId="3C1B9860" w14:textId="677A9BAF" w:rsidR="00FC4713" w:rsidRPr="006B3BEF" w:rsidRDefault="002C4DFB" w:rsidP="00120B12">
      <w:pPr>
        <w:rPr>
          <w:lang w:val="en-AU"/>
        </w:rPr>
      </w:pPr>
      <w:hyperlink r:id="rId8" w:history="1">
        <w:r w:rsidR="00F36D71" w:rsidRPr="006B3BEF">
          <w:rPr>
            <w:rStyle w:val="Hyperlink"/>
            <w:lang w:val="en-AU"/>
          </w:rPr>
          <w:t>www.awava.org.au</w:t>
        </w:r>
      </w:hyperlink>
      <w:r w:rsidR="00F36D71" w:rsidRPr="006B3BEF">
        <w:rPr>
          <w:lang w:val="en-AU"/>
        </w:rPr>
        <w:t xml:space="preserve"> | </w:t>
      </w:r>
      <w:hyperlink r:id="rId9" w:history="1">
        <w:r w:rsidR="00F36D71" w:rsidRPr="006B3BEF">
          <w:rPr>
            <w:rStyle w:val="Hyperlink"/>
            <w:lang w:val="en-AU"/>
          </w:rPr>
          <w:t>pm@awava.org.au</w:t>
        </w:r>
      </w:hyperlink>
      <w:r w:rsidR="00F36D71" w:rsidRPr="006B3BEF">
        <w:rPr>
          <w:lang w:val="en-AU"/>
        </w:rPr>
        <w:t xml:space="preserve">| </w:t>
      </w:r>
      <w:proofErr w:type="spellStart"/>
      <w:r w:rsidR="00F36D71" w:rsidRPr="006B3BEF">
        <w:rPr>
          <w:lang w:val="en-AU"/>
        </w:rPr>
        <w:t>ph</w:t>
      </w:r>
      <w:proofErr w:type="spellEnd"/>
      <w:r w:rsidR="00F36D71" w:rsidRPr="006B3BEF">
        <w:rPr>
          <w:lang w:val="en-AU"/>
        </w:rPr>
        <w:t>: 0428 541 396</w:t>
      </w:r>
    </w:p>
    <w:sectPr w:rsidR="00FC4713" w:rsidRPr="006B3BEF" w:rsidSect="008862C4">
      <w:footerReference w:type="default" r:id="rId10"/>
      <w:headerReference w:type="first" r:id="rId11"/>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D44D" w14:textId="77777777" w:rsidR="002C4DFB" w:rsidRDefault="002C4DFB" w:rsidP="002A5153">
      <w:pPr>
        <w:spacing w:before="0" w:after="0"/>
      </w:pPr>
      <w:r>
        <w:separator/>
      </w:r>
    </w:p>
  </w:endnote>
  <w:endnote w:type="continuationSeparator" w:id="0">
    <w:p w14:paraId="06FE7E22" w14:textId="77777777" w:rsidR="002C4DFB" w:rsidRDefault="002C4DFB" w:rsidP="002A51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Frutig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00490251"/>
      <w:docPartObj>
        <w:docPartGallery w:val="Page Numbers (Bottom of Page)"/>
        <w:docPartUnique/>
      </w:docPartObj>
    </w:sdtPr>
    <w:sdtEndPr/>
    <w:sdtContent>
      <w:sdt>
        <w:sdtPr>
          <w:rPr>
            <w:sz w:val="20"/>
            <w:szCs w:val="20"/>
          </w:rPr>
          <w:id w:val="-213662200"/>
          <w:docPartObj>
            <w:docPartGallery w:val="Page Numbers (Top of Page)"/>
            <w:docPartUnique/>
          </w:docPartObj>
        </w:sdtPr>
        <w:sdtEndPr/>
        <w:sdtContent>
          <w:p w14:paraId="25D06653" w14:textId="63035D4F" w:rsidR="00BE55E8" w:rsidRPr="009D23E9" w:rsidRDefault="00BE55E8">
            <w:pPr>
              <w:pStyle w:val="Footer"/>
              <w:jc w:val="right"/>
              <w:rPr>
                <w:sz w:val="20"/>
                <w:szCs w:val="20"/>
              </w:rPr>
            </w:pPr>
            <w:r w:rsidRPr="009D23E9">
              <w:rPr>
                <w:sz w:val="20"/>
                <w:szCs w:val="20"/>
              </w:rPr>
              <w:t xml:space="preserve">Page </w:t>
            </w:r>
            <w:r w:rsidRPr="009D23E9">
              <w:rPr>
                <w:b/>
                <w:bCs/>
                <w:sz w:val="20"/>
                <w:szCs w:val="20"/>
              </w:rPr>
              <w:fldChar w:fldCharType="begin"/>
            </w:r>
            <w:r w:rsidRPr="009D23E9">
              <w:rPr>
                <w:b/>
                <w:bCs/>
                <w:sz w:val="20"/>
                <w:szCs w:val="20"/>
              </w:rPr>
              <w:instrText xml:space="preserve"> PAGE </w:instrText>
            </w:r>
            <w:r w:rsidRPr="009D23E9">
              <w:rPr>
                <w:b/>
                <w:bCs/>
                <w:sz w:val="20"/>
                <w:szCs w:val="20"/>
              </w:rPr>
              <w:fldChar w:fldCharType="separate"/>
            </w:r>
            <w:r w:rsidR="00151380">
              <w:rPr>
                <w:b/>
                <w:bCs/>
                <w:noProof/>
                <w:sz w:val="20"/>
                <w:szCs w:val="20"/>
              </w:rPr>
              <w:t>8</w:t>
            </w:r>
            <w:r w:rsidRPr="009D23E9">
              <w:rPr>
                <w:b/>
                <w:bCs/>
                <w:sz w:val="20"/>
                <w:szCs w:val="20"/>
              </w:rPr>
              <w:fldChar w:fldCharType="end"/>
            </w:r>
            <w:r w:rsidRPr="009D23E9">
              <w:rPr>
                <w:sz w:val="20"/>
                <w:szCs w:val="20"/>
              </w:rPr>
              <w:t xml:space="preserve"> of </w:t>
            </w:r>
            <w:r w:rsidRPr="009D23E9">
              <w:rPr>
                <w:b/>
                <w:bCs/>
                <w:sz w:val="20"/>
                <w:szCs w:val="20"/>
              </w:rPr>
              <w:fldChar w:fldCharType="begin"/>
            </w:r>
            <w:r w:rsidRPr="009D23E9">
              <w:rPr>
                <w:b/>
                <w:bCs/>
                <w:sz w:val="20"/>
                <w:szCs w:val="20"/>
              </w:rPr>
              <w:instrText xml:space="preserve"> NUMPAGES  </w:instrText>
            </w:r>
            <w:r w:rsidRPr="009D23E9">
              <w:rPr>
                <w:b/>
                <w:bCs/>
                <w:sz w:val="20"/>
                <w:szCs w:val="20"/>
              </w:rPr>
              <w:fldChar w:fldCharType="separate"/>
            </w:r>
            <w:r w:rsidR="00151380">
              <w:rPr>
                <w:b/>
                <w:bCs/>
                <w:noProof/>
                <w:sz w:val="20"/>
                <w:szCs w:val="20"/>
              </w:rPr>
              <w:t>8</w:t>
            </w:r>
            <w:r w:rsidRPr="009D23E9">
              <w:rPr>
                <w:b/>
                <w:bCs/>
                <w:sz w:val="20"/>
                <w:szCs w:val="20"/>
              </w:rPr>
              <w:fldChar w:fldCharType="end"/>
            </w:r>
          </w:p>
        </w:sdtContent>
      </w:sdt>
    </w:sdtContent>
  </w:sdt>
  <w:p w14:paraId="12989C5C" w14:textId="77777777" w:rsidR="00BE55E8" w:rsidRDefault="00BE5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C35AD" w14:textId="77777777" w:rsidR="002C4DFB" w:rsidRDefault="002C4DFB" w:rsidP="002A5153">
      <w:pPr>
        <w:spacing w:before="0" w:after="0"/>
      </w:pPr>
      <w:r>
        <w:separator/>
      </w:r>
    </w:p>
  </w:footnote>
  <w:footnote w:type="continuationSeparator" w:id="0">
    <w:p w14:paraId="68AD86C0" w14:textId="77777777" w:rsidR="002C4DFB" w:rsidRDefault="002C4DFB" w:rsidP="002A5153">
      <w:pPr>
        <w:spacing w:before="0" w:after="0"/>
      </w:pPr>
      <w:r>
        <w:continuationSeparator/>
      </w:r>
    </w:p>
  </w:footnote>
  <w:footnote w:id="1">
    <w:p w14:paraId="7B666C0D"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shd w:val="clear" w:color="auto" w:fill="FFFFFF"/>
        </w:rPr>
        <w:t>Australian Institute of Health and Welfare 2018. Older Australia at a glance. Cat. no. AGE 87. Canberra: AIHW. Viewed 22 January 2020, https://www.aihw.gov.au/reports/older-people/older-australia-at-a-glance</w:t>
      </w:r>
    </w:p>
  </w:footnote>
  <w:footnote w:id="2">
    <w:p w14:paraId="4DC727DF" w14:textId="4BD3028A"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Ibid. </w:t>
      </w:r>
    </w:p>
  </w:footnote>
  <w:footnote w:id="3">
    <w:p w14:paraId="09AF2C2C" w14:textId="2C20586B"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color w:val="000000"/>
          <w:sz w:val="18"/>
          <w:szCs w:val="18"/>
        </w:rPr>
        <w:t xml:space="preserve">National Older Women’s Housing and Homelessness Working Group. 2018. Retiring into Poverty - A National Plan for Change: Increasing housing security for older women. ACT: YWCA Canberra; </w:t>
      </w:r>
      <w:r w:rsidRPr="00661A92">
        <w:rPr>
          <w:rFonts w:ascii="Calibri Light" w:hAnsi="Calibri Light" w:cs="Calibri Light"/>
          <w:sz w:val="18"/>
          <w:szCs w:val="18"/>
        </w:rPr>
        <w:t xml:space="preserve">Australian Human Rights Commission 2019. Older Women’s Risk of Homelessness: Background Paper 2019 ISBN: 978-1-925917-01-7  </w:t>
      </w:r>
      <w:hyperlink r:id="rId1" w:history="1">
        <w:r w:rsidRPr="00661A92">
          <w:rPr>
            <w:rStyle w:val="Hyperlink"/>
            <w:rFonts w:ascii="Calibri Light" w:hAnsi="Calibri Light" w:cs="Calibri Light"/>
            <w:sz w:val="18"/>
            <w:szCs w:val="18"/>
          </w:rPr>
          <w:t>https://www.humanrights.gov.au/our-work/age-discrimination/publications/older-womens-risk-homelessness-background-paper-2019</w:t>
        </w:r>
      </w:hyperlink>
    </w:p>
  </w:footnote>
  <w:footnote w:id="4">
    <w:p w14:paraId="370119E3"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Good Shepard Australia and New Zealand </w:t>
      </w:r>
      <w:r w:rsidRPr="00661A92">
        <w:rPr>
          <w:rFonts w:ascii="Calibri Light" w:hAnsi="Calibri Light" w:cs="Calibri Light"/>
          <w:sz w:val="18"/>
          <w:szCs w:val="18"/>
        </w:rPr>
        <w:t xml:space="preserve">FACT SHEET How does poverty impact women in Australia? </w:t>
      </w:r>
      <w:hyperlink r:id="rId2" w:history="1">
        <w:r w:rsidRPr="00661A92">
          <w:rPr>
            <w:rStyle w:val="Hyperlink"/>
            <w:rFonts w:ascii="Calibri Light" w:hAnsi="Calibri Light" w:cs="Calibri Light"/>
            <w:sz w:val="18"/>
            <w:szCs w:val="18"/>
          </w:rPr>
          <w:t>https://www.goodshep.org.au/media/2168/poverty-in-australia-2018-report_fact-sheet_finaldocx.pdf</w:t>
        </w:r>
      </w:hyperlink>
      <w:r w:rsidRPr="00661A92">
        <w:rPr>
          <w:rFonts w:ascii="Calibri Light" w:hAnsi="Calibri Light" w:cs="Calibri Light"/>
          <w:sz w:val="18"/>
          <w:szCs w:val="18"/>
        </w:rPr>
        <w:t xml:space="preserve"> </w:t>
      </w:r>
    </w:p>
  </w:footnote>
  <w:footnote w:id="5">
    <w:p w14:paraId="404AF82D"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Ibid. </w:t>
      </w:r>
    </w:p>
  </w:footnote>
  <w:footnote w:id="6">
    <w:p w14:paraId="2C0831A6" w14:textId="4EFD1DDC" w:rsidR="00BA76C2" w:rsidRDefault="00BA76C2">
      <w:pPr>
        <w:pStyle w:val="FootnoteText"/>
      </w:pPr>
      <w:r>
        <w:rPr>
          <w:rStyle w:val="FootnoteReference"/>
        </w:rPr>
        <w:footnoteRef/>
      </w:r>
      <w:r>
        <w:t xml:space="preserve"> </w:t>
      </w:r>
      <w:r w:rsidRPr="00BA76C2">
        <w:rPr>
          <w:rFonts w:ascii="Calibri Light" w:hAnsi="Calibri Light" w:cs="Calibri Light"/>
          <w:sz w:val="18"/>
          <w:szCs w:val="18"/>
          <w:lang w:val="en-US"/>
        </w:rPr>
        <w:t>4125.0 - Gender Indicators, Australia, Sep 2017</w:t>
      </w:r>
      <w:r w:rsidRPr="00BA76C2">
        <w:t xml:space="preserve">  </w:t>
      </w:r>
    </w:p>
  </w:footnote>
  <w:footnote w:id="7">
    <w:p w14:paraId="171FA09B"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Davidson, P., Saunders, P., Bradbury, B. and Wong, M. (2018), Poverty in Australia, 2018. ACOSS/UNSW Poverty and Inequality Partnership Report No. 2, Sydney: ACOSS.</w:t>
      </w:r>
    </w:p>
  </w:footnote>
  <w:footnote w:id="8">
    <w:p w14:paraId="33610E03" w14:textId="77777777" w:rsidR="00BE55E8" w:rsidRPr="00661A92" w:rsidRDefault="00BE55E8" w:rsidP="00661A92">
      <w:pPr>
        <w:pStyle w:val="NoSpacing"/>
        <w:jc w:val="left"/>
        <w:rPr>
          <w:rFonts w:ascii="Calibri Light" w:hAnsi="Calibri Light" w:cs="Calibri Light"/>
          <w:sz w:val="18"/>
          <w:szCs w:val="18"/>
          <w:lang w:val="en-US"/>
        </w:rPr>
      </w:pPr>
      <w:r w:rsidRPr="00661A92">
        <w:rPr>
          <w:rFonts w:ascii="Calibri Light" w:hAnsi="Calibri Light" w:cs="Calibri Light"/>
          <w:sz w:val="18"/>
          <w:szCs w:val="18"/>
          <w:vertAlign w:val="superscript"/>
          <w:lang w:val="en-US"/>
        </w:rPr>
        <w:footnoteRef/>
      </w:r>
      <w:r w:rsidRPr="00661A92">
        <w:rPr>
          <w:rFonts w:ascii="Calibri Light" w:hAnsi="Calibri Light" w:cs="Calibri Light"/>
          <w:sz w:val="18"/>
          <w:szCs w:val="18"/>
          <w:lang w:val="en-US"/>
        </w:rPr>
        <w:t xml:space="preserve"> Price Waterhouse Coopers (PWC) (2011) </w:t>
      </w:r>
      <w:hyperlink r:id="rId3" w:history="1">
        <w:r w:rsidRPr="00661A92">
          <w:rPr>
            <w:rFonts w:ascii="Calibri Light" w:hAnsi="Calibri Light" w:cs="Calibri Light"/>
            <w:sz w:val="18"/>
            <w:szCs w:val="18"/>
          </w:rPr>
          <w:t>Disability expectations: Investing in a better life, a stronger Australia</w:t>
        </w:r>
      </w:hyperlink>
    </w:p>
  </w:footnote>
  <w:footnote w:id="9">
    <w:p w14:paraId="2D63494E" w14:textId="77777777" w:rsidR="00BE55E8" w:rsidRPr="00661A92" w:rsidRDefault="00BE55E8" w:rsidP="00661A92">
      <w:pPr>
        <w:pStyle w:val="NoSpacing"/>
        <w:jc w:val="left"/>
        <w:rPr>
          <w:rFonts w:ascii="Calibri Light" w:hAnsi="Calibri Light" w:cs="Calibri Light"/>
          <w:sz w:val="18"/>
          <w:szCs w:val="18"/>
          <w:lang w:val="en-US"/>
        </w:rPr>
      </w:pPr>
      <w:r w:rsidRPr="00661A92">
        <w:rPr>
          <w:rFonts w:ascii="Calibri Light" w:hAnsi="Calibri Light" w:cs="Calibri Light"/>
          <w:sz w:val="18"/>
          <w:szCs w:val="18"/>
          <w:vertAlign w:val="superscript"/>
          <w:lang w:val="en-US"/>
        </w:rPr>
        <w:footnoteRef/>
      </w:r>
      <w:r w:rsidRPr="00661A92">
        <w:rPr>
          <w:rFonts w:ascii="Calibri Light" w:hAnsi="Calibri Light" w:cs="Calibri Light"/>
          <w:sz w:val="18"/>
          <w:szCs w:val="18"/>
          <w:vertAlign w:val="superscript"/>
          <w:lang w:val="en-US"/>
        </w:rPr>
        <w:t xml:space="preserve"> </w:t>
      </w:r>
      <w:r w:rsidRPr="00661A92">
        <w:rPr>
          <w:rFonts w:ascii="Calibri Light" w:hAnsi="Calibri Light" w:cs="Calibri Light"/>
          <w:sz w:val="18"/>
          <w:szCs w:val="18"/>
          <w:lang w:val="en-US"/>
        </w:rPr>
        <w:t>Markham F &amp; Biddle N (2018): Income, poverty and inequality - Census Paper 2, Centre for Aboriginal Economic Policy Research, Australian National University, Canberra</w:t>
      </w:r>
    </w:p>
  </w:footnote>
  <w:footnote w:id="10">
    <w:p w14:paraId="5500025C"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Davidson, P., Saunders, P., Bradbury, B. and Wong, M. (2018), Poverty in Australia, 2018. ACOSS/UNSW Poverty and Inequality Partnership Report No. 2, Sydney: ACOSS.</w:t>
      </w:r>
    </w:p>
  </w:footnote>
  <w:footnote w:id="11">
    <w:p w14:paraId="4D5C8D8A" w14:textId="664392FD" w:rsidR="00BE55E8" w:rsidRPr="00661A92" w:rsidRDefault="00BE55E8" w:rsidP="00661A92">
      <w:pPr>
        <w:pStyle w:val="NoSpacing"/>
        <w:jc w:val="left"/>
        <w:rPr>
          <w:rFonts w:ascii="Calibri Light" w:hAnsi="Calibri Light" w:cs="Calibri Light"/>
          <w:sz w:val="18"/>
          <w:szCs w:val="18"/>
          <w:lang w:val="en-US"/>
        </w:rPr>
      </w:pPr>
      <w:r w:rsidRPr="00661A92">
        <w:rPr>
          <w:rFonts w:ascii="Calibri Light" w:hAnsi="Calibri Light" w:cs="Calibri Light"/>
          <w:sz w:val="18"/>
          <w:szCs w:val="18"/>
          <w:vertAlign w:val="superscript"/>
        </w:rPr>
        <w:footnoteRef/>
      </w:r>
      <w:r w:rsidRPr="00661A92">
        <w:rPr>
          <w:rFonts w:ascii="Calibri Light" w:hAnsi="Calibri Light" w:cs="Calibri Light"/>
          <w:sz w:val="18"/>
          <w:szCs w:val="18"/>
          <w:vertAlign w:val="superscript"/>
        </w:rPr>
        <w:t xml:space="preserve"> </w:t>
      </w:r>
      <w:r w:rsidRPr="00661A92">
        <w:rPr>
          <w:rFonts w:ascii="Calibri Light" w:hAnsi="Calibri Light" w:cs="Calibri Light"/>
          <w:sz w:val="18"/>
          <w:szCs w:val="18"/>
        </w:rPr>
        <w:t>The Organisation for Economic Co-operation and Development https://www.oecd.org/els/soc/lgbti.htm</w:t>
      </w:r>
      <w:r w:rsidRPr="00661A92">
        <w:rPr>
          <w:rFonts w:ascii="Calibri Light" w:hAnsi="Calibri Light" w:cs="Calibri Light"/>
          <w:color w:val="000000"/>
          <w:sz w:val="18"/>
          <w:szCs w:val="18"/>
        </w:rPr>
        <w:t xml:space="preserve"> </w:t>
      </w:r>
      <w:r w:rsidRPr="00661A92">
        <w:rPr>
          <w:rFonts w:ascii="Calibri Light" w:hAnsi="Calibri Light" w:cs="Calibri Light"/>
          <w:sz w:val="18"/>
          <w:szCs w:val="18"/>
        </w:rPr>
        <w:t xml:space="preserve"> </w:t>
      </w:r>
    </w:p>
  </w:footnote>
  <w:footnote w:id="12">
    <w:p w14:paraId="35C8E371" w14:textId="1ACBE8A9" w:rsidR="00BE55E8" w:rsidRPr="00661A92" w:rsidRDefault="00BE55E8" w:rsidP="00661A92">
      <w:pPr>
        <w:pStyle w:val="FootnoteTex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NSW Council of Social Service (2015) Beyond the myth of ‘pink privilege’: Poverty, disadvantage and LGBTI people in NSW </w:t>
      </w:r>
      <w:hyperlink r:id="rId4" w:history="1">
        <w:r w:rsidRPr="00661A92">
          <w:rPr>
            <w:rStyle w:val="Hyperlink"/>
            <w:rFonts w:ascii="Calibri Light" w:hAnsi="Calibri Light" w:cs="Calibri Light"/>
            <w:sz w:val="18"/>
            <w:szCs w:val="18"/>
          </w:rPr>
          <w:t>https://www.ncoss.org.au/sites/default/files/public/policy/LGBTIPovertyNCOSSLaunch_FINAL.pdf</w:t>
        </w:r>
      </w:hyperlink>
    </w:p>
  </w:footnote>
  <w:footnote w:id="13">
    <w:p w14:paraId="28AA9999" w14:textId="2D9D5149" w:rsidR="00BE55E8" w:rsidRPr="00661A92" w:rsidRDefault="00BE55E8" w:rsidP="00661A92">
      <w:pPr>
        <w:pStyle w:val="FootnoteTex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ACOSS, Poverty in Australia (2018) https://www.acoss.org.au/wpcontent/uploads/2018/10/ACOSS_Poverty-in-Australia-Report_Web-Final.pdf</w:t>
      </w:r>
    </w:p>
  </w:footnote>
  <w:footnote w:id="14">
    <w:p w14:paraId="7C677921" w14:textId="77777777" w:rsidR="00BE55E8" w:rsidRPr="00661A92" w:rsidRDefault="00BE55E8" w:rsidP="00661A92">
      <w:pPr>
        <w:pStyle w:val="NoSpacing"/>
        <w:jc w:val="left"/>
        <w:rPr>
          <w:rFonts w:ascii="Calibri Light" w:hAnsi="Calibri Light" w:cs="Calibri Light"/>
          <w:sz w:val="18"/>
          <w:szCs w:val="18"/>
        </w:rPr>
      </w:pPr>
      <w:r w:rsidRPr="00661A92">
        <w:rPr>
          <w:rFonts w:ascii="Calibri Light" w:hAnsi="Calibri Light" w:cs="Calibri Light"/>
          <w:sz w:val="18"/>
          <w:szCs w:val="18"/>
          <w:vertAlign w:val="superscript"/>
          <w:lang w:val="en-US"/>
        </w:rPr>
        <w:footnoteRef/>
      </w:r>
      <w:r w:rsidRPr="00661A92">
        <w:rPr>
          <w:rFonts w:ascii="Calibri Light" w:hAnsi="Calibri Light" w:cs="Calibri Light"/>
          <w:sz w:val="18"/>
          <w:szCs w:val="18"/>
          <w:vertAlign w:val="superscript"/>
          <w:lang w:val="en-US"/>
        </w:rPr>
        <w:t xml:space="preserve"> </w:t>
      </w:r>
      <w:r w:rsidRPr="00661A92">
        <w:rPr>
          <w:rFonts w:ascii="Calibri Light" w:hAnsi="Calibri Light" w:cs="Calibri Light"/>
          <w:sz w:val="18"/>
          <w:szCs w:val="18"/>
          <w:lang w:val="en-US"/>
        </w:rPr>
        <w:t>Australian</w:t>
      </w:r>
      <w:r w:rsidRPr="00661A92">
        <w:rPr>
          <w:rFonts w:ascii="Calibri Light" w:hAnsi="Calibri Light" w:cs="Calibri Light"/>
          <w:sz w:val="18"/>
          <w:szCs w:val="18"/>
        </w:rPr>
        <w:t xml:space="preserve"> Council of Social Service (2014) </w:t>
      </w:r>
      <w:r w:rsidRPr="00661A92">
        <w:rPr>
          <w:rFonts w:ascii="Calibri Light" w:hAnsi="Calibri Light" w:cs="Calibri Light"/>
          <w:i/>
          <w:sz w:val="18"/>
          <w:szCs w:val="18"/>
        </w:rPr>
        <w:t>Poverty in Australia: 2014</w:t>
      </w:r>
      <w:r w:rsidRPr="00661A92">
        <w:rPr>
          <w:rFonts w:ascii="Calibri Light" w:hAnsi="Calibri Light" w:cs="Calibri Light"/>
          <w:sz w:val="18"/>
          <w:szCs w:val="18"/>
        </w:rPr>
        <w:t xml:space="preserve">, p. 17, Available at </w:t>
      </w:r>
      <w:hyperlink r:id="rId5" w:history="1">
        <w:r w:rsidRPr="00661A92">
          <w:rPr>
            <w:rStyle w:val="Hyperlink"/>
            <w:rFonts w:ascii="Calibri Light" w:hAnsi="Calibri Light" w:cs="Calibri Light"/>
            <w:sz w:val="18"/>
            <w:szCs w:val="18"/>
          </w:rPr>
          <w:t>http://www.acoss.org.au/images/uploads/ACOSS_Poverty_in_Australia_2014.pdf</w:t>
        </w:r>
      </w:hyperlink>
      <w:r w:rsidRPr="00661A92">
        <w:rPr>
          <w:rFonts w:ascii="Calibri Light" w:hAnsi="Calibri Light" w:cs="Calibri Light"/>
          <w:sz w:val="18"/>
          <w:szCs w:val="18"/>
        </w:rPr>
        <w:t xml:space="preserve"> </w:t>
      </w:r>
    </w:p>
  </w:footnote>
  <w:footnote w:id="15">
    <w:p w14:paraId="75261CF4"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Bureau of Statistics, </w:t>
      </w:r>
      <w:hyperlink r:id="rId6" w:history="1">
        <w:r w:rsidRPr="00661A92">
          <w:rPr>
            <w:rFonts w:ascii="Calibri Light" w:hAnsi="Calibri Light" w:cs="Calibri Light"/>
            <w:sz w:val="18"/>
            <w:szCs w:val="18"/>
          </w:rPr>
          <w:t>4125.0 - Gender Indicators, Australia, Jan 2012: Caring for Children</w:t>
        </w:r>
      </w:hyperlink>
      <w:r w:rsidRPr="00661A92">
        <w:rPr>
          <w:rFonts w:ascii="Calibri Light" w:hAnsi="Calibri Light" w:cs="Calibri Light"/>
          <w:sz w:val="18"/>
          <w:szCs w:val="18"/>
        </w:rPr>
        <w:t> (February 2012).</w:t>
      </w:r>
    </w:p>
  </w:footnote>
  <w:footnote w:id="16">
    <w:p w14:paraId="5231B114"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Style w:val="A1"/>
          <w:rFonts w:ascii="Calibri Light" w:hAnsi="Calibri Light" w:cs="Calibri Light"/>
          <w:sz w:val="18"/>
          <w:szCs w:val="18"/>
        </w:rPr>
        <w:t>Australian Bureau of Statistics, </w:t>
      </w:r>
      <w:hyperlink r:id="rId7" w:history="1">
        <w:r w:rsidRPr="00661A92">
          <w:rPr>
            <w:rStyle w:val="A1"/>
            <w:rFonts w:ascii="Calibri Light" w:hAnsi="Calibri Light" w:cs="Calibri Light"/>
            <w:sz w:val="18"/>
            <w:szCs w:val="18"/>
          </w:rPr>
          <w:t>4153.0-How Australians Use Their Time, 2006</w:t>
        </w:r>
      </w:hyperlink>
      <w:r w:rsidRPr="00661A92">
        <w:rPr>
          <w:rStyle w:val="A1"/>
          <w:rFonts w:ascii="Calibri Light" w:hAnsi="Calibri Light" w:cs="Calibri Light"/>
          <w:sz w:val="18"/>
          <w:szCs w:val="18"/>
        </w:rPr>
        <w:t> (February 2008).</w:t>
      </w:r>
    </w:p>
  </w:footnote>
  <w:footnote w:id="17">
    <w:p w14:paraId="57633098" w14:textId="77777777" w:rsidR="00BE55E8" w:rsidRPr="00661A92" w:rsidRDefault="00BE55E8" w:rsidP="00661A92">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Workplace Gender Equality Agency (2015) </w:t>
      </w:r>
      <w:r w:rsidRPr="00661A92">
        <w:rPr>
          <w:rFonts w:ascii="Calibri Light" w:hAnsi="Calibri Light" w:cs="Calibri Light"/>
          <w:i/>
          <w:sz w:val="18"/>
          <w:szCs w:val="18"/>
        </w:rPr>
        <w:t>Gender Pay Gap Statistics</w:t>
      </w:r>
      <w:r w:rsidRPr="00661A92">
        <w:rPr>
          <w:rFonts w:ascii="Calibri Light" w:hAnsi="Calibri Light" w:cs="Calibri Light"/>
          <w:sz w:val="18"/>
          <w:szCs w:val="18"/>
        </w:rPr>
        <w:t xml:space="preserve">, Available at </w:t>
      </w:r>
      <w:hyperlink r:id="rId8" w:history="1">
        <w:r w:rsidRPr="00661A92">
          <w:rPr>
            <w:rStyle w:val="Hyperlink"/>
            <w:rFonts w:ascii="Calibri Light" w:hAnsi="Calibri Light" w:cs="Calibri Light"/>
            <w:sz w:val="18"/>
            <w:szCs w:val="18"/>
          </w:rPr>
          <w:t>https://www.wgea.gov.au/sites/default/files/Gender_Pay_Gap_Factsheet.pdf</w:t>
        </w:r>
      </w:hyperlink>
      <w:r w:rsidRPr="00661A92">
        <w:rPr>
          <w:rFonts w:ascii="Calibri Light" w:hAnsi="Calibri Light" w:cs="Calibri Light"/>
          <w:sz w:val="18"/>
          <w:szCs w:val="18"/>
        </w:rPr>
        <w:t xml:space="preserve"> </w:t>
      </w:r>
    </w:p>
  </w:footnote>
  <w:footnote w:id="18">
    <w:p w14:paraId="7DF7EFCD"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hyperlink r:id="rId9" w:history="1">
        <w:r w:rsidRPr="00661A92">
          <w:rPr>
            <w:rStyle w:val="Hyperlink"/>
            <w:rFonts w:ascii="Calibri Light" w:hAnsi="Calibri Light" w:cs="Calibri Light"/>
            <w:sz w:val="18"/>
            <w:szCs w:val="18"/>
          </w:rPr>
          <w:t>https://www.abs.gov.au/AUSSTATS/Abs@.Nsf/7d12b0f6763c78caca257061001cc588/5f17e6c26744e1d1ca25823800728282!OpenDocument</w:t>
        </w:r>
      </w:hyperlink>
    </w:p>
  </w:footnote>
  <w:footnote w:id="19">
    <w:p w14:paraId="103F30D3" w14:textId="1DD42A7E" w:rsidR="00BE55E8" w:rsidRPr="00661A92" w:rsidRDefault="00BE55E8" w:rsidP="00661A92">
      <w:pPr>
        <w:pStyle w:val="FootnoteTex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National Aboriginal and Torres Strait Islander Women’s Alliance (2015) submission to the Senate Standing Committee on Economics enquiry on economic security for women in retirement. Aboriginal and Torres Strait Islander Women and Superannuation.</w:t>
      </w:r>
      <w:r w:rsidRPr="00661A92">
        <w:rPr>
          <w:rFonts w:ascii="Calibri Light" w:hAnsi="Calibri Light" w:cs="Calibri Light"/>
          <w:sz w:val="18"/>
          <w:szCs w:val="18"/>
          <w:lang w:val="en-US"/>
        </w:rPr>
        <w:t xml:space="preserve"> </w:t>
      </w:r>
    </w:p>
  </w:footnote>
  <w:footnote w:id="20">
    <w:p w14:paraId="5F668B4A" w14:textId="35CD2F95" w:rsidR="00BE55E8" w:rsidRPr="00661A92" w:rsidRDefault="00BE55E8" w:rsidP="00661A92">
      <w:pPr>
        <w:pStyle w:val="FootnoteTex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Submission to Independent Inquiry into Insecure Work’, (ACT: FECCA). Available at </w:t>
      </w:r>
      <w:hyperlink r:id="rId10" w:history="1">
        <w:r w:rsidRPr="00661A92">
          <w:rPr>
            <w:rStyle w:val="Hyperlink"/>
            <w:rFonts w:ascii="Calibri Light" w:hAnsi="Calibri Light" w:cs="Calibri Light"/>
            <w:sz w:val="18"/>
            <w:szCs w:val="18"/>
          </w:rPr>
          <w:t>http://fecca.org.au/wp-content/uploads/2017/07/Independent-Inquiry-into-Insecure-Worksubmissionv_02.pdf</w:t>
        </w:r>
      </w:hyperlink>
      <w:r w:rsidRPr="00661A92">
        <w:rPr>
          <w:rFonts w:ascii="Calibri Light" w:hAnsi="Calibri Light" w:cs="Calibri Light"/>
          <w:sz w:val="18"/>
          <w:szCs w:val="18"/>
        </w:rPr>
        <w:t xml:space="preserve"> </w:t>
      </w:r>
    </w:p>
  </w:footnote>
  <w:footnote w:id="21">
    <w:p w14:paraId="42CFA40E" w14:textId="13F8997A" w:rsidR="00BE55E8" w:rsidRPr="0031660E" w:rsidRDefault="00BE55E8">
      <w:pPr>
        <w:pStyle w:val="FootnoteText"/>
        <w:rPr>
          <w:rFonts w:asciiTheme="majorHAnsi" w:hAnsiTheme="majorHAnsi" w:cstheme="majorHAnsi"/>
          <w:lang w:val="en-US"/>
        </w:rPr>
      </w:pPr>
      <w:r w:rsidRPr="0031660E">
        <w:rPr>
          <w:rStyle w:val="FootnoteReference"/>
          <w:rFonts w:asciiTheme="majorHAnsi" w:hAnsiTheme="majorHAnsi" w:cstheme="majorHAnsi"/>
          <w:sz w:val="18"/>
        </w:rPr>
        <w:footnoteRef/>
      </w:r>
      <w:r w:rsidRPr="0031660E">
        <w:rPr>
          <w:rFonts w:asciiTheme="majorHAnsi" w:hAnsiTheme="majorHAnsi" w:cstheme="majorHAnsi"/>
          <w:sz w:val="18"/>
        </w:rPr>
        <w:t xml:space="preserve"> See: Australian Bureau of Statistics, Disability, Ageing and Carers, Australia: First Results, 2015 (Cat. No. 4430.0.10.001); People with disability were significantly more likely to still be looking for a job 13 weeks or longer after they first started (65.5%) compared with those without disability (56.1%), Australian Bureau of Statistics, Disability and Labour Force Participation, 2012 (2015); See also: Price Waterhouse Coopers (2011) Disability Expectations: Investing in a better life, a stronger Australia. See also: Australian Institute of Health and Welfare 2017. Australia’s welfare 2017. Australia’s welfare series no. 13. AUS 214. Canberra: AIHW. See: Australian Human Rights Commission (2016) Willing to Work: National Inquiry into Employment Discrimination Against Older Australians and Australians with Disability, AHRC, Sydney.</w:t>
      </w:r>
    </w:p>
  </w:footnote>
  <w:footnote w:id="22">
    <w:p w14:paraId="00C7CB7B" w14:textId="373C5E5B" w:rsidR="00BE55E8" w:rsidRPr="0031660E" w:rsidRDefault="00BE55E8">
      <w:pPr>
        <w:pStyle w:val="FootnoteText"/>
        <w:rPr>
          <w:rFonts w:asciiTheme="majorHAnsi" w:hAnsiTheme="majorHAnsi" w:cstheme="majorHAnsi"/>
          <w:lang w:val="en-US"/>
        </w:rPr>
      </w:pPr>
      <w:r w:rsidRPr="0031660E">
        <w:rPr>
          <w:rStyle w:val="FootnoteReference"/>
          <w:rFonts w:asciiTheme="majorHAnsi" w:hAnsiTheme="majorHAnsi" w:cstheme="majorHAnsi"/>
          <w:sz w:val="18"/>
        </w:rPr>
        <w:footnoteRef/>
      </w:r>
      <w:r w:rsidRPr="0031660E">
        <w:rPr>
          <w:rFonts w:asciiTheme="majorHAnsi" w:hAnsiTheme="majorHAnsi" w:cstheme="majorHAnsi"/>
          <w:sz w:val="18"/>
        </w:rPr>
        <w:t xml:space="preserve"> Joint Position Paper from Disabled People’s Organisations Australia (DPO Australia) and the National Women’s Alliances (2019) The Status of Women and Girls with Disability in Australia. Position paper to the Commission on the Status of Women (CSW) Twenty Fifth Anniversary of the Fourth World’s Conference on Women and the Beijing Declaration and Platform for Action (1995). </w:t>
      </w:r>
    </w:p>
  </w:footnote>
  <w:footnote w:id="23">
    <w:p w14:paraId="2DCA3DAA" w14:textId="4F8F4B93" w:rsidR="00BE55E8" w:rsidRPr="00022646" w:rsidRDefault="00BE55E8">
      <w:pPr>
        <w:pStyle w:val="FootnoteText"/>
        <w:rPr>
          <w:rFonts w:asciiTheme="majorHAnsi" w:hAnsiTheme="majorHAnsi" w:cstheme="majorHAnsi"/>
          <w:sz w:val="18"/>
          <w:szCs w:val="18"/>
          <w:lang w:val="en-US"/>
        </w:rPr>
      </w:pPr>
      <w:r w:rsidRPr="0031660E">
        <w:rPr>
          <w:rStyle w:val="FootnoteReference"/>
          <w:rFonts w:asciiTheme="majorHAnsi" w:hAnsiTheme="majorHAnsi" w:cstheme="majorHAnsi"/>
          <w:sz w:val="18"/>
        </w:rPr>
        <w:footnoteRef/>
      </w:r>
      <w:r w:rsidRPr="0031660E">
        <w:rPr>
          <w:rFonts w:asciiTheme="majorHAnsi" w:hAnsiTheme="majorHAnsi" w:cstheme="majorHAnsi"/>
          <w:sz w:val="18"/>
        </w:rPr>
        <w:t xml:space="preserve"> Women with Disabilities Australia (WWDA), (2014) ‘Gender Blind, Gender Neutral’: The effectiveness of the National Disability </w:t>
      </w:r>
      <w:r w:rsidRPr="00022646">
        <w:rPr>
          <w:rFonts w:asciiTheme="majorHAnsi" w:hAnsiTheme="majorHAnsi" w:cstheme="majorHAnsi"/>
          <w:sz w:val="18"/>
          <w:szCs w:val="18"/>
        </w:rPr>
        <w:t>Strategy in improving the lives of women and girls with disabilities. WWDA, Hobart, Tasmania, ISBN: 978-0-9585268-2-1.</w:t>
      </w:r>
    </w:p>
  </w:footnote>
  <w:footnote w:id="24">
    <w:p w14:paraId="134C1961"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Workplace Gender Equality Agency </w:t>
      </w:r>
      <w:hyperlink r:id="rId11" w:history="1">
        <w:r w:rsidRPr="00661A92">
          <w:rPr>
            <w:rStyle w:val="Hyperlink"/>
            <w:rFonts w:ascii="Calibri Light" w:hAnsi="Calibri Light" w:cs="Calibri Light"/>
            <w:sz w:val="18"/>
            <w:szCs w:val="18"/>
          </w:rPr>
          <w:t>https://www.wgea.gov.au/data/fact-sheets/australias-gender-pay-gap-statistics</w:t>
        </w:r>
      </w:hyperlink>
    </w:p>
  </w:footnote>
  <w:footnote w:id="25">
    <w:p w14:paraId="69764FC4"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Style w:val="A1"/>
          <w:rFonts w:ascii="Calibri Light" w:hAnsi="Calibri Light" w:cs="Calibri Light"/>
          <w:sz w:val="18"/>
          <w:szCs w:val="18"/>
        </w:rPr>
        <w:t xml:space="preserve">Australian Institute of Superannuation Trustees, Women in Super (2016) Women’s </w:t>
      </w:r>
      <w:proofErr w:type="spellStart"/>
      <w:r w:rsidRPr="00661A92">
        <w:rPr>
          <w:rStyle w:val="A1"/>
          <w:rFonts w:ascii="Calibri Light" w:hAnsi="Calibri Light" w:cs="Calibri Light"/>
          <w:sz w:val="18"/>
          <w:szCs w:val="18"/>
        </w:rPr>
        <w:t>Super Summit</w:t>
      </w:r>
      <w:proofErr w:type="spellEnd"/>
      <w:r w:rsidRPr="00661A92">
        <w:rPr>
          <w:rStyle w:val="A1"/>
          <w:rFonts w:ascii="Calibri Light" w:hAnsi="Calibri Light" w:cs="Calibri Light"/>
          <w:sz w:val="18"/>
          <w:szCs w:val="18"/>
        </w:rPr>
        <w:t xml:space="preserve"> 2016</w:t>
      </w:r>
    </w:p>
  </w:footnote>
  <w:footnote w:id="26">
    <w:p w14:paraId="7ADEEE83"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R </w:t>
      </w:r>
      <w:proofErr w:type="spellStart"/>
      <w:r w:rsidRPr="00661A92">
        <w:rPr>
          <w:rFonts w:ascii="Calibri Light" w:hAnsi="Calibri Light" w:cs="Calibri Light"/>
          <w:sz w:val="18"/>
          <w:szCs w:val="18"/>
        </w:rPr>
        <w:t>Tanton</w:t>
      </w:r>
      <w:proofErr w:type="spellEnd"/>
      <w:r w:rsidRPr="00661A92">
        <w:rPr>
          <w:rFonts w:ascii="Calibri Light" w:hAnsi="Calibri Light" w:cs="Calibri Light"/>
          <w:sz w:val="18"/>
          <w:szCs w:val="18"/>
        </w:rPr>
        <w:t xml:space="preserve">, Y </w:t>
      </w:r>
      <w:proofErr w:type="spellStart"/>
      <w:r w:rsidRPr="00661A92">
        <w:rPr>
          <w:rFonts w:ascii="Calibri Light" w:hAnsi="Calibri Light" w:cs="Calibri Light"/>
          <w:sz w:val="18"/>
          <w:szCs w:val="18"/>
        </w:rPr>
        <w:t>Vidyattama</w:t>
      </w:r>
      <w:proofErr w:type="spellEnd"/>
      <w:r w:rsidRPr="00661A92">
        <w:rPr>
          <w:rFonts w:ascii="Calibri Light" w:hAnsi="Calibri Light" w:cs="Calibri Light"/>
          <w:sz w:val="18"/>
          <w:szCs w:val="18"/>
        </w:rPr>
        <w:t xml:space="preserve">, J McNamara, Q </w:t>
      </w:r>
      <w:proofErr w:type="spellStart"/>
      <w:r w:rsidRPr="00661A92">
        <w:rPr>
          <w:rFonts w:ascii="Calibri Light" w:hAnsi="Calibri Light" w:cs="Calibri Light"/>
          <w:sz w:val="18"/>
          <w:szCs w:val="18"/>
        </w:rPr>
        <w:t>Ngu</w:t>
      </w:r>
      <w:proofErr w:type="spellEnd"/>
      <w:r w:rsidRPr="00661A92">
        <w:rPr>
          <w:rFonts w:ascii="Calibri Light" w:hAnsi="Calibri Light" w:cs="Calibri Light"/>
          <w:sz w:val="18"/>
          <w:szCs w:val="18"/>
        </w:rPr>
        <w:t xml:space="preserve"> Vu &amp; A Harding, </w:t>
      </w:r>
      <w:hyperlink r:id="rId12" w:history="1">
        <w:r w:rsidRPr="00661A92">
          <w:rPr>
            <w:rFonts w:ascii="Calibri Light" w:hAnsi="Calibri Light" w:cs="Calibri Light"/>
            <w:sz w:val="18"/>
            <w:szCs w:val="18"/>
          </w:rPr>
          <w:t>Old Single and Poor: Using Microsimulation and Microdata to Analyse Poverty and the Impact of Policy Change Among Older Australians</w:t>
        </w:r>
      </w:hyperlink>
      <w:r w:rsidRPr="00661A92">
        <w:rPr>
          <w:rFonts w:ascii="Calibri Light" w:hAnsi="Calibri Light" w:cs="Calibri Light"/>
          <w:sz w:val="18"/>
          <w:szCs w:val="18"/>
        </w:rPr>
        <w:t> (2008) p 15.</w:t>
      </w:r>
    </w:p>
  </w:footnote>
  <w:footnote w:id="27">
    <w:p w14:paraId="5E17022C" w14:textId="77777777" w:rsidR="00BE55E8" w:rsidRPr="00661A92" w:rsidRDefault="00BE55E8" w:rsidP="00661A92">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Wilkins, R (2015), The Household, Income and Labour Dynamics in Australia Survey: Selected findings from Waves 1-12. Melbourne Institute of Applied Economic and Social Research, viewed 21 September 2016, available: </w:t>
      </w:r>
      <w:hyperlink r:id="rId13" w:history="1">
        <w:r w:rsidRPr="00661A92">
          <w:rPr>
            <w:rStyle w:val="Hyperlink"/>
            <w:rFonts w:ascii="Calibri Light" w:hAnsi="Calibri Light" w:cs="Calibri Light"/>
            <w:sz w:val="18"/>
            <w:szCs w:val="18"/>
          </w:rPr>
          <w:t>https://www.melbourneinstitute.com/downloads/hilda/Stat_Report/statreport_2015.pdf</w:t>
        </w:r>
      </w:hyperlink>
      <w:r w:rsidRPr="00661A92">
        <w:rPr>
          <w:rFonts w:ascii="Calibri Light" w:hAnsi="Calibri Light" w:cs="Calibri Light"/>
          <w:sz w:val="18"/>
          <w:szCs w:val="18"/>
        </w:rPr>
        <w:t xml:space="preserve"> </w:t>
      </w:r>
    </w:p>
  </w:footnote>
  <w:footnote w:id="28">
    <w:p w14:paraId="1569C160" w14:textId="12CDF438" w:rsidR="00BE55E8" w:rsidRPr="00661A92" w:rsidRDefault="00BE55E8" w:rsidP="00661A92">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color w:val="000000"/>
          <w:sz w:val="18"/>
          <w:szCs w:val="18"/>
        </w:rPr>
        <w:t xml:space="preserve">The Association of Superannuation Funds of Australia Limited (2017) Superannuation accounts balances by age and gender. </w:t>
      </w:r>
    </w:p>
  </w:footnote>
  <w:footnote w:id="29">
    <w:p w14:paraId="1FEF5750" w14:textId="5EBBECF7" w:rsidR="00BE55E8" w:rsidRPr="0056682D" w:rsidRDefault="00BE55E8">
      <w:pPr>
        <w:pStyle w:val="FootnoteText"/>
        <w:rPr>
          <w:rFonts w:asciiTheme="majorHAnsi" w:hAnsiTheme="majorHAnsi" w:cstheme="majorHAnsi"/>
          <w:lang w:val="en-US"/>
        </w:rPr>
      </w:pPr>
      <w:r w:rsidRPr="0056682D">
        <w:rPr>
          <w:rStyle w:val="FootnoteReference"/>
          <w:rFonts w:asciiTheme="majorHAnsi" w:hAnsiTheme="majorHAnsi" w:cstheme="majorHAnsi"/>
          <w:sz w:val="18"/>
        </w:rPr>
        <w:footnoteRef/>
      </w:r>
      <w:r w:rsidRPr="0056682D">
        <w:rPr>
          <w:rFonts w:asciiTheme="majorHAnsi" w:hAnsiTheme="majorHAnsi" w:cstheme="majorHAnsi"/>
          <w:sz w:val="18"/>
        </w:rPr>
        <w:t xml:space="preserve"> </w:t>
      </w:r>
      <w:r w:rsidRPr="0056682D">
        <w:rPr>
          <w:rFonts w:asciiTheme="majorHAnsi" w:hAnsiTheme="majorHAnsi" w:cstheme="majorHAnsi"/>
          <w:sz w:val="18"/>
          <w:lang w:val="en-US"/>
        </w:rPr>
        <w:t xml:space="preserve">Ibid. </w:t>
      </w:r>
    </w:p>
  </w:footnote>
  <w:footnote w:id="30">
    <w:p w14:paraId="458C17D4"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Institute of Health and Welfare 2018. Family, domestic and sexual violence in Australia 2018. Cat. no. FDV 2. Canberra: AIHW; ABS 2017b. Personal Safety Survey 2016. ABS cat. no. 4906.0. Canberra: ABS; Bryant &amp; </w:t>
      </w:r>
      <w:proofErr w:type="spellStart"/>
      <w:r w:rsidRPr="00661A92">
        <w:rPr>
          <w:rFonts w:ascii="Calibri Light" w:hAnsi="Calibri Light" w:cs="Calibri Light"/>
          <w:sz w:val="18"/>
          <w:szCs w:val="18"/>
        </w:rPr>
        <w:t>Bricknell</w:t>
      </w:r>
      <w:proofErr w:type="spellEnd"/>
      <w:r w:rsidRPr="00661A92">
        <w:rPr>
          <w:rFonts w:ascii="Calibri Light" w:hAnsi="Calibri Light" w:cs="Calibri Light"/>
          <w:sz w:val="18"/>
          <w:szCs w:val="18"/>
        </w:rPr>
        <w:t xml:space="preserve"> 2017. Homicide in Australia 2012–13 to 2013–14: National Homicide Monitoring Program Report. Canberra: AIC; https://anrows.org.au/resources/media/media-releases/intimate-partner-violence-contributes-highest-health-risk- women-aged; </w:t>
      </w:r>
      <w:hyperlink r:id="rId14" w:history="1">
        <w:r w:rsidRPr="00661A92">
          <w:rPr>
            <w:rStyle w:val="Hyperlink"/>
            <w:rFonts w:ascii="Calibri Light" w:hAnsi="Calibri Light" w:cs="Calibri Light"/>
            <w:sz w:val="18"/>
            <w:szCs w:val="18"/>
          </w:rPr>
          <w:t>https://www.aihw.gov.au/reports/homelessness-services/specialist-homelessness-services-2016-17/contents/clients-services-and-outcomes</w:t>
        </w:r>
      </w:hyperlink>
      <w:r w:rsidRPr="00661A92">
        <w:rPr>
          <w:rFonts w:ascii="Calibri Light" w:hAnsi="Calibri Light" w:cs="Calibri Light"/>
          <w:sz w:val="18"/>
          <w:szCs w:val="18"/>
        </w:rPr>
        <w:t xml:space="preserve"> </w:t>
      </w:r>
    </w:p>
  </w:footnote>
  <w:footnote w:id="31">
    <w:p w14:paraId="2A7B029F"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Institute of Health and Welfare 2018. Family, domestic and sexual violence in Australia 2018.</w:t>
      </w:r>
    </w:p>
    <w:p w14:paraId="4C206919" w14:textId="77777777" w:rsidR="00BE55E8" w:rsidRPr="00661A92" w:rsidRDefault="00BE55E8" w:rsidP="009B1138">
      <w:pPr>
        <w:pStyle w:val="NoSpacing"/>
        <w:jc w:val="left"/>
        <w:rPr>
          <w:rFonts w:ascii="Calibri Light" w:hAnsi="Calibri Light" w:cs="Calibri Light"/>
          <w:sz w:val="18"/>
          <w:szCs w:val="18"/>
          <w:lang w:val="en-US"/>
        </w:rPr>
      </w:pPr>
      <w:r w:rsidRPr="00661A92">
        <w:rPr>
          <w:rFonts w:ascii="Calibri Light" w:hAnsi="Calibri Light" w:cs="Calibri Light"/>
          <w:sz w:val="18"/>
          <w:szCs w:val="18"/>
        </w:rPr>
        <w:t>Cat. no. FDV 2. Canberra: AIHW.</w:t>
      </w:r>
    </w:p>
  </w:footnote>
  <w:footnote w:id="32">
    <w:p w14:paraId="126CCE09"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Clare </w:t>
      </w:r>
      <w:proofErr w:type="spellStart"/>
      <w:r w:rsidRPr="00661A92">
        <w:rPr>
          <w:rFonts w:ascii="Calibri Light" w:hAnsi="Calibri Light" w:cs="Calibri Light"/>
          <w:sz w:val="18"/>
          <w:szCs w:val="18"/>
        </w:rPr>
        <w:t>Blumer</w:t>
      </w:r>
      <w:proofErr w:type="spellEnd"/>
      <w:r w:rsidRPr="00661A92">
        <w:rPr>
          <w:rFonts w:ascii="Calibri Light" w:hAnsi="Calibri Light" w:cs="Calibri Light"/>
          <w:sz w:val="18"/>
          <w:szCs w:val="18"/>
        </w:rPr>
        <w:t xml:space="preserve">, ‘Australian police deal with domestic violence every two minutes’ ABC News 21 April 2016 </w:t>
      </w:r>
      <w:hyperlink r:id="rId15" w:history="1">
        <w:r w:rsidRPr="00661A92">
          <w:rPr>
            <w:rStyle w:val="Hyperlink"/>
            <w:rFonts w:ascii="Calibri Light" w:hAnsi="Calibri Light" w:cs="Calibri Light"/>
            <w:sz w:val="18"/>
            <w:szCs w:val="18"/>
          </w:rPr>
          <w:t>http://www.abc.net.au/news/2016-04-21/domestic-violence/7341716</w:t>
        </w:r>
      </w:hyperlink>
      <w:r w:rsidRPr="00661A92">
        <w:rPr>
          <w:rFonts w:ascii="Calibri Light" w:hAnsi="Calibri Light" w:cs="Calibri Light"/>
          <w:sz w:val="18"/>
          <w:szCs w:val="18"/>
        </w:rPr>
        <w:t xml:space="preserve"> </w:t>
      </w:r>
    </w:p>
  </w:footnote>
  <w:footnote w:id="33">
    <w:p w14:paraId="7328DC99"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See </w:t>
      </w:r>
      <w:proofErr w:type="spellStart"/>
      <w:r w:rsidRPr="00661A92">
        <w:rPr>
          <w:rFonts w:ascii="Calibri Light" w:hAnsi="Calibri Light" w:cs="Calibri Light"/>
          <w:sz w:val="18"/>
          <w:szCs w:val="18"/>
        </w:rPr>
        <w:t>eg</w:t>
      </w:r>
      <w:proofErr w:type="spellEnd"/>
      <w:r w:rsidRPr="00661A92">
        <w:rPr>
          <w:rFonts w:ascii="Calibri Light" w:hAnsi="Calibri Light" w:cs="Calibri Light"/>
          <w:sz w:val="18"/>
          <w:szCs w:val="18"/>
        </w:rPr>
        <w:t xml:space="preserve"> ABS, Crime victimisation, Australia, 2012–13 cat no 4530.0 December 2014 </w:t>
      </w:r>
      <w:hyperlink r:id="rId16" w:history="1">
        <w:r w:rsidRPr="00661A92">
          <w:rPr>
            <w:rStyle w:val="Hyperlink"/>
            <w:rFonts w:ascii="Calibri Light" w:hAnsi="Calibri Light" w:cs="Calibri Light"/>
            <w:sz w:val="18"/>
            <w:szCs w:val="18"/>
          </w:rPr>
          <w:t>http://www.abs.gov.au/ausstats/abs@.nsf/Lookup/4530.0main+features100022012-13</w:t>
        </w:r>
      </w:hyperlink>
      <w:r w:rsidRPr="00661A92">
        <w:rPr>
          <w:rFonts w:ascii="Calibri Light" w:hAnsi="Calibri Light" w:cs="Calibri Light"/>
          <w:sz w:val="18"/>
          <w:szCs w:val="18"/>
        </w:rPr>
        <w:t xml:space="preserve"> .</w:t>
      </w:r>
    </w:p>
  </w:footnote>
  <w:footnote w:id="34">
    <w:p w14:paraId="01A3D5AB"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Institute of Health and Welfare 2018. Family, domestic and sexual violence in Australia 2018.</w:t>
      </w:r>
    </w:p>
    <w:p w14:paraId="0548ACCF" w14:textId="77777777" w:rsidR="00BE55E8" w:rsidRPr="00661A92" w:rsidRDefault="00BE55E8" w:rsidP="009B1138">
      <w:pPr>
        <w:pStyle w:val="NoSpacing"/>
        <w:jc w:val="left"/>
        <w:rPr>
          <w:rFonts w:ascii="Calibri Light" w:hAnsi="Calibri Light" w:cs="Calibri Light"/>
          <w:sz w:val="18"/>
          <w:szCs w:val="18"/>
          <w:lang w:val="en-US"/>
        </w:rPr>
      </w:pPr>
      <w:r w:rsidRPr="00661A92">
        <w:rPr>
          <w:rFonts w:ascii="Calibri Light" w:hAnsi="Calibri Light" w:cs="Calibri Light"/>
          <w:sz w:val="18"/>
          <w:szCs w:val="18"/>
        </w:rPr>
        <w:t>Cat. no. FDV 2. Canberra: AIHW.</w:t>
      </w:r>
    </w:p>
  </w:footnote>
  <w:footnote w:id="35">
    <w:p w14:paraId="501A30B4"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hyperlink r:id="rId17" w:history="1">
        <w:r w:rsidRPr="00661A92">
          <w:rPr>
            <w:rStyle w:val="Hyperlink"/>
            <w:rFonts w:ascii="Calibri Light" w:hAnsi="Calibri Light" w:cs="Calibri Light"/>
            <w:sz w:val="18"/>
            <w:szCs w:val="18"/>
          </w:rPr>
          <w:t>http://media.aomx.com/anrows.org.au/s3fs-public/28%2010%2016%20BOD%20Compass.pdf</w:t>
        </w:r>
      </w:hyperlink>
      <w:r w:rsidRPr="00661A92">
        <w:rPr>
          <w:rFonts w:ascii="Calibri Light" w:hAnsi="Calibri Light" w:cs="Calibri Light"/>
          <w:sz w:val="18"/>
          <w:szCs w:val="18"/>
        </w:rPr>
        <w:t xml:space="preserve"> </w:t>
      </w:r>
    </w:p>
  </w:footnote>
  <w:footnote w:id="36">
    <w:p w14:paraId="17CB54E0"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Julie </w:t>
      </w:r>
      <w:proofErr w:type="spellStart"/>
      <w:r w:rsidRPr="00661A92">
        <w:rPr>
          <w:rFonts w:ascii="Calibri Light" w:hAnsi="Calibri Light" w:cs="Calibri Light"/>
          <w:sz w:val="18"/>
          <w:szCs w:val="18"/>
        </w:rPr>
        <w:t>Ayre</w:t>
      </w:r>
      <w:proofErr w:type="spellEnd"/>
      <w:r w:rsidRPr="00661A92">
        <w:rPr>
          <w:rFonts w:ascii="Calibri Light" w:hAnsi="Calibri Light" w:cs="Calibri Light"/>
          <w:sz w:val="18"/>
          <w:szCs w:val="18"/>
        </w:rPr>
        <w:t xml:space="preserve">, Miriam </w:t>
      </w:r>
      <w:proofErr w:type="spellStart"/>
      <w:r w:rsidRPr="00661A92">
        <w:rPr>
          <w:rFonts w:ascii="Calibri Light" w:hAnsi="Calibri Light" w:cs="Calibri Light"/>
          <w:sz w:val="18"/>
          <w:szCs w:val="18"/>
        </w:rPr>
        <w:t>Lum</w:t>
      </w:r>
      <w:proofErr w:type="spellEnd"/>
      <w:r w:rsidRPr="00661A92">
        <w:rPr>
          <w:rFonts w:ascii="Calibri Light" w:hAnsi="Calibri Light" w:cs="Calibri Light"/>
          <w:sz w:val="18"/>
          <w:szCs w:val="18"/>
        </w:rPr>
        <w:t xml:space="preserve"> On, Kim Webster, Michelle </w:t>
      </w:r>
      <w:proofErr w:type="spellStart"/>
      <w:r w:rsidRPr="00661A92">
        <w:rPr>
          <w:rFonts w:ascii="Calibri Light" w:hAnsi="Calibri Light" w:cs="Calibri Light"/>
          <w:sz w:val="18"/>
          <w:szCs w:val="18"/>
        </w:rPr>
        <w:t>Gourley</w:t>
      </w:r>
      <w:proofErr w:type="spellEnd"/>
      <w:r w:rsidRPr="00661A92">
        <w:rPr>
          <w:rFonts w:ascii="Calibri Light" w:hAnsi="Calibri Light" w:cs="Calibri Light"/>
          <w:sz w:val="18"/>
          <w:szCs w:val="18"/>
        </w:rPr>
        <w:t xml:space="preserve"> and </w:t>
      </w:r>
      <w:proofErr w:type="spellStart"/>
      <w:r w:rsidRPr="00661A92">
        <w:rPr>
          <w:rFonts w:ascii="Calibri Light" w:hAnsi="Calibri Light" w:cs="Calibri Light"/>
          <w:sz w:val="18"/>
          <w:szCs w:val="18"/>
        </w:rPr>
        <w:t>Lynelle</w:t>
      </w:r>
      <w:proofErr w:type="spellEnd"/>
      <w:r w:rsidRPr="00661A92">
        <w:rPr>
          <w:rFonts w:ascii="Calibri Light" w:hAnsi="Calibri Light" w:cs="Calibri Light"/>
          <w:sz w:val="18"/>
          <w:szCs w:val="18"/>
        </w:rPr>
        <w:t xml:space="preserve"> Moon (2016) Examination of the burden of disease of intimate partner violence against women in 2011: Final report, Sydney: ANROWS </w:t>
      </w:r>
      <w:hyperlink r:id="rId18" w:history="1">
        <w:r w:rsidRPr="00661A92">
          <w:rPr>
            <w:rStyle w:val="Hyperlink"/>
            <w:rFonts w:ascii="Calibri Light" w:hAnsi="Calibri Light" w:cs="Calibri Light"/>
            <w:sz w:val="18"/>
            <w:szCs w:val="18"/>
          </w:rPr>
          <w:t>https://dh2wpaq0gtxwe.cloudfront.net/s3fs-public/BoD%20Horizons.pdf</w:t>
        </w:r>
      </w:hyperlink>
      <w:r w:rsidRPr="00661A92">
        <w:rPr>
          <w:rFonts w:ascii="Calibri Light" w:hAnsi="Calibri Light" w:cs="Calibri Light"/>
          <w:sz w:val="18"/>
          <w:szCs w:val="18"/>
        </w:rPr>
        <w:t xml:space="preserve"> </w:t>
      </w:r>
    </w:p>
  </w:footnote>
  <w:footnote w:id="37">
    <w:p w14:paraId="6E83C3AE"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Australian Council of Trade Unions submission on the Family and Domestic Violence Leave to the Fair Work Commission. </w:t>
      </w:r>
      <w:hyperlink r:id="rId19" w:history="1">
        <w:r w:rsidRPr="00661A92">
          <w:rPr>
            <w:rStyle w:val="Hyperlink"/>
            <w:rFonts w:ascii="Calibri Light" w:hAnsi="Calibri Light" w:cs="Calibri Light"/>
            <w:sz w:val="18"/>
            <w:szCs w:val="18"/>
          </w:rPr>
          <w:t>https://www.actu.org.au/media/886617/actu-submission-to-fwc-family-and-domestic-violence-leave.pdf</w:t>
        </w:r>
      </w:hyperlink>
    </w:p>
  </w:footnote>
  <w:footnote w:id="38">
    <w:p w14:paraId="4FF6CDCA"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Institute of Health and Welfare 2015, Specialist Homelessness Services 2014-15: Clients, Services and Outcomes, Australian Government, Canberra </w:t>
      </w:r>
    </w:p>
    <w:p w14:paraId="4A41A7A8" w14:textId="77777777" w:rsidR="00BE55E8" w:rsidRPr="00661A92" w:rsidRDefault="00BE55E8" w:rsidP="009B1138">
      <w:pPr>
        <w:pStyle w:val="NoSpacing"/>
        <w:jc w:val="left"/>
        <w:rPr>
          <w:rFonts w:ascii="Calibri Light" w:hAnsi="Calibri Light" w:cs="Calibri Light"/>
          <w:sz w:val="18"/>
          <w:szCs w:val="18"/>
        </w:rPr>
      </w:pPr>
      <w:r w:rsidRPr="00661A92">
        <w:rPr>
          <w:rFonts w:ascii="Calibri Light" w:hAnsi="Calibri Light" w:cs="Calibri Light"/>
          <w:sz w:val="18"/>
          <w:szCs w:val="18"/>
        </w:rPr>
        <w:t xml:space="preserve"> </w:t>
      </w:r>
      <w:hyperlink r:id="rId20" w:history="1">
        <w:r w:rsidRPr="00661A92">
          <w:rPr>
            <w:rStyle w:val="Hyperlink"/>
            <w:rFonts w:ascii="Calibri Light" w:hAnsi="Calibri Light" w:cs="Calibri Light"/>
            <w:sz w:val="18"/>
            <w:szCs w:val="18"/>
          </w:rPr>
          <w:t>http://www.aihw.gov.au/homelessness/specialist-homelessness-services-2014-15/clients-services-outcomes/</w:t>
        </w:r>
      </w:hyperlink>
      <w:r w:rsidRPr="00661A92">
        <w:rPr>
          <w:rFonts w:ascii="Calibri Light" w:hAnsi="Calibri Light" w:cs="Calibri Light"/>
          <w:sz w:val="18"/>
          <w:szCs w:val="18"/>
        </w:rPr>
        <w:t xml:space="preserve"> </w:t>
      </w:r>
    </w:p>
  </w:footnote>
  <w:footnote w:id="39">
    <w:p w14:paraId="53C9B9BD"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Australian Institute of Health and Welfare (2018) Specialist Homelessness Services Annual Report 2017-2018 </w:t>
      </w:r>
      <w:hyperlink r:id="rId21" w:history="1">
        <w:r w:rsidRPr="00661A92">
          <w:rPr>
            <w:rStyle w:val="Hyperlink"/>
            <w:rFonts w:ascii="Calibri Light" w:hAnsi="Calibri Light" w:cs="Calibri Light"/>
            <w:sz w:val="18"/>
            <w:szCs w:val="18"/>
          </w:rPr>
          <w:t>https://www.aihw.gov.au/reports/homelessness-services/specialist-homelessness-services-2017-18/contents/clients-services-and-outcomes</w:t>
        </w:r>
      </w:hyperlink>
      <w:r w:rsidRPr="00661A92">
        <w:rPr>
          <w:rFonts w:ascii="Calibri Light" w:hAnsi="Calibri Light" w:cs="Calibri Light"/>
          <w:sz w:val="18"/>
          <w:szCs w:val="18"/>
        </w:rPr>
        <w:t xml:space="preserve"> </w:t>
      </w:r>
    </w:p>
  </w:footnote>
  <w:footnote w:id="40">
    <w:p w14:paraId="7CE75C1A"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NSW Government, Program Guidelines for Staying Home Leaving Violence Program. </w:t>
      </w:r>
    </w:p>
  </w:footnote>
  <w:footnote w:id="41">
    <w:p w14:paraId="52C5467C"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PWC (2015) Economic case for preventing violence against women. A high price to pay. </w:t>
      </w:r>
      <w:hyperlink r:id="rId22" w:history="1">
        <w:r w:rsidRPr="00661A92">
          <w:rPr>
            <w:rStyle w:val="Hyperlink"/>
            <w:rFonts w:ascii="Calibri Light" w:hAnsi="Calibri Light" w:cs="Calibri Light"/>
            <w:sz w:val="18"/>
            <w:szCs w:val="18"/>
          </w:rPr>
          <w:t>https://www.pwc.com.au/pdf/a-high-price-to-pay.pdf</w:t>
        </w:r>
      </w:hyperlink>
      <w:r w:rsidRPr="00661A92">
        <w:rPr>
          <w:rFonts w:ascii="Calibri Light" w:hAnsi="Calibri Light" w:cs="Calibri Light"/>
          <w:sz w:val="18"/>
          <w:szCs w:val="18"/>
        </w:rPr>
        <w:t xml:space="preserve"> </w:t>
      </w:r>
    </w:p>
  </w:footnote>
  <w:footnote w:id="42">
    <w:p w14:paraId="752DD265"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Australian Council of Trade Unions submission on the Family and Domestic Violence Leave to the Fair Work Commission. </w:t>
      </w:r>
      <w:hyperlink r:id="rId23" w:history="1">
        <w:r w:rsidRPr="00661A92">
          <w:rPr>
            <w:rStyle w:val="Hyperlink"/>
            <w:rFonts w:ascii="Calibri Light" w:hAnsi="Calibri Light" w:cs="Calibri Light"/>
            <w:sz w:val="18"/>
            <w:szCs w:val="18"/>
          </w:rPr>
          <w:t>https://www.actu.org.au/media/886617/actu-submission-to-fwc-family-and-domestic-violence-leave.pdf</w:t>
        </w:r>
      </w:hyperlink>
    </w:p>
  </w:footnote>
  <w:footnote w:id="43">
    <w:p w14:paraId="79ED543D"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De Vaus, D., </w:t>
      </w:r>
      <w:proofErr w:type="spellStart"/>
      <w:r w:rsidRPr="00661A92">
        <w:rPr>
          <w:rFonts w:ascii="Calibri Light" w:hAnsi="Calibri Light" w:cs="Calibri Light"/>
          <w:sz w:val="18"/>
          <w:szCs w:val="18"/>
        </w:rPr>
        <w:t>Gray</w:t>
      </w:r>
      <w:proofErr w:type="spellEnd"/>
      <w:r w:rsidRPr="00661A92">
        <w:rPr>
          <w:rFonts w:ascii="Calibri Light" w:hAnsi="Calibri Light" w:cs="Calibri Light"/>
          <w:sz w:val="18"/>
          <w:szCs w:val="18"/>
        </w:rPr>
        <w:t>, M., &amp; Stanton, D. (2014). The Economic Consequences of Divorce in Australia. International Journal of Law, Policy and Family 28(1), 26-47.</w:t>
      </w:r>
    </w:p>
  </w:footnote>
  <w:footnote w:id="44">
    <w:p w14:paraId="20C5A990" w14:textId="77777777" w:rsidR="00BE55E8" w:rsidRPr="00661A92" w:rsidRDefault="00BE55E8" w:rsidP="009B1138">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Braff. R. &amp;amp; </w:t>
      </w:r>
      <w:proofErr w:type="spellStart"/>
      <w:r w:rsidRPr="00661A92">
        <w:rPr>
          <w:rFonts w:ascii="Calibri Light" w:hAnsi="Calibri Light" w:cs="Calibri Light"/>
          <w:sz w:val="18"/>
          <w:szCs w:val="18"/>
        </w:rPr>
        <w:t>Myering</w:t>
      </w:r>
      <w:proofErr w:type="spellEnd"/>
      <w:r w:rsidRPr="00661A92">
        <w:rPr>
          <w:rFonts w:ascii="Calibri Light" w:hAnsi="Calibri Light" w:cs="Calibri Light"/>
          <w:sz w:val="18"/>
          <w:szCs w:val="18"/>
        </w:rPr>
        <w:t>, I. B. (2011). Seeking security: Promoting women’s economic wellbeing following domestic violence. Department of Families, housing, Community services and Indigenous Affairs, University of New South Wales. Australian Domestic and Family Violence Clearinghouse.</w:t>
      </w:r>
    </w:p>
  </w:footnote>
  <w:footnote w:id="45">
    <w:p w14:paraId="5A06C776" w14:textId="77777777" w:rsidR="00BE55E8" w:rsidRPr="00661A92" w:rsidRDefault="00BE55E8" w:rsidP="009B1138">
      <w:pPr>
        <w:pStyle w:val="NoSpacing"/>
        <w:jc w:val="left"/>
        <w:rPr>
          <w:rFonts w:ascii="Calibri Light" w:hAnsi="Calibri Light" w:cs="Calibri Light"/>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Corrie, T. &amp;amp; McGuire, M. (2013). Economic abuse: Searching for solutions. A Spotlight on Economic Abuse research report. </w:t>
      </w:r>
      <w:proofErr w:type="spellStart"/>
      <w:r w:rsidRPr="00661A92">
        <w:rPr>
          <w:rFonts w:ascii="Calibri Light" w:hAnsi="Calibri Light" w:cs="Calibri Light"/>
          <w:sz w:val="18"/>
          <w:szCs w:val="18"/>
        </w:rPr>
        <w:t>Colllingwood</w:t>
      </w:r>
      <w:proofErr w:type="spellEnd"/>
      <w:r w:rsidRPr="00661A92">
        <w:rPr>
          <w:rFonts w:ascii="Calibri Light" w:hAnsi="Calibri Light" w:cs="Calibri Light"/>
          <w:sz w:val="18"/>
          <w:szCs w:val="18"/>
        </w:rPr>
        <w:t>: Good Shepherd Youth &amp;amp; Family Service. Retrieved from https://www.goodshep.org.au/media/1223/economic-abuse_final-</w:t>
      </w:r>
    </w:p>
    <w:p w14:paraId="511EE504" w14:textId="77777777" w:rsidR="00BE55E8" w:rsidRPr="00661A92" w:rsidRDefault="00BE55E8" w:rsidP="009B1138">
      <w:pPr>
        <w:pStyle w:val="NoSpacing"/>
        <w:jc w:val="left"/>
        <w:rPr>
          <w:rFonts w:ascii="Calibri Light" w:hAnsi="Calibri Light" w:cs="Calibri Light"/>
          <w:sz w:val="18"/>
          <w:szCs w:val="18"/>
          <w:lang w:val="en-US"/>
        </w:rPr>
      </w:pPr>
      <w:r w:rsidRPr="00661A92">
        <w:rPr>
          <w:rFonts w:ascii="Calibri Light" w:hAnsi="Calibri Light" w:cs="Calibri Light"/>
          <w:sz w:val="18"/>
          <w:szCs w:val="18"/>
        </w:rPr>
        <w:t>report.pdf</w:t>
      </w:r>
    </w:p>
  </w:footnote>
  <w:footnote w:id="46">
    <w:p w14:paraId="3CBEFCFA" w14:textId="5EF81E4E" w:rsidR="00BE55E8" w:rsidRPr="009B1138" w:rsidRDefault="00BE55E8">
      <w:pPr>
        <w:pStyle w:val="FootnoteText"/>
        <w:rPr>
          <w:rFonts w:asciiTheme="majorHAnsi" w:hAnsiTheme="majorHAnsi" w:cstheme="majorHAnsi"/>
          <w:lang w:val="en-US"/>
        </w:rPr>
      </w:pPr>
      <w:r w:rsidRPr="009B1138">
        <w:rPr>
          <w:rStyle w:val="FootnoteReference"/>
          <w:rFonts w:asciiTheme="majorHAnsi" w:hAnsiTheme="majorHAnsi" w:cstheme="majorHAnsi"/>
          <w:sz w:val="18"/>
        </w:rPr>
        <w:footnoteRef/>
      </w:r>
      <w:r w:rsidRPr="009B1138">
        <w:rPr>
          <w:rFonts w:asciiTheme="majorHAnsi" w:hAnsiTheme="majorHAnsi" w:cstheme="majorHAnsi"/>
          <w:sz w:val="18"/>
        </w:rPr>
        <w:t xml:space="preserve"> </w:t>
      </w:r>
      <w:r w:rsidRPr="009B1138">
        <w:rPr>
          <w:rFonts w:asciiTheme="majorHAnsi" w:hAnsiTheme="majorHAnsi" w:cstheme="majorHAnsi"/>
          <w:sz w:val="18"/>
          <w:lang w:val="en-US"/>
        </w:rPr>
        <w:t xml:space="preserve">Good Shepherd Australia and New Zealand (2016) Economic Security for Survivors of Domestic and Family Violence. </w:t>
      </w:r>
    </w:p>
  </w:footnote>
  <w:footnote w:id="47">
    <w:p w14:paraId="4B1CCFD8" w14:textId="77777777" w:rsidR="00BE55E8" w:rsidRPr="00661A92" w:rsidRDefault="00BE55E8" w:rsidP="00C26970">
      <w:pPr>
        <w:pStyle w:val="NoSpacing"/>
        <w:jc w:val="left"/>
        <w:rPr>
          <w:rFonts w:ascii="Calibri Light" w:hAnsi="Calibri Light" w:cs="Calibri Light"/>
          <w:sz w:val="18"/>
          <w:szCs w:val="18"/>
          <w:lang w:val="en-US"/>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w:t>
      </w:r>
      <w:r w:rsidRPr="00661A92">
        <w:rPr>
          <w:rFonts w:ascii="Calibri Light" w:hAnsi="Calibri Light" w:cs="Calibri Light"/>
          <w:sz w:val="18"/>
          <w:szCs w:val="18"/>
          <w:lang w:val="en-US"/>
        </w:rPr>
        <w:t xml:space="preserve">The Treasury, Australian Government (2018) Review of Early Release of Superannuation Benefits. Further consultations and draft proposals. </w:t>
      </w:r>
    </w:p>
  </w:footnote>
  <w:footnote w:id="48">
    <w:p w14:paraId="59D09648" w14:textId="77777777" w:rsidR="00BE55E8" w:rsidRPr="00174A29" w:rsidRDefault="00BE55E8" w:rsidP="009B1138">
      <w:pPr>
        <w:pStyle w:val="NoSpacing"/>
        <w:jc w:val="left"/>
        <w:rPr>
          <w:rFonts w:cstheme="majorHAnsi"/>
          <w:b/>
          <w:bCs/>
          <w:i/>
          <w:iCs/>
          <w:color w:val="1B1B1B"/>
          <w:sz w:val="18"/>
          <w:szCs w:val="18"/>
        </w:rPr>
      </w:pPr>
      <w:r w:rsidRPr="00661A92">
        <w:rPr>
          <w:rStyle w:val="FootnoteReference"/>
          <w:rFonts w:ascii="Calibri Light" w:hAnsi="Calibri Light" w:cs="Calibri Light"/>
          <w:sz w:val="18"/>
          <w:szCs w:val="18"/>
        </w:rPr>
        <w:footnoteRef/>
      </w:r>
      <w:r w:rsidRPr="00661A92">
        <w:rPr>
          <w:rFonts w:ascii="Calibri Light" w:hAnsi="Calibri Light" w:cs="Calibri Light"/>
          <w:sz w:val="18"/>
          <w:szCs w:val="18"/>
        </w:rPr>
        <w:t xml:space="preserve"> Equality Rights Alliance, Australian Women Against Violence Alliance, ‘Unpacking the Women’s Economic Security Statement’, 21 January 2019, available at </w:t>
      </w:r>
      <w:hyperlink r:id="rId24" w:history="1">
        <w:r w:rsidRPr="00661A92">
          <w:rPr>
            <w:rStyle w:val="Hyperlink"/>
            <w:rFonts w:ascii="Calibri Light" w:hAnsi="Calibri Light" w:cs="Calibri Light"/>
            <w:sz w:val="18"/>
            <w:szCs w:val="18"/>
          </w:rPr>
          <w:t>http://www.equalityrightsalliance.org.au/unpacking-the-womens-economic-security-statement/</w:t>
        </w:r>
      </w:hyperlink>
      <w:r w:rsidRPr="00661A92">
        <w:rPr>
          <w:rFonts w:ascii="Calibri Light" w:hAnsi="Calibri Light" w:cs="Calibri Light"/>
          <w:sz w:val="18"/>
          <w:szCs w:val="18"/>
        </w:rPr>
        <w:t xml:space="preserve"> </w:t>
      </w:r>
      <w:r w:rsidRPr="00174A29">
        <w:rPr>
          <w:rFonts w:cstheme="majorHAnsi"/>
          <w:sz w:val="18"/>
          <w:szCs w:val="18"/>
        </w:rPr>
        <w:t xml:space="preserve">(Accessed 8 August 2019). </w:t>
      </w:r>
    </w:p>
  </w:footnote>
  <w:footnote w:id="49">
    <w:p w14:paraId="6D9A570E" w14:textId="336C3C5C" w:rsidR="00BE55E8" w:rsidRPr="000843C4" w:rsidRDefault="00BE55E8" w:rsidP="000843C4">
      <w:pPr>
        <w:pStyle w:val="NoSpacing"/>
        <w:rPr>
          <w:sz w:val="18"/>
          <w:szCs w:val="18"/>
        </w:rPr>
      </w:pPr>
      <w:r w:rsidRPr="000843C4">
        <w:rPr>
          <w:rStyle w:val="FootnoteReference"/>
          <w:rFonts w:cstheme="majorHAnsi"/>
          <w:sz w:val="18"/>
          <w:szCs w:val="18"/>
        </w:rPr>
        <w:footnoteRef/>
      </w:r>
      <w:r w:rsidRPr="000843C4">
        <w:rPr>
          <w:sz w:val="18"/>
          <w:szCs w:val="18"/>
        </w:rPr>
        <w:t xml:space="preserve"> ASFA estimates that around 365,000 individuals (220,000 women and 145,000 men) would benefit from the removal of the threshold through higher retirement savings.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0576" w14:textId="63B7198E" w:rsidR="00BE55E8" w:rsidRDefault="00BE55E8">
    <w:pPr>
      <w:pStyle w:val="Header"/>
    </w:pPr>
    <w:r>
      <w:rPr>
        <w:noProof/>
        <w:lang w:val="en-AU" w:eastAsia="en-AU"/>
      </w:rPr>
      <w:drawing>
        <wp:anchor distT="0" distB="0" distL="114300" distR="114300" simplePos="0" relativeHeight="251659264" behindDoc="0" locked="0" layoutInCell="1" allowOverlap="1" wp14:anchorId="025C42DE" wp14:editId="42CCDC04">
          <wp:simplePos x="0" y="0"/>
          <wp:positionH relativeFrom="column">
            <wp:posOffset>-965200</wp:posOffset>
          </wp:positionH>
          <wp:positionV relativeFrom="paragraph">
            <wp:posOffset>-474557</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6F0D"/>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9060E0"/>
    <w:multiLevelType w:val="hybridMultilevel"/>
    <w:tmpl w:val="E9CCBCCA"/>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3515F"/>
    <w:multiLevelType w:val="hybridMultilevel"/>
    <w:tmpl w:val="D518B6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7DB"/>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F645A"/>
    <w:multiLevelType w:val="hybridMultilevel"/>
    <w:tmpl w:val="69020C06"/>
    <w:lvl w:ilvl="0" w:tplc="08482B80">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A18F7"/>
    <w:multiLevelType w:val="hybridMultilevel"/>
    <w:tmpl w:val="51B8873A"/>
    <w:lvl w:ilvl="0" w:tplc="5B6483D4">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C569B5"/>
    <w:multiLevelType w:val="hybridMultilevel"/>
    <w:tmpl w:val="A1BAC59C"/>
    <w:lvl w:ilvl="0" w:tplc="63F068F2">
      <w:start w:val="1"/>
      <w:numFmt w:val="bullet"/>
      <w:lvlText w:val="o"/>
      <w:lvlJc w:val="left"/>
      <w:pPr>
        <w:ind w:left="720" w:hanging="360"/>
      </w:pPr>
      <w:rPr>
        <w:rFonts w:ascii="Courier New" w:hAnsi="Courier New" w:cs="Courier New"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2C67A6"/>
    <w:multiLevelType w:val="hybridMultilevel"/>
    <w:tmpl w:val="3BE8AC68"/>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6D40E1"/>
    <w:multiLevelType w:val="multilevel"/>
    <w:tmpl w:val="7EC4CA6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FE003DF"/>
    <w:multiLevelType w:val="multilevel"/>
    <w:tmpl w:val="0E040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2D2922"/>
    <w:multiLevelType w:val="multilevel"/>
    <w:tmpl w:val="8D8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3419C"/>
    <w:multiLevelType w:val="multilevel"/>
    <w:tmpl w:val="666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B09FD"/>
    <w:multiLevelType w:val="multilevel"/>
    <w:tmpl w:val="C5F87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11828"/>
    <w:multiLevelType w:val="hybridMultilevel"/>
    <w:tmpl w:val="A0DEF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5F2DB2"/>
    <w:multiLevelType w:val="multilevel"/>
    <w:tmpl w:val="675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E3663"/>
    <w:multiLevelType w:val="hybridMultilevel"/>
    <w:tmpl w:val="5ED8E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E2086"/>
    <w:multiLevelType w:val="hybridMultilevel"/>
    <w:tmpl w:val="E3F8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86170"/>
    <w:multiLevelType w:val="multilevel"/>
    <w:tmpl w:val="9B80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63141"/>
    <w:multiLevelType w:val="hybridMultilevel"/>
    <w:tmpl w:val="433261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88D0B1"/>
    <w:multiLevelType w:val="hybridMultilevel"/>
    <w:tmpl w:val="42ED90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1E0A5B"/>
    <w:multiLevelType w:val="hybridMultilevel"/>
    <w:tmpl w:val="77E61C2A"/>
    <w:lvl w:ilvl="0" w:tplc="0C09000F">
      <w:start w:val="1"/>
      <w:numFmt w:val="decimal"/>
      <w:lvlText w:val="%1."/>
      <w:lvlJc w:val="left"/>
      <w:pPr>
        <w:ind w:left="107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21" w15:restartNumberingAfterBreak="0">
    <w:nsid w:val="31AD6F0C"/>
    <w:multiLevelType w:val="hybridMultilevel"/>
    <w:tmpl w:val="BF7C8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0D635A"/>
    <w:multiLevelType w:val="hybridMultilevel"/>
    <w:tmpl w:val="DA0C9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C46BE5"/>
    <w:multiLevelType w:val="hybridMultilevel"/>
    <w:tmpl w:val="775C7300"/>
    <w:lvl w:ilvl="0" w:tplc="D65652F2">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0856F2"/>
    <w:multiLevelType w:val="hybridMultilevel"/>
    <w:tmpl w:val="7AE8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2780C"/>
    <w:multiLevelType w:val="hybridMultilevel"/>
    <w:tmpl w:val="EC784EE8"/>
    <w:lvl w:ilvl="0" w:tplc="8F3C6228">
      <w:start w:val="1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9405B93"/>
    <w:multiLevelType w:val="hybridMultilevel"/>
    <w:tmpl w:val="C0728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15735"/>
    <w:multiLevelType w:val="multilevel"/>
    <w:tmpl w:val="5E9E6972"/>
    <w:lvl w:ilvl="0">
      <w:start w:val="1"/>
      <w:numFmt w:val="decimal"/>
      <w:lvlText w:val="%1."/>
      <w:lvlJc w:val="left"/>
      <w:pPr>
        <w:ind w:left="720" w:hanging="360"/>
      </w:pPr>
      <w:rPr>
        <w:rFonts w:hint="default"/>
      </w:rPr>
    </w:lvl>
    <w:lvl w:ilvl="1">
      <w:start w:val="14"/>
      <w:numFmt w:val="decimal"/>
      <w:isLgl/>
      <w:lvlText w:val="%1.%2."/>
      <w:lvlJc w:val="left"/>
      <w:pPr>
        <w:ind w:left="1236" w:hanging="516"/>
      </w:pPr>
      <w:rPr>
        <w:rFonts w:hint="default"/>
        <w:b/>
        <w:color w:val="7030A0"/>
      </w:rPr>
    </w:lvl>
    <w:lvl w:ilvl="2">
      <w:start w:val="1"/>
      <w:numFmt w:val="decimal"/>
      <w:isLgl/>
      <w:lvlText w:val="%1.%2.%3."/>
      <w:lvlJc w:val="left"/>
      <w:pPr>
        <w:ind w:left="1800" w:hanging="720"/>
      </w:pPr>
      <w:rPr>
        <w:rFonts w:hint="default"/>
        <w:b/>
        <w:color w:val="7030A0"/>
      </w:rPr>
    </w:lvl>
    <w:lvl w:ilvl="3">
      <w:start w:val="1"/>
      <w:numFmt w:val="decimal"/>
      <w:isLgl/>
      <w:lvlText w:val="%1.%2.%3.%4."/>
      <w:lvlJc w:val="left"/>
      <w:pPr>
        <w:ind w:left="2160" w:hanging="720"/>
      </w:pPr>
      <w:rPr>
        <w:rFonts w:hint="default"/>
        <w:b/>
        <w:color w:val="7030A0"/>
      </w:rPr>
    </w:lvl>
    <w:lvl w:ilvl="4">
      <w:start w:val="1"/>
      <w:numFmt w:val="decimal"/>
      <w:isLgl/>
      <w:lvlText w:val="%1.%2.%3.%4.%5."/>
      <w:lvlJc w:val="left"/>
      <w:pPr>
        <w:ind w:left="2880" w:hanging="1080"/>
      </w:pPr>
      <w:rPr>
        <w:rFonts w:hint="default"/>
        <w:b/>
        <w:color w:val="7030A0"/>
      </w:rPr>
    </w:lvl>
    <w:lvl w:ilvl="5">
      <w:start w:val="1"/>
      <w:numFmt w:val="decimal"/>
      <w:isLgl/>
      <w:lvlText w:val="%1.%2.%3.%4.%5.%6."/>
      <w:lvlJc w:val="left"/>
      <w:pPr>
        <w:ind w:left="3240" w:hanging="1080"/>
      </w:pPr>
      <w:rPr>
        <w:rFonts w:hint="default"/>
        <w:b/>
        <w:color w:val="7030A0"/>
      </w:rPr>
    </w:lvl>
    <w:lvl w:ilvl="6">
      <w:start w:val="1"/>
      <w:numFmt w:val="decimal"/>
      <w:isLgl/>
      <w:lvlText w:val="%1.%2.%3.%4.%5.%6.%7."/>
      <w:lvlJc w:val="left"/>
      <w:pPr>
        <w:ind w:left="3960" w:hanging="1440"/>
      </w:pPr>
      <w:rPr>
        <w:rFonts w:hint="default"/>
        <w:b/>
        <w:color w:val="7030A0"/>
      </w:rPr>
    </w:lvl>
    <w:lvl w:ilvl="7">
      <w:start w:val="1"/>
      <w:numFmt w:val="decimal"/>
      <w:isLgl/>
      <w:lvlText w:val="%1.%2.%3.%4.%5.%6.%7.%8."/>
      <w:lvlJc w:val="left"/>
      <w:pPr>
        <w:ind w:left="4320" w:hanging="1440"/>
      </w:pPr>
      <w:rPr>
        <w:rFonts w:hint="default"/>
        <w:b/>
        <w:color w:val="7030A0"/>
      </w:rPr>
    </w:lvl>
    <w:lvl w:ilvl="8">
      <w:start w:val="1"/>
      <w:numFmt w:val="decimal"/>
      <w:isLgl/>
      <w:lvlText w:val="%1.%2.%3.%4.%5.%6.%7.%8.%9."/>
      <w:lvlJc w:val="left"/>
      <w:pPr>
        <w:ind w:left="5040" w:hanging="1800"/>
      </w:pPr>
      <w:rPr>
        <w:rFonts w:hint="default"/>
        <w:b/>
        <w:color w:val="7030A0"/>
      </w:rPr>
    </w:lvl>
  </w:abstractNum>
  <w:abstractNum w:abstractNumId="28" w15:restartNumberingAfterBreak="0">
    <w:nsid w:val="4A2070F8"/>
    <w:multiLevelType w:val="hybridMultilevel"/>
    <w:tmpl w:val="95CAF434"/>
    <w:lvl w:ilvl="0" w:tplc="00FE7B86">
      <w:start w:val="1"/>
      <w:numFmt w:val="decimal"/>
      <w:lvlText w:val="%1."/>
      <w:lvlJc w:val="left"/>
      <w:pPr>
        <w:ind w:left="720" w:hanging="360"/>
      </w:pPr>
      <w:rPr>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DD4087"/>
    <w:multiLevelType w:val="multilevel"/>
    <w:tmpl w:val="6D0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86216"/>
    <w:multiLevelType w:val="multilevel"/>
    <w:tmpl w:val="6FC2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B71785"/>
    <w:multiLevelType w:val="hybridMultilevel"/>
    <w:tmpl w:val="9FE46820"/>
    <w:lvl w:ilvl="0" w:tplc="F4B4416A">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90485E"/>
    <w:multiLevelType w:val="hybridMultilevel"/>
    <w:tmpl w:val="E646D2DA"/>
    <w:lvl w:ilvl="0" w:tplc="8C8A24E2">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3B6376"/>
    <w:multiLevelType w:val="hybridMultilevel"/>
    <w:tmpl w:val="0FD6FA0C"/>
    <w:lvl w:ilvl="0" w:tplc="534AAA44">
      <w:start w:val="1"/>
      <w:numFmt w:val="decimal"/>
      <w:lvlText w:val="%1."/>
      <w:lvlJc w:val="left"/>
      <w:pPr>
        <w:ind w:left="720" w:hanging="360"/>
      </w:pPr>
      <w:rPr>
        <w:rFonts w:hint="default"/>
        <w:b/>
        <w:color w:val="7030A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30223D"/>
    <w:multiLevelType w:val="hybridMultilevel"/>
    <w:tmpl w:val="74FC7F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C832CE"/>
    <w:multiLevelType w:val="hybridMultilevel"/>
    <w:tmpl w:val="F3D03100"/>
    <w:lvl w:ilvl="0" w:tplc="30CC6770">
      <w:start w:val="1"/>
      <w:numFmt w:val="decimal"/>
      <w:lvlText w:val="%1."/>
      <w:lvlJc w:val="left"/>
      <w:pPr>
        <w:ind w:left="1080" w:hanging="360"/>
      </w:pPr>
      <w:rPr>
        <w:rFonts w:hint="default"/>
        <w:b/>
        <w:color w:val="7030A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D913C9C"/>
    <w:multiLevelType w:val="hybridMultilevel"/>
    <w:tmpl w:val="554E0BC4"/>
    <w:lvl w:ilvl="0" w:tplc="0C090001">
      <w:start w:val="1"/>
      <w:numFmt w:val="bullet"/>
      <w:lvlText w:val=""/>
      <w:lvlJc w:val="left"/>
      <w:pPr>
        <w:ind w:left="720" w:hanging="360"/>
      </w:pPr>
      <w:rPr>
        <w:rFonts w:ascii="Symbol" w:hAnsi="Symbol" w:hint="default"/>
      </w:rPr>
    </w:lvl>
    <w:lvl w:ilvl="1" w:tplc="C0C28014">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F9358D"/>
    <w:multiLevelType w:val="hybridMultilevel"/>
    <w:tmpl w:val="1E04F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240409"/>
    <w:multiLevelType w:val="hybridMultilevel"/>
    <w:tmpl w:val="0DA00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51973"/>
    <w:multiLevelType w:val="hybridMultilevel"/>
    <w:tmpl w:val="9638702E"/>
    <w:lvl w:ilvl="0" w:tplc="98FA5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A51D29"/>
    <w:multiLevelType w:val="multilevel"/>
    <w:tmpl w:val="B52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9421BD"/>
    <w:multiLevelType w:val="multilevel"/>
    <w:tmpl w:val="8CFC02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2" w15:restartNumberingAfterBreak="0">
    <w:nsid w:val="72EC0F05"/>
    <w:multiLevelType w:val="hybridMultilevel"/>
    <w:tmpl w:val="911AF728"/>
    <w:lvl w:ilvl="0" w:tplc="72209CC4">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CB54B3"/>
    <w:multiLevelType w:val="hybridMultilevel"/>
    <w:tmpl w:val="B6F891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076E1C"/>
    <w:multiLevelType w:val="hybridMultilevel"/>
    <w:tmpl w:val="51B8873A"/>
    <w:lvl w:ilvl="0" w:tplc="5B6483D4">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8412038"/>
    <w:multiLevelType w:val="hybridMultilevel"/>
    <w:tmpl w:val="5EDA4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CB5412"/>
    <w:multiLevelType w:val="hybridMultilevel"/>
    <w:tmpl w:val="FCB45302"/>
    <w:lvl w:ilvl="0" w:tplc="360E2860">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9F207EC"/>
    <w:multiLevelType w:val="multilevel"/>
    <w:tmpl w:val="5E9E6972"/>
    <w:lvl w:ilvl="0">
      <w:start w:val="1"/>
      <w:numFmt w:val="decimal"/>
      <w:lvlText w:val="%1."/>
      <w:lvlJc w:val="left"/>
      <w:pPr>
        <w:ind w:left="720" w:hanging="360"/>
      </w:pPr>
      <w:rPr>
        <w:rFonts w:hint="default"/>
      </w:rPr>
    </w:lvl>
    <w:lvl w:ilvl="1">
      <w:start w:val="14"/>
      <w:numFmt w:val="decimal"/>
      <w:isLgl/>
      <w:lvlText w:val="%1.%2."/>
      <w:lvlJc w:val="left"/>
      <w:pPr>
        <w:ind w:left="1236" w:hanging="516"/>
      </w:pPr>
      <w:rPr>
        <w:rFonts w:hint="default"/>
        <w:b/>
        <w:color w:val="7030A0"/>
      </w:rPr>
    </w:lvl>
    <w:lvl w:ilvl="2">
      <w:start w:val="1"/>
      <w:numFmt w:val="decimal"/>
      <w:isLgl/>
      <w:lvlText w:val="%1.%2.%3."/>
      <w:lvlJc w:val="left"/>
      <w:pPr>
        <w:ind w:left="1800" w:hanging="720"/>
      </w:pPr>
      <w:rPr>
        <w:rFonts w:hint="default"/>
        <w:b/>
        <w:color w:val="7030A0"/>
      </w:rPr>
    </w:lvl>
    <w:lvl w:ilvl="3">
      <w:start w:val="1"/>
      <w:numFmt w:val="decimal"/>
      <w:isLgl/>
      <w:lvlText w:val="%1.%2.%3.%4."/>
      <w:lvlJc w:val="left"/>
      <w:pPr>
        <w:ind w:left="2160" w:hanging="720"/>
      </w:pPr>
      <w:rPr>
        <w:rFonts w:hint="default"/>
        <w:b/>
        <w:color w:val="7030A0"/>
      </w:rPr>
    </w:lvl>
    <w:lvl w:ilvl="4">
      <w:start w:val="1"/>
      <w:numFmt w:val="decimal"/>
      <w:isLgl/>
      <w:lvlText w:val="%1.%2.%3.%4.%5."/>
      <w:lvlJc w:val="left"/>
      <w:pPr>
        <w:ind w:left="2880" w:hanging="1080"/>
      </w:pPr>
      <w:rPr>
        <w:rFonts w:hint="default"/>
        <w:b/>
        <w:color w:val="7030A0"/>
      </w:rPr>
    </w:lvl>
    <w:lvl w:ilvl="5">
      <w:start w:val="1"/>
      <w:numFmt w:val="decimal"/>
      <w:isLgl/>
      <w:lvlText w:val="%1.%2.%3.%4.%5.%6."/>
      <w:lvlJc w:val="left"/>
      <w:pPr>
        <w:ind w:left="3240" w:hanging="1080"/>
      </w:pPr>
      <w:rPr>
        <w:rFonts w:hint="default"/>
        <w:b/>
        <w:color w:val="7030A0"/>
      </w:rPr>
    </w:lvl>
    <w:lvl w:ilvl="6">
      <w:start w:val="1"/>
      <w:numFmt w:val="decimal"/>
      <w:isLgl/>
      <w:lvlText w:val="%1.%2.%3.%4.%5.%6.%7."/>
      <w:lvlJc w:val="left"/>
      <w:pPr>
        <w:ind w:left="3960" w:hanging="1440"/>
      </w:pPr>
      <w:rPr>
        <w:rFonts w:hint="default"/>
        <w:b/>
        <w:color w:val="7030A0"/>
      </w:rPr>
    </w:lvl>
    <w:lvl w:ilvl="7">
      <w:start w:val="1"/>
      <w:numFmt w:val="decimal"/>
      <w:isLgl/>
      <w:lvlText w:val="%1.%2.%3.%4.%5.%6.%7.%8."/>
      <w:lvlJc w:val="left"/>
      <w:pPr>
        <w:ind w:left="4320" w:hanging="1440"/>
      </w:pPr>
      <w:rPr>
        <w:rFonts w:hint="default"/>
        <w:b/>
        <w:color w:val="7030A0"/>
      </w:rPr>
    </w:lvl>
    <w:lvl w:ilvl="8">
      <w:start w:val="1"/>
      <w:numFmt w:val="decimal"/>
      <w:isLgl/>
      <w:lvlText w:val="%1.%2.%3.%4.%5.%6.%7.%8.%9."/>
      <w:lvlJc w:val="left"/>
      <w:pPr>
        <w:ind w:left="5040" w:hanging="1800"/>
      </w:pPr>
      <w:rPr>
        <w:rFonts w:hint="default"/>
        <w:b/>
        <w:color w:val="7030A0"/>
      </w:rPr>
    </w:lvl>
  </w:abstractNum>
  <w:abstractNum w:abstractNumId="48" w15:restartNumberingAfterBreak="0">
    <w:nsid w:val="7C687C5C"/>
    <w:multiLevelType w:val="multilevel"/>
    <w:tmpl w:val="4DBA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7A3EEB"/>
    <w:multiLevelType w:val="hybridMultilevel"/>
    <w:tmpl w:val="2DEE91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5"/>
  </w:num>
  <w:num w:numId="9">
    <w:abstractNumId w:val="0"/>
  </w:num>
  <w:num w:numId="10">
    <w:abstractNumId w:val="1"/>
  </w:num>
  <w:num w:numId="11">
    <w:abstractNumId w:val="26"/>
  </w:num>
  <w:num w:numId="12">
    <w:abstractNumId w:val="22"/>
  </w:num>
  <w:num w:numId="13">
    <w:abstractNumId w:val="18"/>
  </w:num>
  <w:num w:numId="14">
    <w:abstractNumId w:val="35"/>
  </w:num>
  <w:num w:numId="15">
    <w:abstractNumId w:val="46"/>
  </w:num>
  <w:num w:numId="16">
    <w:abstractNumId w:val="2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45"/>
  </w:num>
  <w:num w:numId="20">
    <w:abstractNumId w:val="4"/>
  </w:num>
  <w:num w:numId="21">
    <w:abstractNumId w:val="41"/>
  </w:num>
  <w:num w:numId="22">
    <w:abstractNumId w:val="11"/>
  </w:num>
  <w:num w:numId="23">
    <w:abstractNumId w:val="15"/>
  </w:num>
  <w:num w:numId="24">
    <w:abstractNumId w:val="37"/>
  </w:num>
  <w:num w:numId="25">
    <w:abstractNumId w:val="31"/>
  </w:num>
  <w:num w:numId="26">
    <w:abstractNumId w:val="34"/>
  </w:num>
  <w:num w:numId="27">
    <w:abstractNumId w:val="20"/>
  </w:num>
  <w:num w:numId="28">
    <w:abstractNumId w:val="39"/>
  </w:num>
  <w:num w:numId="29">
    <w:abstractNumId w:val="42"/>
  </w:num>
  <w:num w:numId="30">
    <w:abstractNumId w:val="6"/>
  </w:num>
  <w:num w:numId="31">
    <w:abstractNumId w:val="5"/>
  </w:num>
  <w:num w:numId="32">
    <w:abstractNumId w:val="36"/>
  </w:num>
  <w:num w:numId="33">
    <w:abstractNumId w:val="2"/>
  </w:num>
  <w:num w:numId="34">
    <w:abstractNumId w:val="28"/>
  </w:num>
  <w:num w:numId="35">
    <w:abstractNumId w:val="40"/>
  </w:num>
  <w:num w:numId="36">
    <w:abstractNumId w:val="29"/>
  </w:num>
  <w:num w:numId="37">
    <w:abstractNumId w:val="48"/>
  </w:num>
  <w:num w:numId="38">
    <w:abstractNumId w:val="12"/>
  </w:num>
  <w:num w:numId="39">
    <w:abstractNumId w:val="30"/>
  </w:num>
  <w:num w:numId="40">
    <w:abstractNumId w:val="38"/>
  </w:num>
  <w:num w:numId="41">
    <w:abstractNumId w:val="10"/>
  </w:num>
  <w:num w:numId="42">
    <w:abstractNumId w:val="16"/>
  </w:num>
  <w:num w:numId="43">
    <w:abstractNumId w:val="17"/>
  </w:num>
  <w:num w:numId="44">
    <w:abstractNumId w:val="14"/>
  </w:num>
  <w:num w:numId="45">
    <w:abstractNumId w:val="13"/>
  </w:num>
  <w:num w:numId="46">
    <w:abstractNumId w:val="21"/>
  </w:num>
  <w:num w:numId="47">
    <w:abstractNumId w:val="49"/>
  </w:num>
  <w:num w:numId="48">
    <w:abstractNumId w:val="7"/>
  </w:num>
  <w:num w:numId="49">
    <w:abstractNumId w:val="32"/>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43"/>
  </w:num>
  <w:num w:numId="54">
    <w:abstractNumId w:val="19"/>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F4"/>
    <w:rsid w:val="000159D5"/>
    <w:rsid w:val="00022646"/>
    <w:rsid w:val="00027E0E"/>
    <w:rsid w:val="00033B6D"/>
    <w:rsid w:val="00034D57"/>
    <w:rsid w:val="000373B9"/>
    <w:rsid w:val="00046569"/>
    <w:rsid w:val="00060386"/>
    <w:rsid w:val="00063EB7"/>
    <w:rsid w:val="00072CB8"/>
    <w:rsid w:val="00080F3F"/>
    <w:rsid w:val="000843C4"/>
    <w:rsid w:val="00090123"/>
    <w:rsid w:val="000B0148"/>
    <w:rsid w:val="000B5B10"/>
    <w:rsid w:val="000C1349"/>
    <w:rsid w:val="000D0C10"/>
    <w:rsid w:val="000E629E"/>
    <w:rsid w:val="000F4F6F"/>
    <w:rsid w:val="0010444D"/>
    <w:rsid w:val="00104521"/>
    <w:rsid w:val="00115A52"/>
    <w:rsid w:val="00120B12"/>
    <w:rsid w:val="00131F4E"/>
    <w:rsid w:val="00134DD8"/>
    <w:rsid w:val="001376A0"/>
    <w:rsid w:val="00151380"/>
    <w:rsid w:val="00152D14"/>
    <w:rsid w:val="001702E1"/>
    <w:rsid w:val="00174A29"/>
    <w:rsid w:val="00197E99"/>
    <w:rsid w:val="001A4781"/>
    <w:rsid w:val="001B4A4A"/>
    <w:rsid w:val="001B5BA4"/>
    <w:rsid w:val="001B65CC"/>
    <w:rsid w:val="001C0728"/>
    <w:rsid w:val="001C3C5C"/>
    <w:rsid w:val="001D2C39"/>
    <w:rsid w:val="001D7BFA"/>
    <w:rsid w:val="001E0E2B"/>
    <w:rsid w:val="001E6A2E"/>
    <w:rsid w:val="001F5F3E"/>
    <w:rsid w:val="00204EE7"/>
    <w:rsid w:val="0022073F"/>
    <w:rsid w:val="00221624"/>
    <w:rsid w:val="00221B9C"/>
    <w:rsid w:val="002312E9"/>
    <w:rsid w:val="00256DBB"/>
    <w:rsid w:val="00263168"/>
    <w:rsid w:val="00263977"/>
    <w:rsid w:val="00272BE6"/>
    <w:rsid w:val="00282772"/>
    <w:rsid w:val="00284548"/>
    <w:rsid w:val="002869F4"/>
    <w:rsid w:val="002979E7"/>
    <w:rsid w:val="00297E45"/>
    <w:rsid w:val="002A5153"/>
    <w:rsid w:val="002A7CD7"/>
    <w:rsid w:val="002B7366"/>
    <w:rsid w:val="002C4DFB"/>
    <w:rsid w:val="002D3FEE"/>
    <w:rsid w:val="002E098F"/>
    <w:rsid w:val="002E58DD"/>
    <w:rsid w:val="002E5E70"/>
    <w:rsid w:val="002E670C"/>
    <w:rsid w:val="002F38B0"/>
    <w:rsid w:val="003020D0"/>
    <w:rsid w:val="00306767"/>
    <w:rsid w:val="0031660E"/>
    <w:rsid w:val="003316C5"/>
    <w:rsid w:val="00341DC8"/>
    <w:rsid w:val="0034662C"/>
    <w:rsid w:val="00367D74"/>
    <w:rsid w:val="003A5C52"/>
    <w:rsid w:val="003B0B9E"/>
    <w:rsid w:val="003B10C2"/>
    <w:rsid w:val="003C6EA6"/>
    <w:rsid w:val="003D31A6"/>
    <w:rsid w:val="003E7146"/>
    <w:rsid w:val="00430573"/>
    <w:rsid w:val="004345E4"/>
    <w:rsid w:val="00440258"/>
    <w:rsid w:val="00440DB3"/>
    <w:rsid w:val="004429B8"/>
    <w:rsid w:val="004D4ADF"/>
    <w:rsid w:val="004E3676"/>
    <w:rsid w:val="00500AFA"/>
    <w:rsid w:val="00530523"/>
    <w:rsid w:val="00534FD2"/>
    <w:rsid w:val="00544671"/>
    <w:rsid w:val="00553B4E"/>
    <w:rsid w:val="0055598A"/>
    <w:rsid w:val="00562589"/>
    <w:rsid w:val="0056682D"/>
    <w:rsid w:val="00567AA8"/>
    <w:rsid w:val="005772AA"/>
    <w:rsid w:val="0058414F"/>
    <w:rsid w:val="005A746E"/>
    <w:rsid w:val="005A7913"/>
    <w:rsid w:val="005C1702"/>
    <w:rsid w:val="005D03D9"/>
    <w:rsid w:val="005D0F45"/>
    <w:rsid w:val="005E4E70"/>
    <w:rsid w:val="005E5CAF"/>
    <w:rsid w:val="00605B53"/>
    <w:rsid w:val="00607361"/>
    <w:rsid w:val="00623681"/>
    <w:rsid w:val="00631858"/>
    <w:rsid w:val="00640412"/>
    <w:rsid w:val="00640A05"/>
    <w:rsid w:val="00644201"/>
    <w:rsid w:val="00661A92"/>
    <w:rsid w:val="00663E3D"/>
    <w:rsid w:val="00673839"/>
    <w:rsid w:val="00677C43"/>
    <w:rsid w:val="00683697"/>
    <w:rsid w:val="00696A11"/>
    <w:rsid w:val="006A33EC"/>
    <w:rsid w:val="006A6057"/>
    <w:rsid w:val="006B3BEF"/>
    <w:rsid w:val="006D4783"/>
    <w:rsid w:val="006D63DA"/>
    <w:rsid w:val="006E6E53"/>
    <w:rsid w:val="00701FD1"/>
    <w:rsid w:val="00715FC1"/>
    <w:rsid w:val="00716320"/>
    <w:rsid w:val="007330D4"/>
    <w:rsid w:val="00767A43"/>
    <w:rsid w:val="00771042"/>
    <w:rsid w:val="00771D63"/>
    <w:rsid w:val="007770E0"/>
    <w:rsid w:val="007936C0"/>
    <w:rsid w:val="007962DE"/>
    <w:rsid w:val="007A2263"/>
    <w:rsid w:val="007A31FB"/>
    <w:rsid w:val="007A33CD"/>
    <w:rsid w:val="007A60B2"/>
    <w:rsid w:val="00810CD8"/>
    <w:rsid w:val="0082392A"/>
    <w:rsid w:val="008278C2"/>
    <w:rsid w:val="00830A28"/>
    <w:rsid w:val="00830A70"/>
    <w:rsid w:val="00833CFF"/>
    <w:rsid w:val="00862BF8"/>
    <w:rsid w:val="00876642"/>
    <w:rsid w:val="00882258"/>
    <w:rsid w:val="008855FD"/>
    <w:rsid w:val="008862C4"/>
    <w:rsid w:val="00892BA9"/>
    <w:rsid w:val="008B5AC4"/>
    <w:rsid w:val="008B6E4E"/>
    <w:rsid w:val="008B743B"/>
    <w:rsid w:val="008C64F6"/>
    <w:rsid w:val="008D117C"/>
    <w:rsid w:val="008D4ECC"/>
    <w:rsid w:val="008E528C"/>
    <w:rsid w:val="00903780"/>
    <w:rsid w:val="009128B7"/>
    <w:rsid w:val="00935DE5"/>
    <w:rsid w:val="00945394"/>
    <w:rsid w:val="00966410"/>
    <w:rsid w:val="009A1529"/>
    <w:rsid w:val="009B1138"/>
    <w:rsid w:val="009C5949"/>
    <w:rsid w:val="009D23E9"/>
    <w:rsid w:val="009E24A8"/>
    <w:rsid w:val="009E347B"/>
    <w:rsid w:val="009E3F05"/>
    <w:rsid w:val="009E5B8B"/>
    <w:rsid w:val="009E79BC"/>
    <w:rsid w:val="00A00FB4"/>
    <w:rsid w:val="00A06E7A"/>
    <w:rsid w:val="00A07CBC"/>
    <w:rsid w:val="00A223DD"/>
    <w:rsid w:val="00A32A77"/>
    <w:rsid w:val="00A436FF"/>
    <w:rsid w:val="00A739AB"/>
    <w:rsid w:val="00AA144A"/>
    <w:rsid w:val="00AA1F4E"/>
    <w:rsid w:val="00AA45D3"/>
    <w:rsid w:val="00AB0540"/>
    <w:rsid w:val="00AC0F80"/>
    <w:rsid w:val="00AD42AB"/>
    <w:rsid w:val="00AF1379"/>
    <w:rsid w:val="00B04D32"/>
    <w:rsid w:val="00B157A9"/>
    <w:rsid w:val="00B32953"/>
    <w:rsid w:val="00B32FCF"/>
    <w:rsid w:val="00B55275"/>
    <w:rsid w:val="00B5738E"/>
    <w:rsid w:val="00B63BE6"/>
    <w:rsid w:val="00B9069E"/>
    <w:rsid w:val="00BA6C08"/>
    <w:rsid w:val="00BA76C2"/>
    <w:rsid w:val="00BA7F02"/>
    <w:rsid w:val="00BB224C"/>
    <w:rsid w:val="00BC4776"/>
    <w:rsid w:val="00BD1BE3"/>
    <w:rsid w:val="00BE3434"/>
    <w:rsid w:val="00BE55E8"/>
    <w:rsid w:val="00BE7520"/>
    <w:rsid w:val="00BF16DF"/>
    <w:rsid w:val="00C02763"/>
    <w:rsid w:val="00C04083"/>
    <w:rsid w:val="00C12BA0"/>
    <w:rsid w:val="00C16F4B"/>
    <w:rsid w:val="00C26970"/>
    <w:rsid w:val="00C32E9F"/>
    <w:rsid w:val="00C64EE1"/>
    <w:rsid w:val="00C72325"/>
    <w:rsid w:val="00C83007"/>
    <w:rsid w:val="00C85A84"/>
    <w:rsid w:val="00C958DD"/>
    <w:rsid w:val="00CA1289"/>
    <w:rsid w:val="00CA3203"/>
    <w:rsid w:val="00CA714E"/>
    <w:rsid w:val="00CC1480"/>
    <w:rsid w:val="00CC5520"/>
    <w:rsid w:val="00CD2450"/>
    <w:rsid w:val="00CE2DA7"/>
    <w:rsid w:val="00D177B7"/>
    <w:rsid w:val="00D26F81"/>
    <w:rsid w:val="00D35FD0"/>
    <w:rsid w:val="00D43DEF"/>
    <w:rsid w:val="00D50E52"/>
    <w:rsid w:val="00D63711"/>
    <w:rsid w:val="00D67DD2"/>
    <w:rsid w:val="00D72B19"/>
    <w:rsid w:val="00DA5B80"/>
    <w:rsid w:val="00DC63F4"/>
    <w:rsid w:val="00DE155D"/>
    <w:rsid w:val="00E020CD"/>
    <w:rsid w:val="00E304AD"/>
    <w:rsid w:val="00E42EE3"/>
    <w:rsid w:val="00E46000"/>
    <w:rsid w:val="00E52B79"/>
    <w:rsid w:val="00E55D48"/>
    <w:rsid w:val="00E85B22"/>
    <w:rsid w:val="00E85B54"/>
    <w:rsid w:val="00E9335C"/>
    <w:rsid w:val="00EA2679"/>
    <w:rsid w:val="00EB3EE9"/>
    <w:rsid w:val="00EB6BB1"/>
    <w:rsid w:val="00EC0C1B"/>
    <w:rsid w:val="00EC79FD"/>
    <w:rsid w:val="00ED3937"/>
    <w:rsid w:val="00EE2B6F"/>
    <w:rsid w:val="00EE47BE"/>
    <w:rsid w:val="00F047E3"/>
    <w:rsid w:val="00F05B8B"/>
    <w:rsid w:val="00F14CEF"/>
    <w:rsid w:val="00F24EDA"/>
    <w:rsid w:val="00F36B4A"/>
    <w:rsid w:val="00F36D71"/>
    <w:rsid w:val="00F43B00"/>
    <w:rsid w:val="00F546D8"/>
    <w:rsid w:val="00F6374F"/>
    <w:rsid w:val="00F711A7"/>
    <w:rsid w:val="00F73FE1"/>
    <w:rsid w:val="00F7632F"/>
    <w:rsid w:val="00F77CE0"/>
    <w:rsid w:val="00F917C3"/>
    <w:rsid w:val="00F95101"/>
    <w:rsid w:val="00F97E5C"/>
    <w:rsid w:val="00FA6B14"/>
    <w:rsid w:val="00FC4713"/>
    <w:rsid w:val="00FC64F8"/>
    <w:rsid w:val="00FD2DBE"/>
    <w:rsid w:val="00FE0F31"/>
    <w:rsid w:val="00FE4057"/>
    <w:rsid w:val="00FE5E79"/>
    <w:rsid w:val="00FF17D9"/>
    <w:rsid w:val="00FF1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AB35"/>
  <w15:chartTrackingRefBased/>
  <w15:docId w15:val="{E6BD1F3E-2EB8-4BE1-A88C-5250C5EE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53"/>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C02763"/>
    <w:pPr>
      <w:keepNext/>
      <w:keepLines/>
      <w:spacing w:before="240"/>
      <w:outlineLvl w:val="0"/>
    </w:pPr>
    <w:rPr>
      <w:rFonts w:eastAsiaTheme="majorEastAsia" w:cstheme="majorBidi"/>
      <w:b/>
      <w:color w:val="7030A0"/>
      <w:sz w:val="28"/>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341DC8"/>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C64EE1"/>
    <w:pPr>
      <w:keepNext/>
      <w:keepLines/>
      <w:spacing w:before="40"/>
      <w:outlineLvl w:val="3"/>
    </w:pPr>
    <w:rPr>
      <w:rFonts w:eastAsiaTheme="majorEastAsia" w:cstheme="majorBidi"/>
      <w:b/>
      <w:iCs/>
      <w:color w:val="7030A0"/>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paragraph" w:styleId="Heading6">
    <w:name w:val="heading 6"/>
    <w:basedOn w:val="Normal"/>
    <w:next w:val="Normal"/>
    <w:link w:val="Heading6Char"/>
    <w:uiPriority w:val="9"/>
    <w:unhideWhenUsed/>
    <w:qFormat/>
    <w:rsid w:val="00FC471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63"/>
    <w:rPr>
      <w:rFonts w:ascii="Calibri Light" w:eastAsiaTheme="majorEastAsia" w:hAnsi="Calibri Light" w:cstheme="majorBidi"/>
      <w:b/>
      <w:color w:val="7030A0"/>
      <w:sz w:val="28"/>
      <w:szCs w:val="32"/>
      <w:lang w:val="en-GB" w:eastAsia="en-GB"/>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341DC8"/>
    <w:rPr>
      <w:rFonts w:asciiTheme="majorHAnsi" w:eastAsiaTheme="majorEastAsia" w:hAnsiTheme="majorHAnsi" w:cstheme="majorHAnsi"/>
      <w:b/>
      <w:color w:val="CC00FF"/>
      <w:szCs w:val="20"/>
      <w:lang w:val="en-US"/>
    </w:rPr>
  </w:style>
  <w:style w:type="character" w:customStyle="1" w:styleId="Heading4Char">
    <w:name w:val="Heading 4 Char"/>
    <w:basedOn w:val="DefaultParagraphFont"/>
    <w:link w:val="Heading4"/>
    <w:uiPriority w:val="9"/>
    <w:rsid w:val="00C64EE1"/>
    <w:rPr>
      <w:rFonts w:ascii="Calibri Light" w:eastAsiaTheme="majorEastAsia" w:hAnsi="Calibri Light" w:cstheme="majorBidi"/>
      <w:b/>
      <w:iCs/>
      <w:color w:val="7030A0"/>
      <w:lang w:val="en-GB" w:eastAsia="en-GB"/>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character" w:styleId="Hyperlink">
    <w:name w:val="Hyperlink"/>
    <w:basedOn w:val="DefaultParagraphFont"/>
    <w:uiPriority w:val="99"/>
    <w:unhideWhenUsed/>
    <w:rsid w:val="002869F4"/>
    <w:rPr>
      <w:color w:val="0000FF"/>
      <w:u w:val="single"/>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2869F4"/>
    <w:pPr>
      <w:ind w:left="720"/>
      <w:contextualSpacing/>
    </w:pPr>
  </w:style>
  <w:style w:type="paragraph" w:styleId="NoSpacing">
    <w:name w:val="No Spacing"/>
    <w:uiPriority w:val="1"/>
    <w:qFormat/>
    <w:rsid w:val="002A5153"/>
    <w:pPr>
      <w:spacing w:after="0" w:line="240" w:lineRule="auto"/>
      <w:jc w:val="both"/>
    </w:pPr>
    <w:rPr>
      <w:rFonts w:asciiTheme="majorHAnsi" w:hAnsiTheme="majorHAns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2A5153"/>
    <w:rPr>
      <w:rFonts w:ascii="Calibri Light" w:hAnsi="Calibri Light" w:cs="Times New Roman"/>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2A515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A5153"/>
    <w:pPr>
      <w:spacing w:line="240" w:lineRule="exact"/>
    </w:pPr>
    <w:rPr>
      <w:rFonts w:asciiTheme="minorHAnsi" w:hAnsiTheme="minorHAnsi" w:cstheme="minorBidi"/>
      <w:vertAlign w:val="superscript"/>
      <w:lang w:val="en-AU" w:eastAsia="en-US"/>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locked/>
    <w:rsid w:val="002A5153"/>
    <w:rPr>
      <w:sz w:val="20"/>
      <w:szCs w:val="20"/>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2 Char,Footnote Text Char1 Char1"/>
    <w:basedOn w:val="Normal"/>
    <w:link w:val="FootnoteTextChar"/>
    <w:uiPriority w:val="99"/>
    <w:unhideWhenUsed/>
    <w:qFormat/>
    <w:rsid w:val="002A5153"/>
    <w:pPr>
      <w:spacing w:before="0" w:after="0"/>
      <w:jc w:val="left"/>
    </w:pPr>
    <w:rPr>
      <w:rFonts w:asciiTheme="minorHAnsi" w:hAnsiTheme="minorHAnsi" w:cstheme="minorBidi"/>
      <w:sz w:val="20"/>
      <w:szCs w:val="20"/>
      <w:lang w:val="en-AU" w:eastAsia="en-US"/>
    </w:rPr>
  </w:style>
  <w:style w:type="character" w:customStyle="1" w:styleId="FootnoteTextChar1">
    <w:name w:val="Footnote Text Char1"/>
    <w:basedOn w:val="DefaultParagraphFont"/>
    <w:uiPriority w:val="99"/>
    <w:semiHidden/>
    <w:rsid w:val="002A5153"/>
    <w:rPr>
      <w:rFonts w:ascii="Calibri Light" w:hAnsi="Calibri Light" w:cs="Times New Roman"/>
      <w:sz w:val="20"/>
      <w:szCs w:val="20"/>
      <w:lang w:val="en-GB" w:eastAsia="en-GB"/>
    </w:rPr>
  </w:style>
  <w:style w:type="paragraph" w:customStyle="1" w:styleId="Default">
    <w:name w:val="Default"/>
    <w:rsid w:val="002A51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sChar">
    <w:name w:val="Footnotes Char"/>
    <w:basedOn w:val="FootnoteTextChar"/>
    <w:link w:val="Footnotes"/>
    <w:locked/>
    <w:rsid w:val="002A5153"/>
    <w:rPr>
      <w:rFonts w:ascii="Calibri" w:hAnsi="Calibri" w:cstheme="minorHAnsi"/>
      <w:sz w:val="18"/>
      <w:szCs w:val="20"/>
      <w:lang w:val="en-GB"/>
    </w:rPr>
  </w:style>
  <w:style w:type="paragraph" w:customStyle="1" w:styleId="Footnotes">
    <w:name w:val="Footnotes"/>
    <w:basedOn w:val="FootnoteText"/>
    <w:link w:val="FootnotesChar"/>
    <w:autoRedefine/>
    <w:qFormat/>
    <w:rsid w:val="002A5153"/>
    <w:rPr>
      <w:rFonts w:ascii="Calibri" w:hAnsi="Calibri" w:cstheme="minorHAnsi"/>
      <w:sz w:val="18"/>
      <w:lang w:val="en-GB"/>
    </w:rPr>
  </w:style>
  <w:style w:type="character" w:customStyle="1" w:styleId="A1">
    <w:name w:val="A1"/>
    <w:uiPriority w:val="99"/>
    <w:rsid w:val="002A5153"/>
    <w:rPr>
      <w:rFonts w:ascii="Helvetica 65 Medium" w:hAnsi="Helvetica 65 Medium" w:cs="Helvetica 65 Medium" w:hint="default"/>
      <w:color w:val="000000"/>
      <w:sz w:val="20"/>
      <w:szCs w:val="20"/>
    </w:rPr>
  </w:style>
  <w:style w:type="character" w:styleId="EndnoteReference">
    <w:name w:val="endnote reference"/>
    <w:basedOn w:val="DefaultParagraphFont"/>
    <w:uiPriority w:val="99"/>
    <w:semiHidden/>
    <w:unhideWhenUsed/>
    <w:rsid w:val="002A5153"/>
    <w:rPr>
      <w:vertAlign w:val="superscript"/>
    </w:rPr>
  </w:style>
  <w:style w:type="paragraph" w:styleId="EndnoteText">
    <w:name w:val="endnote text"/>
    <w:basedOn w:val="Normal"/>
    <w:link w:val="EndnoteTextChar"/>
    <w:uiPriority w:val="99"/>
    <w:semiHidden/>
    <w:unhideWhenUsed/>
    <w:rsid w:val="002A5153"/>
    <w:pPr>
      <w:spacing w:before="0" w:after="0"/>
    </w:pPr>
    <w:rPr>
      <w:rFonts w:asciiTheme="majorHAnsi" w:hAnsiTheme="majorHAnsi" w:cstheme="minorBidi"/>
      <w:sz w:val="20"/>
      <w:szCs w:val="20"/>
      <w:lang w:val="en-AU" w:eastAsia="en-US"/>
    </w:rPr>
  </w:style>
  <w:style w:type="character" w:customStyle="1" w:styleId="EndnoteTextChar">
    <w:name w:val="Endnote Text Char"/>
    <w:basedOn w:val="DefaultParagraphFont"/>
    <w:link w:val="EndnoteText"/>
    <w:uiPriority w:val="99"/>
    <w:semiHidden/>
    <w:rsid w:val="002A5153"/>
    <w:rPr>
      <w:rFonts w:asciiTheme="majorHAnsi" w:hAnsiTheme="majorHAnsi"/>
      <w:sz w:val="20"/>
      <w:szCs w:val="20"/>
    </w:rPr>
  </w:style>
  <w:style w:type="character" w:styleId="CommentReference">
    <w:name w:val="annotation reference"/>
    <w:basedOn w:val="DefaultParagraphFont"/>
    <w:uiPriority w:val="99"/>
    <w:semiHidden/>
    <w:unhideWhenUsed/>
    <w:rsid w:val="00FC4713"/>
    <w:rPr>
      <w:sz w:val="16"/>
      <w:szCs w:val="16"/>
    </w:rPr>
  </w:style>
  <w:style w:type="paragraph" w:styleId="CommentText">
    <w:name w:val="annotation text"/>
    <w:basedOn w:val="Normal"/>
    <w:link w:val="CommentTextChar"/>
    <w:uiPriority w:val="99"/>
    <w:unhideWhenUsed/>
    <w:rsid w:val="00FC4713"/>
    <w:rPr>
      <w:sz w:val="20"/>
      <w:szCs w:val="20"/>
    </w:rPr>
  </w:style>
  <w:style w:type="character" w:customStyle="1" w:styleId="CommentTextChar">
    <w:name w:val="Comment Text Char"/>
    <w:basedOn w:val="DefaultParagraphFont"/>
    <w:link w:val="CommentText"/>
    <w:uiPriority w:val="99"/>
    <w:rsid w:val="00FC4713"/>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4713"/>
    <w:rPr>
      <w:b/>
      <w:bCs/>
    </w:rPr>
  </w:style>
  <w:style w:type="character" w:customStyle="1" w:styleId="CommentSubjectChar">
    <w:name w:val="Comment Subject Char"/>
    <w:basedOn w:val="CommentTextChar"/>
    <w:link w:val="CommentSubject"/>
    <w:uiPriority w:val="99"/>
    <w:semiHidden/>
    <w:rsid w:val="00FC4713"/>
    <w:rPr>
      <w:rFonts w:ascii="Calibri Light" w:hAnsi="Calibri Light" w:cs="Times New Roman"/>
      <w:b/>
      <w:bCs/>
      <w:sz w:val="20"/>
      <w:szCs w:val="20"/>
      <w:lang w:val="en-GB" w:eastAsia="en-GB"/>
    </w:rPr>
  </w:style>
  <w:style w:type="paragraph" w:styleId="BalloonText">
    <w:name w:val="Balloon Text"/>
    <w:basedOn w:val="Normal"/>
    <w:link w:val="BalloonTextChar"/>
    <w:uiPriority w:val="99"/>
    <w:semiHidden/>
    <w:unhideWhenUsed/>
    <w:rsid w:val="00FC47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13"/>
    <w:rPr>
      <w:rFonts w:ascii="Segoe UI" w:hAnsi="Segoe UI" w:cs="Segoe UI"/>
      <w:sz w:val="18"/>
      <w:szCs w:val="18"/>
      <w:lang w:val="en-GB" w:eastAsia="en-GB"/>
    </w:rPr>
  </w:style>
  <w:style w:type="character" w:customStyle="1" w:styleId="Heading6Char">
    <w:name w:val="Heading 6 Char"/>
    <w:basedOn w:val="DefaultParagraphFont"/>
    <w:link w:val="Heading6"/>
    <w:uiPriority w:val="9"/>
    <w:rsid w:val="00FC4713"/>
    <w:rPr>
      <w:rFonts w:asciiTheme="majorHAnsi" w:eastAsiaTheme="majorEastAsia" w:hAnsiTheme="majorHAnsi" w:cstheme="majorBidi"/>
      <w:color w:val="1F4D78" w:themeColor="accent1" w:themeShade="7F"/>
      <w:lang w:val="en-GB" w:eastAsia="en-GB"/>
    </w:rPr>
  </w:style>
  <w:style w:type="paragraph" w:styleId="NormalWeb">
    <w:name w:val="Normal (Web)"/>
    <w:basedOn w:val="Normal"/>
    <w:uiPriority w:val="99"/>
    <w:unhideWhenUsed/>
    <w:rsid w:val="00F6374F"/>
    <w:pPr>
      <w:spacing w:before="100" w:beforeAutospacing="1" w:after="100" w:afterAutospacing="1"/>
      <w:jc w:val="left"/>
    </w:pPr>
    <w:rPr>
      <w:rFonts w:ascii="Times New Roman" w:eastAsia="Times New Roman" w:hAnsi="Times New Roman"/>
      <w:sz w:val="24"/>
      <w:szCs w:val="24"/>
      <w:lang w:val="en-AU" w:eastAsia="en-AU"/>
    </w:rPr>
  </w:style>
  <w:style w:type="table" w:styleId="TableGrid">
    <w:name w:val="Table Grid"/>
    <w:basedOn w:val="TableNormal"/>
    <w:uiPriority w:val="39"/>
    <w:rsid w:val="0019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F45"/>
    <w:rPr>
      <w:color w:val="954F72" w:themeColor="followedHyperlink"/>
      <w:u w:val="single"/>
    </w:rPr>
  </w:style>
  <w:style w:type="paragraph" w:styleId="Header">
    <w:name w:val="header"/>
    <w:basedOn w:val="Normal"/>
    <w:link w:val="HeaderChar"/>
    <w:uiPriority w:val="99"/>
    <w:unhideWhenUsed/>
    <w:rsid w:val="00046569"/>
    <w:pPr>
      <w:tabs>
        <w:tab w:val="center" w:pos="4513"/>
        <w:tab w:val="right" w:pos="9026"/>
      </w:tabs>
      <w:spacing w:before="0" w:after="0"/>
    </w:pPr>
  </w:style>
  <w:style w:type="character" w:customStyle="1" w:styleId="HeaderChar">
    <w:name w:val="Header Char"/>
    <w:basedOn w:val="DefaultParagraphFont"/>
    <w:link w:val="Header"/>
    <w:uiPriority w:val="99"/>
    <w:rsid w:val="00046569"/>
    <w:rPr>
      <w:rFonts w:ascii="Calibri Light" w:hAnsi="Calibri Light" w:cs="Times New Roman"/>
      <w:lang w:val="en-GB" w:eastAsia="en-GB"/>
    </w:rPr>
  </w:style>
  <w:style w:type="paragraph" w:styleId="Footer">
    <w:name w:val="footer"/>
    <w:basedOn w:val="Normal"/>
    <w:link w:val="FooterChar"/>
    <w:uiPriority w:val="99"/>
    <w:unhideWhenUsed/>
    <w:rsid w:val="00046569"/>
    <w:pPr>
      <w:tabs>
        <w:tab w:val="center" w:pos="4513"/>
        <w:tab w:val="right" w:pos="9026"/>
      </w:tabs>
      <w:spacing w:before="0" w:after="0"/>
    </w:pPr>
  </w:style>
  <w:style w:type="character" w:customStyle="1" w:styleId="FooterChar">
    <w:name w:val="Footer Char"/>
    <w:basedOn w:val="DefaultParagraphFont"/>
    <w:link w:val="Footer"/>
    <w:uiPriority w:val="99"/>
    <w:rsid w:val="00046569"/>
    <w:rPr>
      <w:rFonts w:ascii="Calibri Light" w:hAnsi="Calibri Light" w:cs="Times New Roman"/>
      <w:lang w:val="en-GB" w:eastAsia="en-GB"/>
    </w:rPr>
  </w:style>
  <w:style w:type="character" w:customStyle="1" w:styleId="il">
    <w:name w:val="il"/>
    <w:basedOn w:val="DefaultParagraphFont"/>
    <w:rsid w:val="009A1529"/>
  </w:style>
  <w:style w:type="character" w:customStyle="1" w:styleId="im">
    <w:name w:val="im"/>
    <w:basedOn w:val="DefaultParagraphFont"/>
    <w:rsid w:val="009A1529"/>
  </w:style>
  <w:style w:type="paragraph" w:customStyle="1" w:styleId="m6428907990986061391gmail-m-4455732260121160753msolistparagraph">
    <w:name w:val="m_6428907990986061391gmail-m-4455732260121160753msolistparagraph"/>
    <w:basedOn w:val="Normal"/>
    <w:rsid w:val="009A1529"/>
    <w:pPr>
      <w:spacing w:before="100" w:beforeAutospacing="1" w:after="100" w:afterAutospacing="1"/>
      <w:jc w:val="left"/>
    </w:pPr>
    <w:rPr>
      <w:rFonts w:ascii="Times New Roman" w:eastAsia="Times New Roman" w:hAnsi="Times New Roman"/>
      <w:sz w:val="24"/>
      <w:szCs w:val="24"/>
      <w:lang w:val="en-AU" w:eastAsia="en-AU"/>
    </w:rPr>
  </w:style>
  <w:style w:type="paragraph" w:customStyle="1" w:styleId="m-4769945494600095864msolistparagraph">
    <w:name w:val="m_-4769945494600095864msolistparagraph"/>
    <w:basedOn w:val="Normal"/>
    <w:rsid w:val="009A1529"/>
    <w:pPr>
      <w:spacing w:before="100" w:beforeAutospacing="1" w:after="100" w:afterAutospacing="1"/>
      <w:jc w:val="left"/>
    </w:pPr>
    <w:rPr>
      <w:rFonts w:ascii="Times New Roman" w:eastAsia="Times New Roman" w:hAnsi="Times New Roman"/>
      <w:sz w:val="24"/>
      <w:szCs w:val="24"/>
      <w:lang w:val="en-AU" w:eastAsia="en-AU"/>
    </w:rPr>
  </w:style>
  <w:style w:type="paragraph" w:styleId="TOCHeading">
    <w:name w:val="TOC Heading"/>
    <w:basedOn w:val="Heading1"/>
    <w:next w:val="Normal"/>
    <w:uiPriority w:val="39"/>
    <w:unhideWhenUsed/>
    <w:qFormat/>
    <w:rsid w:val="00F14CEF"/>
    <w:pPr>
      <w:spacing w:after="0" w:line="259" w:lineRule="auto"/>
      <w:jc w:val="left"/>
      <w:outlineLvl w:val="9"/>
    </w:pPr>
    <w:rPr>
      <w:rFonts w:asciiTheme="majorHAnsi" w:hAnsiTheme="majorHAnsi"/>
      <w:b w:val="0"/>
      <w:color w:val="2E74B5" w:themeColor="accent1" w:themeShade="BF"/>
      <w:lang w:val="en-US" w:eastAsia="en-US"/>
    </w:rPr>
  </w:style>
  <w:style w:type="paragraph" w:styleId="TOC2">
    <w:name w:val="toc 2"/>
    <w:basedOn w:val="Normal"/>
    <w:next w:val="Normal"/>
    <w:autoRedefine/>
    <w:uiPriority w:val="39"/>
    <w:unhideWhenUsed/>
    <w:rsid w:val="00F14CEF"/>
    <w:pPr>
      <w:spacing w:before="0" w:after="100" w:line="259" w:lineRule="auto"/>
      <w:ind w:left="220"/>
      <w:jc w:val="left"/>
    </w:pPr>
    <w:rPr>
      <w:rFonts w:asciiTheme="minorHAnsi" w:eastAsiaTheme="minorEastAsia" w:hAnsiTheme="minorHAnsi"/>
      <w:lang w:val="en-US" w:eastAsia="en-US"/>
    </w:rPr>
  </w:style>
  <w:style w:type="paragraph" w:styleId="TOC1">
    <w:name w:val="toc 1"/>
    <w:basedOn w:val="Normal"/>
    <w:next w:val="Normal"/>
    <w:autoRedefine/>
    <w:uiPriority w:val="39"/>
    <w:unhideWhenUsed/>
    <w:rsid w:val="00F14CEF"/>
    <w:pPr>
      <w:spacing w:before="0" w:after="100" w:line="259" w:lineRule="auto"/>
      <w:jc w:val="left"/>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F14CEF"/>
    <w:pPr>
      <w:spacing w:before="0" w:after="100" w:line="259" w:lineRule="auto"/>
      <w:ind w:left="440"/>
      <w:jc w:val="left"/>
    </w:pPr>
    <w:rPr>
      <w:rFonts w:asciiTheme="minorHAnsi" w:eastAsiaTheme="minorEastAsia" w:hAnsiTheme="minorHAnsi"/>
      <w:lang w:val="en-US" w:eastAsia="en-US"/>
    </w:rPr>
  </w:style>
  <w:style w:type="paragraph" w:styleId="TOC4">
    <w:name w:val="toc 4"/>
    <w:basedOn w:val="Normal"/>
    <w:next w:val="Normal"/>
    <w:autoRedefine/>
    <w:uiPriority w:val="39"/>
    <w:unhideWhenUsed/>
    <w:rsid w:val="00BA7F02"/>
    <w:pPr>
      <w:tabs>
        <w:tab w:val="right" w:leader="dot" w:pos="9323"/>
      </w:tabs>
      <w:spacing w:before="60" w:after="60"/>
    </w:pPr>
  </w:style>
  <w:style w:type="paragraph" w:styleId="TOC6">
    <w:name w:val="toc 6"/>
    <w:basedOn w:val="Normal"/>
    <w:next w:val="Normal"/>
    <w:autoRedefine/>
    <w:uiPriority w:val="39"/>
    <w:unhideWhenUsed/>
    <w:rsid w:val="0058414F"/>
    <w:pPr>
      <w:tabs>
        <w:tab w:val="right" w:leader="dot" w:pos="9323"/>
      </w:tabs>
      <w:spacing w:after="100"/>
      <w:ind w:left="142"/>
    </w:pPr>
  </w:style>
  <w:style w:type="paragraph" w:customStyle="1" w:styleId="highlight-title">
    <w:name w:val="highlight-title"/>
    <w:basedOn w:val="Normal"/>
    <w:rsid w:val="00715FC1"/>
    <w:pPr>
      <w:spacing w:before="100" w:beforeAutospacing="1" w:after="100" w:afterAutospacing="1"/>
      <w:jc w:val="left"/>
    </w:pPr>
    <w:rPr>
      <w:rFonts w:ascii="Times New Roman" w:eastAsia="Times New Roman" w:hAnsi="Times New Roman"/>
      <w:sz w:val="24"/>
      <w:szCs w:val="24"/>
      <w:lang w:val="en-AU" w:eastAsia="en-AU"/>
    </w:rPr>
  </w:style>
  <w:style w:type="paragraph" w:customStyle="1" w:styleId="highlight-text">
    <w:name w:val="highlight-text"/>
    <w:basedOn w:val="Normal"/>
    <w:rsid w:val="00715FC1"/>
    <w:pPr>
      <w:spacing w:before="100" w:beforeAutospacing="1" w:after="100" w:afterAutospacing="1"/>
      <w:jc w:val="left"/>
    </w:pPr>
    <w:rPr>
      <w:rFonts w:ascii="Times New Roman" w:eastAsia="Times New Roman" w:hAnsi="Times New Roman"/>
      <w:sz w:val="24"/>
      <w:szCs w:val="24"/>
      <w:lang w:val="en-AU" w:eastAsia="en-AU"/>
    </w:rPr>
  </w:style>
  <w:style w:type="paragraph" w:customStyle="1" w:styleId="Pa5">
    <w:name w:val="Pa5"/>
    <w:basedOn w:val="Default"/>
    <w:next w:val="Default"/>
    <w:uiPriority w:val="99"/>
    <w:rsid w:val="00701FD1"/>
    <w:pPr>
      <w:spacing w:line="191" w:lineRule="atLeast"/>
    </w:pPr>
    <w:rPr>
      <w:rFonts w:ascii="Frutiger" w:hAnsi="Frutiger" w:cstheme="minorBidi"/>
      <w:color w:val="auto"/>
    </w:rPr>
  </w:style>
  <w:style w:type="character" w:customStyle="1" w:styleId="A9">
    <w:name w:val="A9"/>
    <w:uiPriority w:val="99"/>
    <w:rsid w:val="001C3C5C"/>
    <w:rPr>
      <w:color w:val="000000"/>
      <w:sz w:val="14"/>
      <w:szCs w:val="14"/>
    </w:rPr>
  </w:style>
  <w:style w:type="paragraph" w:customStyle="1" w:styleId="Pa10">
    <w:name w:val="Pa10"/>
    <w:basedOn w:val="Default"/>
    <w:next w:val="Default"/>
    <w:uiPriority w:val="99"/>
    <w:rsid w:val="001C3C5C"/>
    <w:pPr>
      <w:spacing w:line="241" w:lineRule="atLeast"/>
    </w:pPr>
    <w:rPr>
      <w:rFonts w:ascii="Arial" w:hAnsi="Arial" w:cs="Arial"/>
      <w:color w:val="auto"/>
    </w:rPr>
  </w:style>
  <w:style w:type="character" w:styleId="Emphasis">
    <w:name w:val="Emphasis"/>
    <w:basedOn w:val="DefaultParagraphFont"/>
    <w:uiPriority w:val="20"/>
    <w:qFormat/>
    <w:rsid w:val="00BC4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034">
      <w:bodyDiv w:val="1"/>
      <w:marLeft w:val="0"/>
      <w:marRight w:val="0"/>
      <w:marTop w:val="0"/>
      <w:marBottom w:val="0"/>
      <w:divBdr>
        <w:top w:val="none" w:sz="0" w:space="0" w:color="auto"/>
        <w:left w:val="none" w:sz="0" w:space="0" w:color="auto"/>
        <w:bottom w:val="none" w:sz="0" w:space="0" w:color="auto"/>
        <w:right w:val="none" w:sz="0" w:space="0" w:color="auto"/>
      </w:divBdr>
    </w:div>
    <w:div w:id="127434197">
      <w:bodyDiv w:val="1"/>
      <w:marLeft w:val="0"/>
      <w:marRight w:val="0"/>
      <w:marTop w:val="0"/>
      <w:marBottom w:val="0"/>
      <w:divBdr>
        <w:top w:val="none" w:sz="0" w:space="0" w:color="auto"/>
        <w:left w:val="none" w:sz="0" w:space="0" w:color="auto"/>
        <w:bottom w:val="none" w:sz="0" w:space="0" w:color="auto"/>
        <w:right w:val="none" w:sz="0" w:space="0" w:color="auto"/>
      </w:divBdr>
    </w:div>
    <w:div w:id="137040850">
      <w:bodyDiv w:val="1"/>
      <w:marLeft w:val="0"/>
      <w:marRight w:val="0"/>
      <w:marTop w:val="0"/>
      <w:marBottom w:val="0"/>
      <w:divBdr>
        <w:top w:val="none" w:sz="0" w:space="0" w:color="auto"/>
        <w:left w:val="none" w:sz="0" w:space="0" w:color="auto"/>
        <w:bottom w:val="none" w:sz="0" w:space="0" w:color="auto"/>
        <w:right w:val="none" w:sz="0" w:space="0" w:color="auto"/>
      </w:divBdr>
    </w:div>
    <w:div w:id="188570253">
      <w:bodyDiv w:val="1"/>
      <w:marLeft w:val="0"/>
      <w:marRight w:val="0"/>
      <w:marTop w:val="0"/>
      <w:marBottom w:val="0"/>
      <w:divBdr>
        <w:top w:val="none" w:sz="0" w:space="0" w:color="auto"/>
        <w:left w:val="none" w:sz="0" w:space="0" w:color="auto"/>
        <w:bottom w:val="none" w:sz="0" w:space="0" w:color="auto"/>
        <w:right w:val="none" w:sz="0" w:space="0" w:color="auto"/>
      </w:divBdr>
    </w:div>
    <w:div w:id="217521305">
      <w:bodyDiv w:val="1"/>
      <w:marLeft w:val="0"/>
      <w:marRight w:val="0"/>
      <w:marTop w:val="0"/>
      <w:marBottom w:val="0"/>
      <w:divBdr>
        <w:top w:val="none" w:sz="0" w:space="0" w:color="auto"/>
        <w:left w:val="none" w:sz="0" w:space="0" w:color="auto"/>
        <w:bottom w:val="none" w:sz="0" w:space="0" w:color="auto"/>
        <w:right w:val="none" w:sz="0" w:space="0" w:color="auto"/>
      </w:divBdr>
    </w:div>
    <w:div w:id="228619039">
      <w:bodyDiv w:val="1"/>
      <w:marLeft w:val="0"/>
      <w:marRight w:val="0"/>
      <w:marTop w:val="0"/>
      <w:marBottom w:val="0"/>
      <w:divBdr>
        <w:top w:val="none" w:sz="0" w:space="0" w:color="auto"/>
        <w:left w:val="none" w:sz="0" w:space="0" w:color="auto"/>
        <w:bottom w:val="none" w:sz="0" w:space="0" w:color="auto"/>
        <w:right w:val="none" w:sz="0" w:space="0" w:color="auto"/>
      </w:divBdr>
    </w:div>
    <w:div w:id="238098265">
      <w:bodyDiv w:val="1"/>
      <w:marLeft w:val="0"/>
      <w:marRight w:val="0"/>
      <w:marTop w:val="0"/>
      <w:marBottom w:val="0"/>
      <w:divBdr>
        <w:top w:val="none" w:sz="0" w:space="0" w:color="auto"/>
        <w:left w:val="none" w:sz="0" w:space="0" w:color="auto"/>
        <w:bottom w:val="none" w:sz="0" w:space="0" w:color="auto"/>
        <w:right w:val="none" w:sz="0" w:space="0" w:color="auto"/>
      </w:divBdr>
    </w:div>
    <w:div w:id="269968125">
      <w:bodyDiv w:val="1"/>
      <w:marLeft w:val="0"/>
      <w:marRight w:val="0"/>
      <w:marTop w:val="0"/>
      <w:marBottom w:val="0"/>
      <w:divBdr>
        <w:top w:val="none" w:sz="0" w:space="0" w:color="auto"/>
        <w:left w:val="none" w:sz="0" w:space="0" w:color="auto"/>
        <w:bottom w:val="none" w:sz="0" w:space="0" w:color="auto"/>
        <w:right w:val="none" w:sz="0" w:space="0" w:color="auto"/>
      </w:divBdr>
    </w:div>
    <w:div w:id="316569071">
      <w:bodyDiv w:val="1"/>
      <w:marLeft w:val="0"/>
      <w:marRight w:val="0"/>
      <w:marTop w:val="0"/>
      <w:marBottom w:val="0"/>
      <w:divBdr>
        <w:top w:val="none" w:sz="0" w:space="0" w:color="auto"/>
        <w:left w:val="none" w:sz="0" w:space="0" w:color="auto"/>
        <w:bottom w:val="none" w:sz="0" w:space="0" w:color="auto"/>
        <w:right w:val="none" w:sz="0" w:space="0" w:color="auto"/>
      </w:divBdr>
    </w:div>
    <w:div w:id="412245101">
      <w:bodyDiv w:val="1"/>
      <w:marLeft w:val="0"/>
      <w:marRight w:val="0"/>
      <w:marTop w:val="0"/>
      <w:marBottom w:val="0"/>
      <w:divBdr>
        <w:top w:val="none" w:sz="0" w:space="0" w:color="auto"/>
        <w:left w:val="none" w:sz="0" w:space="0" w:color="auto"/>
        <w:bottom w:val="none" w:sz="0" w:space="0" w:color="auto"/>
        <w:right w:val="none" w:sz="0" w:space="0" w:color="auto"/>
      </w:divBdr>
    </w:div>
    <w:div w:id="570433754">
      <w:bodyDiv w:val="1"/>
      <w:marLeft w:val="0"/>
      <w:marRight w:val="0"/>
      <w:marTop w:val="0"/>
      <w:marBottom w:val="0"/>
      <w:divBdr>
        <w:top w:val="none" w:sz="0" w:space="0" w:color="auto"/>
        <w:left w:val="none" w:sz="0" w:space="0" w:color="auto"/>
        <w:bottom w:val="none" w:sz="0" w:space="0" w:color="auto"/>
        <w:right w:val="none" w:sz="0" w:space="0" w:color="auto"/>
      </w:divBdr>
    </w:div>
    <w:div w:id="574126718">
      <w:bodyDiv w:val="1"/>
      <w:marLeft w:val="0"/>
      <w:marRight w:val="0"/>
      <w:marTop w:val="0"/>
      <w:marBottom w:val="0"/>
      <w:divBdr>
        <w:top w:val="none" w:sz="0" w:space="0" w:color="auto"/>
        <w:left w:val="none" w:sz="0" w:space="0" w:color="auto"/>
        <w:bottom w:val="none" w:sz="0" w:space="0" w:color="auto"/>
        <w:right w:val="none" w:sz="0" w:space="0" w:color="auto"/>
      </w:divBdr>
    </w:div>
    <w:div w:id="628124330">
      <w:bodyDiv w:val="1"/>
      <w:marLeft w:val="0"/>
      <w:marRight w:val="0"/>
      <w:marTop w:val="0"/>
      <w:marBottom w:val="0"/>
      <w:divBdr>
        <w:top w:val="none" w:sz="0" w:space="0" w:color="auto"/>
        <w:left w:val="none" w:sz="0" w:space="0" w:color="auto"/>
        <w:bottom w:val="none" w:sz="0" w:space="0" w:color="auto"/>
        <w:right w:val="none" w:sz="0" w:space="0" w:color="auto"/>
      </w:divBdr>
    </w:div>
    <w:div w:id="655838922">
      <w:bodyDiv w:val="1"/>
      <w:marLeft w:val="0"/>
      <w:marRight w:val="0"/>
      <w:marTop w:val="0"/>
      <w:marBottom w:val="0"/>
      <w:divBdr>
        <w:top w:val="none" w:sz="0" w:space="0" w:color="auto"/>
        <w:left w:val="none" w:sz="0" w:space="0" w:color="auto"/>
        <w:bottom w:val="none" w:sz="0" w:space="0" w:color="auto"/>
        <w:right w:val="none" w:sz="0" w:space="0" w:color="auto"/>
      </w:divBdr>
    </w:div>
    <w:div w:id="669597726">
      <w:bodyDiv w:val="1"/>
      <w:marLeft w:val="0"/>
      <w:marRight w:val="0"/>
      <w:marTop w:val="0"/>
      <w:marBottom w:val="0"/>
      <w:divBdr>
        <w:top w:val="none" w:sz="0" w:space="0" w:color="auto"/>
        <w:left w:val="none" w:sz="0" w:space="0" w:color="auto"/>
        <w:bottom w:val="none" w:sz="0" w:space="0" w:color="auto"/>
        <w:right w:val="none" w:sz="0" w:space="0" w:color="auto"/>
      </w:divBdr>
    </w:div>
    <w:div w:id="681782373">
      <w:bodyDiv w:val="1"/>
      <w:marLeft w:val="0"/>
      <w:marRight w:val="0"/>
      <w:marTop w:val="0"/>
      <w:marBottom w:val="0"/>
      <w:divBdr>
        <w:top w:val="none" w:sz="0" w:space="0" w:color="auto"/>
        <w:left w:val="none" w:sz="0" w:space="0" w:color="auto"/>
        <w:bottom w:val="none" w:sz="0" w:space="0" w:color="auto"/>
        <w:right w:val="none" w:sz="0" w:space="0" w:color="auto"/>
      </w:divBdr>
    </w:div>
    <w:div w:id="754009626">
      <w:bodyDiv w:val="1"/>
      <w:marLeft w:val="0"/>
      <w:marRight w:val="0"/>
      <w:marTop w:val="0"/>
      <w:marBottom w:val="0"/>
      <w:divBdr>
        <w:top w:val="none" w:sz="0" w:space="0" w:color="auto"/>
        <w:left w:val="none" w:sz="0" w:space="0" w:color="auto"/>
        <w:bottom w:val="none" w:sz="0" w:space="0" w:color="auto"/>
        <w:right w:val="none" w:sz="0" w:space="0" w:color="auto"/>
      </w:divBdr>
    </w:div>
    <w:div w:id="918565613">
      <w:bodyDiv w:val="1"/>
      <w:marLeft w:val="0"/>
      <w:marRight w:val="0"/>
      <w:marTop w:val="0"/>
      <w:marBottom w:val="0"/>
      <w:divBdr>
        <w:top w:val="none" w:sz="0" w:space="0" w:color="auto"/>
        <w:left w:val="none" w:sz="0" w:space="0" w:color="auto"/>
        <w:bottom w:val="none" w:sz="0" w:space="0" w:color="auto"/>
        <w:right w:val="none" w:sz="0" w:space="0" w:color="auto"/>
      </w:divBdr>
    </w:div>
    <w:div w:id="921258978">
      <w:bodyDiv w:val="1"/>
      <w:marLeft w:val="0"/>
      <w:marRight w:val="0"/>
      <w:marTop w:val="0"/>
      <w:marBottom w:val="0"/>
      <w:divBdr>
        <w:top w:val="none" w:sz="0" w:space="0" w:color="auto"/>
        <w:left w:val="none" w:sz="0" w:space="0" w:color="auto"/>
        <w:bottom w:val="none" w:sz="0" w:space="0" w:color="auto"/>
        <w:right w:val="none" w:sz="0" w:space="0" w:color="auto"/>
      </w:divBdr>
    </w:div>
    <w:div w:id="941034774">
      <w:bodyDiv w:val="1"/>
      <w:marLeft w:val="0"/>
      <w:marRight w:val="0"/>
      <w:marTop w:val="0"/>
      <w:marBottom w:val="0"/>
      <w:divBdr>
        <w:top w:val="none" w:sz="0" w:space="0" w:color="auto"/>
        <w:left w:val="none" w:sz="0" w:space="0" w:color="auto"/>
        <w:bottom w:val="none" w:sz="0" w:space="0" w:color="auto"/>
        <w:right w:val="none" w:sz="0" w:space="0" w:color="auto"/>
      </w:divBdr>
    </w:div>
    <w:div w:id="1089425015">
      <w:bodyDiv w:val="1"/>
      <w:marLeft w:val="0"/>
      <w:marRight w:val="0"/>
      <w:marTop w:val="0"/>
      <w:marBottom w:val="0"/>
      <w:divBdr>
        <w:top w:val="none" w:sz="0" w:space="0" w:color="auto"/>
        <w:left w:val="none" w:sz="0" w:space="0" w:color="auto"/>
        <w:bottom w:val="none" w:sz="0" w:space="0" w:color="auto"/>
        <w:right w:val="none" w:sz="0" w:space="0" w:color="auto"/>
      </w:divBdr>
    </w:div>
    <w:div w:id="1098015546">
      <w:bodyDiv w:val="1"/>
      <w:marLeft w:val="0"/>
      <w:marRight w:val="0"/>
      <w:marTop w:val="0"/>
      <w:marBottom w:val="0"/>
      <w:divBdr>
        <w:top w:val="none" w:sz="0" w:space="0" w:color="auto"/>
        <w:left w:val="none" w:sz="0" w:space="0" w:color="auto"/>
        <w:bottom w:val="none" w:sz="0" w:space="0" w:color="auto"/>
        <w:right w:val="none" w:sz="0" w:space="0" w:color="auto"/>
      </w:divBdr>
    </w:div>
    <w:div w:id="1105466068">
      <w:bodyDiv w:val="1"/>
      <w:marLeft w:val="0"/>
      <w:marRight w:val="0"/>
      <w:marTop w:val="0"/>
      <w:marBottom w:val="0"/>
      <w:divBdr>
        <w:top w:val="none" w:sz="0" w:space="0" w:color="auto"/>
        <w:left w:val="none" w:sz="0" w:space="0" w:color="auto"/>
        <w:bottom w:val="none" w:sz="0" w:space="0" w:color="auto"/>
        <w:right w:val="none" w:sz="0" w:space="0" w:color="auto"/>
      </w:divBdr>
    </w:div>
    <w:div w:id="1189298114">
      <w:bodyDiv w:val="1"/>
      <w:marLeft w:val="0"/>
      <w:marRight w:val="0"/>
      <w:marTop w:val="0"/>
      <w:marBottom w:val="0"/>
      <w:divBdr>
        <w:top w:val="none" w:sz="0" w:space="0" w:color="auto"/>
        <w:left w:val="none" w:sz="0" w:space="0" w:color="auto"/>
        <w:bottom w:val="none" w:sz="0" w:space="0" w:color="auto"/>
        <w:right w:val="none" w:sz="0" w:space="0" w:color="auto"/>
      </w:divBdr>
    </w:div>
    <w:div w:id="1353531116">
      <w:bodyDiv w:val="1"/>
      <w:marLeft w:val="0"/>
      <w:marRight w:val="0"/>
      <w:marTop w:val="0"/>
      <w:marBottom w:val="0"/>
      <w:divBdr>
        <w:top w:val="none" w:sz="0" w:space="0" w:color="auto"/>
        <w:left w:val="none" w:sz="0" w:space="0" w:color="auto"/>
        <w:bottom w:val="none" w:sz="0" w:space="0" w:color="auto"/>
        <w:right w:val="none" w:sz="0" w:space="0" w:color="auto"/>
      </w:divBdr>
    </w:div>
    <w:div w:id="1409424286">
      <w:bodyDiv w:val="1"/>
      <w:marLeft w:val="0"/>
      <w:marRight w:val="0"/>
      <w:marTop w:val="0"/>
      <w:marBottom w:val="0"/>
      <w:divBdr>
        <w:top w:val="none" w:sz="0" w:space="0" w:color="auto"/>
        <w:left w:val="none" w:sz="0" w:space="0" w:color="auto"/>
        <w:bottom w:val="none" w:sz="0" w:space="0" w:color="auto"/>
        <w:right w:val="none" w:sz="0" w:space="0" w:color="auto"/>
      </w:divBdr>
    </w:div>
    <w:div w:id="1410931684">
      <w:bodyDiv w:val="1"/>
      <w:marLeft w:val="0"/>
      <w:marRight w:val="0"/>
      <w:marTop w:val="0"/>
      <w:marBottom w:val="0"/>
      <w:divBdr>
        <w:top w:val="none" w:sz="0" w:space="0" w:color="auto"/>
        <w:left w:val="none" w:sz="0" w:space="0" w:color="auto"/>
        <w:bottom w:val="none" w:sz="0" w:space="0" w:color="auto"/>
        <w:right w:val="none" w:sz="0" w:space="0" w:color="auto"/>
      </w:divBdr>
    </w:div>
    <w:div w:id="1474178947">
      <w:bodyDiv w:val="1"/>
      <w:marLeft w:val="0"/>
      <w:marRight w:val="0"/>
      <w:marTop w:val="0"/>
      <w:marBottom w:val="0"/>
      <w:divBdr>
        <w:top w:val="none" w:sz="0" w:space="0" w:color="auto"/>
        <w:left w:val="none" w:sz="0" w:space="0" w:color="auto"/>
        <w:bottom w:val="none" w:sz="0" w:space="0" w:color="auto"/>
        <w:right w:val="none" w:sz="0" w:space="0" w:color="auto"/>
      </w:divBdr>
    </w:div>
    <w:div w:id="1501582289">
      <w:bodyDiv w:val="1"/>
      <w:marLeft w:val="0"/>
      <w:marRight w:val="0"/>
      <w:marTop w:val="0"/>
      <w:marBottom w:val="0"/>
      <w:divBdr>
        <w:top w:val="none" w:sz="0" w:space="0" w:color="auto"/>
        <w:left w:val="none" w:sz="0" w:space="0" w:color="auto"/>
        <w:bottom w:val="none" w:sz="0" w:space="0" w:color="auto"/>
        <w:right w:val="none" w:sz="0" w:space="0" w:color="auto"/>
      </w:divBdr>
    </w:div>
    <w:div w:id="1547064326">
      <w:bodyDiv w:val="1"/>
      <w:marLeft w:val="0"/>
      <w:marRight w:val="0"/>
      <w:marTop w:val="0"/>
      <w:marBottom w:val="0"/>
      <w:divBdr>
        <w:top w:val="none" w:sz="0" w:space="0" w:color="auto"/>
        <w:left w:val="none" w:sz="0" w:space="0" w:color="auto"/>
        <w:bottom w:val="none" w:sz="0" w:space="0" w:color="auto"/>
        <w:right w:val="none" w:sz="0" w:space="0" w:color="auto"/>
      </w:divBdr>
    </w:div>
    <w:div w:id="1636175475">
      <w:bodyDiv w:val="1"/>
      <w:marLeft w:val="0"/>
      <w:marRight w:val="0"/>
      <w:marTop w:val="0"/>
      <w:marBottom w:val="0"/>
      <w:divBdr>
        <w:top w:val="none" w:sz="0" w:space="0" w:color="auto"/>
        <w:left w:val="none" w:sz="0" w:space="0" w:color="auto"/>
        <w:bottom w:val="none" w:sz="0" w:space="0" w:color="auto"/>
        <w:right w:val="none" w:sz="0" w:space="0" w:color="auto"/>
      </w:divBdr>
    </w:div>
    <w:div w:id="1682118832">
      <w:bodyDiv w:val="1"/>
      <w:marLeft w:val="0"/>
      <w:marRight w:val="0"/>
      <w:marTop w:val="0"/>
      <w:marBottom w:val="0"/>
      <w:divBdr>
        <w:top w:val="none" w:sz="0" w:space="0" w:color="auto"/>
        <w:left w:val="none" w:sz="0" w:space="0" w:color="auto"/>
        <w:bottom w:val="none" w:sz="0" w:space="0" w:color="auto"/>
        <w:right w:val="none" w:sz="0" w:space="0" w:color="auto"/>
      </w:divBdr>
    </w:div>
    <w:div w:id="1830706262">
      <w:bodyDiv w:val="1"/>
      <w:marLeft w:val="0"/>
      <w:marRight w:val="0"/>
      <w:marTop w:val="0"/>
      <w:marBottom w:val="0"/>
      <w:divBdr>
        <w:top w:val="none" w:sz="0" w:space="0" w:color="auto"/>
        <w:left w:val="none" w:sz="0" w:space="0" w:color="auto"/>
        <w:bottom w:val="none" w:sz="0" w:space="0" w:color="auto"/>
        <w:right w:val="none" w:sz="0" w:space="0" w:color="auto"/>
      </w:divBdr>
    </w:div>
    <w:div w:id="1848710579">
      <w:bodyDiv w:val="1"/>
      <w:marLeft w:val="0"/>
      <w:marRight w:val="0"/>
      <w:marTop w:val="0"/>
      <w:marBottom w:val="0"/>
      <w:divBdr>
        <w:top w:val="none" w:sz="0" w:space="0" w:color="auto"/>
        <w:left w:val="none" w:sz="0" w:space="0" w:color="auto"/>
        <w:bottom w:val="none" w:sz="0" w:space="0" w:color="auto"/>
        <w:right w:val="none" w:sz="0" w:space="0" w:color="auto"/>
      </w:divBdr>
    </w:div>
    <w:div w:id="1858234719">
      <w:bodyDiv w:val="1"/>
      <w:marLeft w:val="0"/>
      <w:marRight w:val="0"/>
      <w:marTop w:val="0"/>
      <w:marBottom w:val="0"/>
      <w:divBdr>
        <w:top w:val="none" w:sz="0" w:space="0" w:color="auto"/>
        <w:left w:val="none" w:sz="0" w:space="0" w:color="auto"/>
        <w:bottom w:val="none" w:sz="0" w:space="0" w:color="auto"/>
        <w:right w:val="none" w:sz="0" w:space="0" w:color="auto"/>
      </w:divBdr>
    </w:div>
    <w:div w:id="1870602938">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2018386195">
      <w:bodyDiv w:val="1"/>
      <w:marLeft w:val="0"/>
      <w:marRight w:val="0"/>
      <w:marTop w:val="0"/>
      <w:marBottom w:val="0"/>
      <w:divBdr>
        <w:top w:val="none" w:sz="0" w:space="0" w:color="auto"/>
        <w:left w:val="none" w:sz="0" w:space="0" w:color="auto"/>
        <w:bottom w:val="none" w:sz="0" w:space="0" w:color="auto"/>
        <w:right w:val="none" w:sz="0" w:space="0" w:color="auto"/>
      </w:divBdr>
    </w:div>
    <w:div w:id="2030594287">
      <w:bodyDiv w:val="1"/>
      <w:marLeft w:val="0"/>
      <w:marRight w:val="0"/>
      <w:marTop w:val="0"/>
      <w:marBottom w:val="0"/>
      <w:divBdr>
        <w:top w:val="none" w:sz="0" w:space="0" w:color="auto"/>
        <w:left w:val="none" w:sz="0" w:space="0" w:color="auto"/>
        <w:bottom w:val="none" w:sz="0" w:space="0" w:color="auto"/>
        <w:right w:val="none" w:sz="0" w:space="0" w:color="auto"/>
      </w:divBdr>
    </w:div>
    <w:div w:id="2055157537">
      <w:bodyDiv w:val="1"/>
      <w:marLeft w:val="0"/>
      <w:marRight w:val="0"/>
      <w:marTop w:val="0"/>
      <w:marBottom w:val="0"/>
      <w:divBdr>
        <w:top w:val="none" w:sz="0" w:space="0" w:color="auto"/>
        <w:left w:val="none" w:sz="0" w:space="0" w:color="auto"/>
        <w:bottom w:val="none" w:sz="0" w:space="0" w:color="auto"/>
        <w:right w:val="none" w:sz="0" w:space="0" w:color="auto"/>
      </w:divBdr>
    </w:div>
    <w:div w:id="2069187093">
      <w:bodyDiv w:val="1"/>
      <w:marLeft w:val="0"/>
      <w:marRight w:val="0"/>
      <w:marTop w:val="0"/>
      <w:marBottom w:val="0"/>
      <w:divBdr>
        <w:top w:val="none" w:sz="0" w:space="0" w:color="auto"/>
        <w:left w:val="none" w:sz="0" w:space="0" w:color="auto"/>
        <w:bottom w:val="none" w:sz="0" w:space="0" w:color="auto"/>
        <w:right w:val="none" w:sz="0" w:space="0" w:color="auto"/>
      </w:divBdr>
    </w:div>
    <w:div w:id="2132286799">
      <w:bodyDiv w:val="1"/>
      <w:marLeft w:val="0"/>
      <w:marRight w:val="0"/>
      <w:marTop w:val="0"/>
      <w:marBottom w:val="0"/>
      <w:divBdr>
        <w:top w:val="none" w:sz="0" w:space="0" w:color="auto"/>
        <w:left w:val="none" w:sz="0" w:space="0" w:color="auto"/>
        <w:bottom w:val="none" w:sz="0" w:space="0" w:color="auto"/>
        <w:right w:val="none" w:sz="0" w:space="0" w:color="auto"/>
      </w:divBdr>
    </w:div>
    <w:div w:id="2132704549">
      <w:bodyDiv w:val="1"/>
      <w:marLeft w:val="0"/>
      <w:marRight w:val="0"/>
      <w:marTop w:val="0"/>
      <w:marBottom w:val="0"/>
      <w:divBdr>
        <w:top w:val="none" w:sz="0" w:space="0" w:color="auto"/>
        <w:left w:val="none" w:sz="0" w:space="0" w:color="auto"/>
        <w:bottom w:val="none" w:sz="0" w:space="0" w:color="auto"/>
        <w:right w:val="none" w:sz="0" w:space="0" w:color="auto"/>
      </w:divBdr>
      <w:divsChild>
        <w:div w:id="268201130">
          <w:marLeft w:val="0"/>
          <w:marRight w:val="0"/>
          <w:marTop w:val="0"/>
          <w:marBottom w:val="0"/>
          <w:divBdr>
            <w:top w:val="none" w:sz="0" w:space="0" w:color="auto"/>
            <w:left w:val="none" w:sz="0" w:space="0" w:color="auto"/>
            <w:bottom w:val="none" w:sz="0" w:space="0" w:color="auto"/>
            <w:right w:val="none" w:sz="0" w:space="0" w:color="auto"/>
          </w:divBdr>
        </w:div>
        <w:div w:id="1815485702">
          <w:marLeft w:val="0"/>
          <w:marRight w:val="0"/>
          <w:marTop w:val="0"/>
          <w:marBottom w:val="0"/>
          <w:divBdr>
            <w:top w:val="none" w:sz="0" w:space="0" w:color="auto"/>
            <w:left w:val="none" w:sz="0" w:space="0" w:color="auto"/>
            <w:bottom w:val="none" w:sz="0" w:space="0" w:color="auto"/>
            <w:right w:val="none" w:sz="0" w:space="0" w:color="auto"/>
          </w:divBdr>
        </w:div>
        <w:div w:id="2026394244">
          <w:marLeft w:val="0"/>
          <w:marRight w:val="0"/>
          <w:marTop w:val="0"/>
          <w:marBottom w:val="0"/>
          <w:divBdr>
            <w:top w:val="none" w:sz="0" w:space="0" w:color="auto"/>
            <w:left w:val="none" w:sz="0" w:space="0" w:color="auto"/>
            <w:bottom w:val="none" w:sz="0" w:space="0" w:color="auto"/>
            <w:right w:val="none" w:sz="0" w:space="0" w:color="auto"/>
          </w:divBdr>
        </w:div>
        <w:div w:id="1004631007">
          <w:marLeft w:val="0"/>
          <w:marRight w:val="0"/>
          <w:marTop w:val="0"/>
          <w:marBottom w:val="0"/>
          <w:divBdr>
            <w:top w:val="none" w:sz="0" w:space="0" w:color="auto"/>
            <w:left w:val="none" w:sz="0" w:space="0" w:color="auto"/>
            <w:bottom w:val="none" w:sz="0" w:space="0" w:color="auto"/>
            <w:right w:val="none" w:sz="0" w:space="0" w:color="auto"/>
          </w:divBdr>
        </w:div>
        <w:div w:id="178803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ava.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awava.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gea.gov.au/sites/default/files/Gender_Pay_Gap_Factsheet.pdf" TargetMode="External"/><Relationship Id="rId13" Type="http://schemas.openxmlformats.org/officeDocument/2006/relationships/hyperlink" Target="https://www.melbourneinstitute.com/downloads/hilda/Stat_Report/statreport_2015.pdf" TargetMode="External"/><Relationship Id="rId18" Type="http://schemas.openxmlformats.org/officeDocument/2006/relationships/hyperlink" Target="https://dh2wpaq0gtxwe.cloudfront.net/s3fs-public/BoD%20Horizons.pdf" TargetMode="External"/><Relationship Id="rId3" Type="http://schemas.openxmlformats.org/officeDocument/2006/relationships/hyperlink" Target="https://www.pwc.com.au/industry/government/assets/disability-in-australia.pdf" TargetMode="External"/><Relationship Id="rId21" Type="http://schemas.openxmlformats.org/officeDocument/2006/relationships/hyperlink" Target="https://www.aihw.gov.au/reports/homelessness-services/specialist-homelessness-services-2017-18/contents/clients-services-and-outcomes" TargetMode="External"/><Relationship Id="rId7" Type="http://schemas.openxmlformats.org/officeDocument/2006/relationships/hyperlink" Target="http://www.abs.gov.au/ausstats/abs@.nsf/mf/4153.0" TargetMode="External"/><Relationship Id="rId12" Type="http://schemas.openxmlformats.org/officeDocument/2006/relationships/hyperlink" Target="http://onlinelibrary.wiley.com/doi/10.1111/j.1759-3441.2009.00022.x/abstract" TargetMode="External"/><Relationship Id="rId17" Type="http://schemas.openxmlformats.org/officeDocument/2006/relationships/hyperlink" Target="http://media.aomx.com/anrows.org.au/s3fs-public/28%2010%2016%20BOD%20Compass.pdf" TargetMode="External"/><Relationship Id="rId2" Type="http://schemas.openxmlformats.org/officeDocument/2006/relationships/hyperlink" Target="https://www.goodshep.org.au/media/2168/poverty-in-australia-2018-report_fact-sheet_finaldocx.pdf" TargetMode="External"/><Relationship Id="rId16" Type="http://schemas.openxmlformats.org/officeDocument/2006/relationships/hyperlink" Target="http://www.abs.gov.au/ausstats/abs@.nsf/Lookup/4530.0main+features100022012-13" TargetMode="External"/><Relationship Id="rId20" Type="http://schemas.openxmlformats.org/officeDocument/2006/relationships/hyperlink" Target="http://www.aihw.gov.au/homelessness/specialist-homelessness-services-2014-15/clients-services-outcomes/" TargetMode="External"/><Relationship Id="rId1" Type="http://schemas.openxmlformats.org/officeDocument/2006/relationships/hyperlink" Target="https://www.humanrights.gov.au/our-work/age-discrimination/publications/older-womens-risk-homelessness-background-paper-2019" TargetMode="External"/><Relationship Id="rId6" Type="http://schemas.openxmlformats.org/officeDocument/2006/relationships/hyperlink" Target="http://www.abs.gov.au/ausstats/abs@.nsf/Lookup/by+Subject/4125.0~Jan+2012~Main+Features~Caring+for+children~4120" TargetMode="External"/><Relationship Id="rId11" Type="http://schemas.openxmlformats.org/officeDocument/2006/relationships/hyperlink" Target="https://www.wgea.gov.au/data/fact-sheets/australias-gender-pay-gap-statistics" TargetMode="External"/><Relationship Id="rId24" Type="http://schemas.openxmlformats.org/officeDocument/2006/relationships/hyperlink" Target="http://www.equalityrightsalliance.org.au/unpacking-the-womens-economic-security-statement/" TargetMode="External"/><Relationship Id="rId5" Type="http://schemas.openxmlformats.org/officeDocument/2006/relationships/hyperlink" Target="http://www.acoss.org.au/images/uploads/ACOSS_Poverty_in_Australia_2014.pdf" TargetMode="External"/><Relationship Id="rId15" Type="http://schemas.openxmlformats.org/officeDocument/2006/relationships/hyperlink" Target="http://www.abc.net.au/news/2016-04-21/domestic-violence/7341716" TargetMode="External"/><Relationship Id="rId23" Type="http://schemas.openxmlformats.org/officeDocument/2006/relationships/hyperlink" Target="https://www.actu.org.au/media/886617/actu-submission-to-fwc-family-and-domestic-violence-leave.pdf" TargetMode="External"/><Relationship Id="rId10" Type="http://schemas.openxmlformats.org/officeDocument/2006/relationships/hyperlink" Target="http://fecca.org.au/wp-content/uploads/2017/07/Independent-Inquiry-into-Insecure-Worksubmissionv_02.pdf" TargetMode="External"/><Relationship Id="rId19" Type="http://schemas.openxmlformats.org/officeDocument/2006/relationships/hyperlink" Target="https://www.actu.org.au/media/886617/actu-submission-to-fwc-family-and-domestic-violence-leave.pdf" TargetMode="External"/><Relationship Id="rId4" Type="http://schemas.openxmlformats.org/officeDocument/2006/relationships/hyperlink" Target="https://www.ncoss.org.au/sites/default/files/public/policy/LGBTIPovertyNCOSSLaunch_FINAL.pdf" TargetMode="External"/><Relationship Id="rId9" Type="http://schemas.openxmlformats.org/officeDocument/2006/relationships/hyperlink" Target="https://www.abs.gov.au/AUSSTATS/Abs@.Nsf/7d12b0f6763c78caca257061001cc588/5f17e6c26744e1d1ca25823800728282!OpenDocument" TargetMode="External"/><Relationship Id="rId14" Type="http://schemas.openxmlformats.org/officeDocument/2006/relationships/hyperlink" Target="https://www.aihw.gov.au/reports/homelessness-services/specialist-homelessness-services-2016-17/contents/clients-services-and-outcomes" TargetMode="External"/><Relationship Id="rId22" Type="http://schemas.openxmlformats.org/officeDocument/2006/relationships/hyperlink" Target="https://www.pwc.com.au/pdf/a-high-price-to-pa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A944-3F1B-4F18-BC04-8708C800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Policy Officer</cp:lastModifiedBy>
  <cp:revision>64</cp:revision>
  <cp:lastPrinted>2020-02-03T01:28:00Z</cp:lastPrinted>
  <dcterms:created xsi:type="dcterms:W3CDTF">2019-09-13T01:30:00Z</dcterms:created>
  <dcterms:modified xsi:type="dcterms:W3CDTF">2020-02-03T01:28:00Z</dcterms:modified>
</cp:coreProperties>
</file>