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898E4" w14:textId="1641325C" w:rsidR="00DA3D78" w:rsidRPr="002540CC" w:rsidRDefault="00DA3D78" w:rsidP="00DA3D78">
      <w:pPr>
        <w:pStyle w:val="Title"/>
        <w:rPr>
          <w:b/>
          <w:sz w:val="32"/>
          <w:szCs w:val="40"/>
          <w:lang w:val="en-US"/>
        </w:rPr>
      </w:pPr>
      <w:r w:rsidRPr="002540CC">
        <w:rPr>
          <w:b/>
          <w:sz w:val="32"/>
          <w:szCs w:val="40"/>
          <w:lang w:val="en-US"/>
        </w:rPr>
        <w:t>Analysis of the Fourth Action Plan of the National Plan to Reduce Violence against Women and their Children</w:t>
      </w:r>
    </w:p>
    <w:p w14:paraId="4766AA0D" w14:textId="2C0EC89F" w:rsidR="00D123DF" w:rsidRPr="00EA26F2" w:rsidRDefault="00DA3D78" w:rsidP="00DA3D78">
      <w:pPr>
        <w:rPr>
          <w:lang w:val="en-US"/>
        </w:rPr>
      </w:pPr>
      <w:r>
        <w:rPr>
          <w:lang w:val="en-US"/>
        </w:rPr>
        <w:t>The table below maps out the principles of the Fourth Action Plan (</w:t>
      </w:r>
      <w:r w:rsidR="00860951">
        <w:rPr>
          <w:lang w:val="en-US"/>
        </w:rPr>
        <w:t>which</w:t>
      </w:r>
      <w:r>
        <w:rPr>
          <w:lang w:val="en-US"/>
        </w:rPr>
        <w:t xml:space="preserve"> will underpin the implementation plan) against AWAVA’s policy position.</w:t>
      </w:r>
    </w:p>
    <w:tbl>
      <w:tblPr>
        <w:tblStyle w:val="GridTable4-Accent3"/>
        <w:tblW w:w="9356" w:type="dxa"/>
        <w:tblInd w:w="-147" w:type="dxa"/>
        <w:tblLook w:val="04A0" w:firstRow="1" w:lastRow="0" w:firstColumn="1" w:lastColumn="0" w:noHBand="0" w:noVBand="1"/>
      </w:tblPr>
      <w:tblGrid>
        <w:gridCol w:w="3544"/>
        <w:gridCol w:w="5812"/>
      </w:tblGrid>
      <w:tr w:rsidR="00DA3D78" w:rsidRPr="00802541" w14:paraId="6D513677" w14:textId="4E88F2B9" w:rsidTr="00DA3D78">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544" w:type="dxa"/>
            <w:shd w:val="clear" w:color="auto" w:fill="BDD6EE" w:themeFill="accent1" w:themeFillTint="66"/>
          </w:tcPr>
          <w:p w14:paraId="3F8DEE99" w14:textId="77777777" w:rsidR="00DA3D78" w:rsidRPr="00802541" w:rsidRDefault="00DA3D78" w:rsidP="000E7E02">
            <w:pPr>
              <w:pStyle w:val="NoSpacing"/>
              <w:jc w:val="center"/>
              <w:rPr>
                <w:rFonts w:asciiTheme="majorHAnsi" w:hAnsiTheme="majorHAnsi" w:cstheme="majorHAnsi"/>
                <w:color w:val="auto"/>
                <w:sz w:val="20"/>
                <w:szCs w:val="20"/>
                <w:lang w:val="en-US"/>
              </w:rPr>
            </w:pPr>
            <w:r w:rsidRPr="00802541">
              <w:rPr>
                <w:rFonts w:asciiTheme="majorHAnsi" w:hAnsiTheme="majorHAnsi" w:cstheme="majorHAnsi"/>
                <w:color w:val="auto"/>
                <w:sz w:val="20"/>
                <w:szCs w:val="20"/>
                <w:lang w:val="en-US"/>
              </w:rPr>
              <w:t>Fourth Action Plan</w:t>
            </w:r>
          </w:p>
          <w:p w14:paraId="7CBAFE94" w14:textId="7A11E93F" w:rsidR="00DA3D78" w:rsidRPr="00802541" w:rsidRDefault="00DA3D78" w:rsidP="000E7E02">
            <w:pPr>
              <w:pStyle w:val="NoSpacing"/>
              <w:jc w:val="center"/>
              <w:rPr>
                <w:rFonts w:asciiTheme="majorHAnsi" w:hAnsiTheme="majorHAnsi" w:cstheme="majorHAnsi"/>
                <w:sz w:val="20"/>
                <w:szCs w:val="20"/>
                <w:lang w:val="en-US"/>
              </w:rPr>
            </w:pPr>
            <w:r w:rsidRPr="00802541">
              <w:rPr>
                <w:rFonts w:asciiTheme="majorHAnsi" w:hAnsiTheme="majorHAnsi" w:cstheme="majorHAnsi"/>
                <w:color w:val="auto"/>
                <w:sz w:val="20"/>
                <w:szCs w:val="20"/>
                <w:lang w:val="en-US"/>
              </w:rPr>
              <w:t>Principles</w:t>
            </w:r>
          </w:p>
        </w:tc>
        <w:tc>
          <w:tcPr>
            <w:tcW w:w="5812" w:type="dxa"/>
            <w:shd w:val="clear" w:color="auto" w:fill="9999FF"/>
          </w:tcPr>
          <w:p w14:paraId="1F8285BC" w14:textId="0974E259" w:rsidR="00DA3D78" w:rsidRPr="00802541" w:rsidRDefault="00DA3D78" w:rsidP="00AD0AC5">
            <w:pPr>
              <w:pStyle w:val="No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lang w:val="en-US"/>
              </w:rPr>
            </w:pPr>
            <w:r w:rsidRPr="00802541">
              <w:rPr>
                <w:rFonts w:asciiTheme="majorHAnsi" w:hAnsiTheme="majorHAnsi" w:cstheme="majorHAnsi"/>
                <w:color w:val="auto"/>
                <w:sz w:val="20"/>
                <w:szCs w:val="20"/>
                <w:lang w:val="en-US"/>
              </w:rPr>
              <w:t xml:space="preserve">AWAVA’s </w:t>
            </w:r>
            <w:r w:rsidR="006769DB">
              <w:rPr>
                <w:rFonts w:asciiTheme="majorHAnsi" w:hAnsiTheme="majorHAnsi" w:cstheme="majorHAnsi"/>
                <w:color w:val="auto"/>
                <w:sz w:val="20"/>
                <w:szCs w:val="20"/>
                <w:lang w:val="en-US"/>
              </w:rPr>
              <w:t xml:space="preserve">submission </w:t>
            </w:r>
            <w:r w:rsidRPr="00802541">
              <w:rPr>
                <w:rFonts w:asciiTheme="majorHAnsi" w:hAnsiTheme="majorHAnsi" w:cstheme="majorHAnsi"/>
                <w:color w:val="auto"/>
                <w:sz w:val="20"/>
                <w:szCs w:val="20"/>
                <w:lang w:val="en-US"/>
              </w:rPr>
              <w:t>on the Fourth Actio</w:t>
            </w:r>
            <w:r>
              <w:rPr>
                <w:rFonts w:asciiTheme="majorHAnsi" w:hAnsiTheme="majorHAnsi" w:cstheme="majorHAnsi"/>
                <w:color w:val="auto"/>
                <w:sz w:val="20"/>
                <w:szCs w:val="20"/>
                <w:lang w:val="en-US"/>
              </w:rPr>
              <w:t>n Plan</w:t>
            </w:r>
            <w:r w:rsidR="006769DB">
              <w:rPr>
                <w:rStyle w:val="FootnoteReference"/>
                <w:rFonts w:asciiTheme="majorHAnsi" w:hAnsiTheme="majorHAnsi" w:cstheme="majorHAnsi"/>
                <w:color w:val="auto"/>
                <w:sz w:val="20"/>
                <w:szCs w:val="20"/>
                <w:lang w:val="en-US"/>
              </w:rPr>
              <w:footnoteReference w:id="1"/>
            </w:r>
          </w:p>
        </w:tc>
      </w:tr>
      <w:tr w:rsidR="00DA3D78" w:rsidRPr="00802541" w14:paraId="6A498E2B" w14:textId="50FEE4D5" w:rsidTr="00DA3D78">
        <w:trPr>
          <w:cnfStyle w:val="000000100000" w:firstRow="0" w:lastRow="0" w:firstColumn="0" w:lastColumn="0" w:oddVBand="0" w:evenVBand="0" w:oddHBand="1" w:evenHBand="0" w:firstRowFirstColumn="0" w:firstRowLastColumn="0" w:lastRowFirstColumn="0" w:lastRowLastColumn="0"/>
          <w:trHeight w:val="11756"/>
        </w:trPr>
        <w:tc>
          <w:tcPr>
            <w:cnfStyle w:val="001000000000" w:firstRow="0" w:lastRow="0" w:firstColumn="1" w:lastColumn="0" w:oddVBand="0" w:evenVBand="0" w:oddHBand="0" w:evenHBand="0" w:firstRowFirstColumn="0" w:firstRowLastColumn="0" w:lastRowFirstColumn="0" w:lastRowLastColumn="0"/>
            <w:tcW w:w="3544" w:type="dxa"/>
            <w:shd w:val="clear" w:color="auto" w:fill="DEEAF6" w:themeFill="accent1" w:themeFillTint="33"/>
          </w:tcPr>
          <w:p w14:paraId="34298D52" w14:textId="4544E4B5" w:rsidR="00DA3D78" w:rsidRPr="005C117A" w:rsidRDefault="00DA3D78" w:rsidP="00EA26F2">
            <w:pPr>
              <w:pStyle w:val="ListParagraph"/>
              <w:numPr>
                <w:ilvl w:val="0"/>
                <w:numId w:val="12"/>
              </w:numPr>
              <w:ind w:left="0" w:right="461" w:firstLine="0"/>
              <w:jc w:val="left"/>
              <w:rPr>
                <w:rFonts w:asciiTheme="majorHAnsi" w:hAnsiTheme="majorHAnsi" w:cstheme="majorHAnsi"/>
                <w:b w:val="0"/>
                <w:bCs w:val="0"/>
                <w:sz w:val="20"/>
                <w:szCs w:val="20"/>
                <w:lang w:val="en-US"/>
              </w:rPr>
            </w:pPr>
            <w:r w:rsidRPr="005C117A">
              <w:rPr>
                <w:rFonts w:asciiTheme="majorHAnsi" w:hAnsiTheme="majorHAnsi" w:cstheme="majorHAnsi"/>
                <w:b w:val="0"/>
                <w:bCs w:val="0"/>
                <w:sz w:val="20"/>
                <w:szCs w:val="20"/>
              </w:rPr>
              <w:t xml:space="preserve">Reducing violence against women and their children is </w:t>
            </w:r>
            <w:r w:rsidRPr="005C117A">
              <w:rPr>
                <w:rFonts w:asciiTheme="majorHAnsi" w:hAnsiTheme="majorHAnsi" w:cstheme="majorHAnsi"/>
                <w:sz w:val="20"/>
                <w:szCs w:val="20"/>
              </w:rPr>
              <w:t>everyone’s business</w:t>
            </w:r>
            <w:r w:rsidRPr="005C117A">
              <w:rPr>
                <w:rFonts w:asciiTheme="majorHAnsi" w:hAnsiTheme="majorHAnsi" w:cstheme="majorHAnsi"/>
                <w:b w:val="0"/>
                <w:bCs w:val="0"/>
                <w:sz w:val="20"/>
                <w:szCs w:val="20"/>
              </w:rPr>
              <w:t xml:space="preserve"> and we all have a role to play.</w:t>
            </w:r>
          </w:p>
          <w:p w14:paraId="4E7E75F3" w14:textId="77777777" w:rsidR="00DA3D78" w:rsidRPr="00311A1C" w:rsidRDefault="00DA3D78" w:rsidP="00EA26F2">
            <w:pPr>
              <w:pStyle w:val="ListParagraph"/>
              <w:ind w:left="0" w:right="461"/>
              <w:jc w:val="left"/>
              <w:rPr>
                <w:rFonts w:asciiTheme="majorHAnsi" w:hAnsiTheme="majorHAnsi" w:cstheme="majorHAnsi"/>
                <w:b w:val="0"/>
                <w:sz w:val="20"/>
                <w:szCs w:val="20"/>
                <w:lang w:val="en-US"/>
              </w:rPr>
            </w:pPr>
          </w:p>
          <w:p w14:paraId="391F5A88" w14:textId="647FD586" w:rsidR="00DA3D78" w:rsidRPr="00311A1C" w:rsidRDefault="00DA3D78" w:rsidP="00DA3D78">
            <w:pPr>
              <w:pStyle w:val="ListParagraph"/>
              <w:numPr>
                <w:ilvl w:val="0"/>
                <w:numId w:val="12"/>
              </w:numPr>
              <w:ind w:left="0" w:right="461" w:firstLine="0"/>
              <w:jc w:val="left"/>
              <w:rPr>
                <w:rFonts w:asciiTheme="majorHAnsi" w:hAnsiTheme="majorHAnsi" w:cstheme="majorHAnsi"/>
                <w:b w:val="0"/>
                <w:sz w:val="20"/>
                <w:szCs w:val="20"/>
              </w:rPr>
            </w:pPr>
            <w:r w:rsidRPr="00802541">
              <w:rPr>
                <w:rFonts w:asciiTheme="majorHAnsi" w:hAnsiTheme="majorHAnsi" w:cstheme="majorHAnsi"/>
                <w:b w:val="0"/>
                <w:sz w:val="20"/>
                <w:szCs w:val="20"/>
              </w:rPr>
              <w:t xml:space="preserve">We must address </w:t>
            </w:r>
            <w:r w:rsidRPr="005C117A">
              <w:rPr>
                <w:rFonts w:asciiTheme="majorHAnsi" w:hAnsiTheme="majorHAnsi" w:cstheme="majorHAnsi"/>
                <w:bCs w:val="0"/>
                <w:sz w:val="20"/>
                <w:szCs w:val="20"/>
              </w:rPr>
              <w:t>gender inequality</w:t>
            </w:r>
            <w:r w:rsidRPr="00802541">
              <w:rPr>
                <w:rFonts w:asciiTheme="majorHAnsi" w:hAnsiTheme="majorHAnsi" w:cstheme="majorHAnsi"/>
                <w:b w:val="0"/>
                <w:sz w:val="20"/>
                <w:szCs w:val="20"/>
              </w:rPr>
              <w:t xml:space="preserve"> to stop violence — women will never be safe if they are not equal.</w:t>
            </w:r>
          </w:p>
          <w:p w14:paraId="172F6540" w14:textId="50AE2197" w:rsidR="00DA3D78" w:rsidRPr="00802541" w:rsidRDefault="00DA3D78" w:rsidP="00DA3D78">
            <w:pPr>
              <w:pStyle w:val="ListParagraph"/>
              <w:ind w:left="0" w:right="461"/>
              <w:jc w:val="left"/>
              <w:rPr>
                <w:rFonts w:asciiTheme="majorHAnsi" w:hAnsiTheme="majorHAnsi" w:cstheme="majorHAnsi"/>
                <w:b w:val="0"/>
                <w:sz w:val="20"/>
                <w:szCs w:val="20"/>
              </w:rPr>
            </w:pPr>
          </w:p>
          <w:p w14:paraId="6DF89B5E" w14:textId="7E80EA84" w:rsidR="00DA3D78" w:rsidRPr="00311A1C" w:rsidRDefault="00DA3D78" w:rsidP="00DA3D78">
            <w:pPr>
              <w:pStyle w:val="ListParagraph"/>
              <w:numPr>
                <w:ilvl w:val="0"/>
                <w:numId w:val="12"/>
              </w:numPr>
              <w:ind w:left="0" w:right="461" w:firstLine="0"/>
              <w:jc w:val="left"/>
              <w:rPr>
                <w:rFonts w:asciiTheme="majorHAnsi" w:hAnsiTheme="majorHAnsi" w:cstheme="majorHAnsi"/>
                <w:b w:val="0"/>
                <w:sz w:val="20"/>
                <w:szCs w:val="20"/>
              </w:rPr>
            </w:pPr>
            <w:r w:rsidRPr="005C117A">
              <w:rPr>
                <w:rFonts w:asciiTheme="majorHAnsi" w:hAnsiTheme="majorHAnsi" w:cstheme="majorHAnsi"/>
                <w:bCs w:val="0"/>
                <w:sz w:val="20"/>
                <w:szCs w:val="20"/>
              </w:rPr>
              <w:t>The voices of Aboriginal and Torres Strait Islander peoples</w:t>
            </w:r>
            <w:r w:rsidRPr="00802541">
              <w:rPr>
                <w:rFonts w:asciiTheme="majorHAnsi" w:hAnsiTheme="majorHAnsi" w:cstheme="majorHAnsi"/>
                <w:b w:val="0"/>
                <w:sz w:val="20"/>
                <w:szCs w:val="20"/>
              </w:rPr>
              <w:t xml:space="preserve"> must inform responses to the family and sexual violence experienced in their communities.</w:t>
            </w:r>
            <w:r w:rsidRPr="00311A1C">
              <w:rPr>
                <w:rFonts w:asciiTheme="majorHAnsi" w:hAnsiTheme="majorHAnsi" w:cstheme="majorHAnsi"/>
                <w:b w:val="0"/>
                <w:sz w:val="20"/>
                <w:szCs w:val="20"/>
              </w:rPr>
              <w:t xml:space="preserve"> </w:t>
            </w:r>
          </w:p>
          <w:p w14:paraId="58CA2583" w14:textId="77777777" w:rsidR="00DA3D78" w:rsidRPr="00311A1C" w:rsidRDefault="00DA3D78" w:rsidP="00DA3D78">
            <w:pPr>
              <w:pStyle w:val="ListParagraph"/>
              <w:ind w:left="0" w:right="461"/>
              <w:jc w:val="left"/>
              <w:rPr>
                <w:rFonts w:asciiTheme="majorHAnsi" w:hAnsiTheme="majorHAnsi" w:cstheme="majorHAnsi"/>
                <w:b w:val="0"/>
                <w:sz w:val="20"/>
                <w:szCs w:val="20"/>
              </w:rPr>
            </w:pPr>
          </w:p>
          <w:p w14:paraId="2019C9D8" w14:textId="25E493C0" w:rsidR="00DA3D78" w:rsidRPr="005C117A" w:rsidRDefault="00DA3D78" w:rsidP="00DA3D78">
            <w:pPr>
              <w:pStyle w:val="ListParagraph"/>
              <w:numPr>
                <w:ilvl w:val="0"/>
                <w:numId w:val="12"/>
              </w:numPr>
              <w:ind w:left="0" w:right="461" w:firstLine="0"/>
              <w:jc w:val="left"/>
              <w:rPr>
                <w:rFonts w:asciiTheme="majorHAnsi" w:hAnsiTheme="majorHAnsi" w:cstheme="majorHAnsi"/>
                <w:b w:val="0"/>
                <w:sz w:val="20"/>
                <w:szCs w:val="20"/>
              </w:rPr>
            </w:pPr>
            <w:r w:rsidRPr="00802541">
              <w:rPr>
                <w:rFonts w:asciiTheme="majorHAnsi" w:hAnsiTheme="majorHAnsi" w:cstheme="majorHAnsi"/>
                <w:b w:val="0"/>
                <w:sz w:val="20"/>
                <w:szCs w:val="20"/>
              </w:rPr>
              <w:t xml:space="preserve">We must address the </w:t>
            </w:r>
            <w:r w:rsidRPr="005C117A">
              <w:rPr>
                <w:rFonts w:asciiTheme="majorHAnsi" w:hAnsiTheme="majorHAnsi" w:cstheme="majorHAnsi"/>
                <w:bCs w:val="0"/>
                <w:sz w:val="20"/>
                <w:szCs w:val="20"/>
              </w:rPr>
              <w:t xml:space="preserve">diversity </w:t>
            </w:r>
            <w:r w:rsidRPr="005C117A">
              <w:rPr>
                <w:rFonts w:asciiTheme="majorHAnsi" w:hAnsiTheme="majorHAnsi" w:cstheme="majorHAnsi"/>
                <w:b w:val="0"/>
                <w:sz w:val="20"/>
                <w:szCs w:val="20"/>
              </w:rPr>
              <w:t>and</w:t>
            </w:r>
            <w:r w:rsidRPr="005C117A">
              <w:rPr>
                <w:rFonts w:asciiTheme="majorHAnsi" w:hAnsiTheme="majorHAnsi" w:cstheme="majorHAnsi"/>
                <w:bCs w:val="0"/>
                <w:sz w:val="20"/>
                <w:szCs w:val="20"/>
              </w:rPr>
              <w:t xml:space="preserve"> lived experiences of women</w:t>
            </w:r>
            <w:r w:rsidRPr="00802541">
              <w:rPr>
                <w:rFonts w:asciiTheme="majorHAnsi" w:hAnsiTheme="majorHAnsi" w:cstheme="majorHAnsi"/>
                <w:b w:val="0"/>
                <w:sz w:val="20"/>
                <w:szCs w:val="20"/>
              </w:rPr>
              <w:t xml:space="preserve"> and their children affected by violence.</w:t>
            </w:r>
          </w:p>
          <w:p w14:paraId="4F825E16" w14:textId="77777777" w:rsidR="00DA3D78" w:rsidRPr="005C117A" w:rsidRDefault="00DA3D78" w:rsidP="00DA3D78">
            <w:pPr>
              <w:pStyle w:val="ListParagraph"/>
              <w:ind w:left="0"/>
              <w:jc w:val="left"/>
              <w:rPr>
                <w:rFonts w:asciiTheme="majorHAnsi" w:hAnsiTheme="majorHAnsi" w:cstheme="majorHAnsi"/>
                <w:b w:val="0"/>
                <w:bCs w:val="0"/>
                <w:sz w:val="20"/>
                <w:szCs w:val="20"/>
              </w:rPr>
            </w:pPr>
          </w:p>
          <w:p w14:paraId="15D628C5" w14:textId="5E086043" w:rsidR="00DA3D78" w:rsidRPr="005C117A" w:rsidRDefault="00DA3D78" w:rsidP="00DA3D78">
            <w:pPr>
              <w:pStyle w:val="ListParagraph"/>
              <w:numPr>
                <w:ilvl w:val="0"/>
                <w:numId w:val="12"/>
              </w:numPr>
              <w:ind w:left="0" w:right="461" w:firstLine="0"/>
              <w:jc w:val="left"/>
              <w:rPr>
                <w:rFonts w:asciiTheme="majorHAnsi" w:hAnsiTheme="majorHAnsi" w:cstheme="majorHAnsi"/>
                <w:b w:val="0"/>
                <w:bCs w:val="0"/>
                <w:sz w:val="20"/>
                <w:szCs w:val="20"/>
              </w:rPr>
            </w:pPr>
            <w:r w:rsidRPr="005C117A">
              <w:rPr>
                <w:rFonts w:asciiTheme="majorHAnsi" w:hAnsiTheme="majorHAnsi" w:cstheme="majorHAnsi"/>
                <w:b w:val="0"/>
                <w:bCs w:val="0"/>
                <w:sz w:val="20"/>
                <w:szCs w:val="20"/>
              </w:rPr>
              <w:t xml:space="preserve">Where </w:t>
            </w:r>
            <w:r w:rsidRPr="005C117A">
              <w:rPr>
                <w:rFonts w:asciiTheme="majorHAnsi" w:hAnsiTheme="majorHAnsi" w:cstheme="majorHAnsi"/>
                <w:sz w:val="20"/>
                <w:szCs w:val="20"/>
              </w:rPr>
              <w:t>children</w:t>
            </w:r>
            <w:r w:rsidRPr="005C117A">
              <w:rPr>
                <w:rFonts w:asciiTheme="majorHAnsi" w:hAnsiTheme="majorHAnsi" w:cstheme="majorHAnsi"/>
                <w:b w:val="0"/>
                <w:bCs w:val="0"/>
                <w:sz w:val="20"/>
                <w:szCs w:val="20"/>
              </w:rPr>
              <w:t xml:space="preserve"> are involved, responses must be age appropriate, child-centred, and tailored to their specific needs and stages of development.</w:t>
            </w:r>
          </w:p>
          <w:p w14:paraId="36848B06" w14:textId="77777777" w:rsidR="00DA3D78" w:rsidRPr="005C117A" w:rsidRDefault="00DA3D78" w:rsidP="00DA3D78">
            <w:pPr>
              <w:pStyle w:val="ListParagraph"/>
              <w:ind w:left="0" w:right="461"/>
              <w:jc w:val="left"/>
              <w:rPr>
                <w:rFonts w:asciiTheme="majorHAnsi" w:hAnsiTheme="majorHAnsi" w:cstheme="majorHAnsi"/>
                <w:b w:val="0"/>
                <w:bCs w:val="0"/>
                <w:sz w:val="20"/>
                <w:szCs w:val="20"/>
              </w:rPr>
            </w:pPr>
          </w:p>
          <w:p w14:paraId="243C3DCE" w14:textId="04A3C060" w:rsidR="00DA3D78" w:rsidRPr="005C117A" w:rsidRDefault="00DA3D78" w:rsidP="00DA3D78">
            <w:pPr>
              <w:pStyle w:val="ListParagraph"/>
              <w:numPr>
                <w:ilvl w:val="0"/>
                <w:numId w:val="12"/>
              </w:numPr>
              <w:ind w:left="0" w:right="461" w:firstLine="0"/>
              <w:jc w:val="left"/>
              <w:rPr>
                <w:rFonts w:asciiTheme="majorHAnsi" w:hAnsiTheme="majorHAnsi" w:cstheme="majorHAnsi"/>
                <w:b w:val="0"/>
                <w:bCs w:val="0"/>
                <w:sz w:val="20"/>
                <w:szCs w:val="20"/>
              </w:rPr>
            </w:pPr>
            <w:r w:rsidRPr="005C117A">
              <w:rPr>
                <w:rFonts w:asciiTheme="majorHAnsi" w:hAnsiTheme="majorHAnsi" w:cstheme="majorHAnsi"/>
                <w:b w:val="0"/>
                <w:bCs w:val="0"/>
                <w:sz w:val="20"/>
                <w:szCs w:val="20"/>
              </w:rPr>
              <w:t xml:space="preserve">Actions must be </w:t>
            </w:r>
            <w:r w:rsidRPr="005C117A">
              <w:rPr>
                <w:rFonts w:asciiTheme="majorHAnsi" w:hAnsiTheme="majorHAnsi" w:cstheme="majorHAnsi"/>
                <w:sz w:val="20"/>
                <w:szCs w:val="20"/>
              </w:rPr>
              <w:t>evidence-based</w:t>
            </w:r>
            <w:r w:rsidRPr="005C117A">
              <w:rPr>
                <w:rFonts w:asciiTheme="majorHAnsi" w:hAnsiTheme="majorHAnsi" w:cstheme="majorHAnsi"/>
                <w:b w:val="0"/>
                <w:bCs w:val="0"/>
                <w:sz w:val="20"/>
                <w:szCs w:val="20"/>
              </w:rPr>
              <w:t xml:space="preserve"> and help build an understanding of what works to respond effectively to, and prevent, violence against women and their children.</w:t>
            </w:r>
          </w:p>
          <w:p w14:paraId="1917D0A9" w14:textId="77777777" w:rsidR="00DA3D78" w:rsidRPr="00802541" w:rsidRDefault="00DA3D78" w:rsidP="00DA3D78">
            <w:pPr>
              <w:pStyle w:val="ListParagraph"/>
              <w:ind w:left="0" w:right="461"/>
              <w:jc w:val="left"/>
              <w:rPr>
                <w:rFonts w:asciiTheme="majorHAnsi" w:hAnsiTheme="majorHAnsi" w:cstheme="majorHAnsi"/>
                <w:b w:val="0"/>
                <w:sz w:val="20"/>
                <w:szCs w:val="20"/>
              </w:rPr>
            </w:pPr>
          </w:p>
          <w:p w14:paraId="361BBD1C" w14:textId="029A4A65" w:rsidR="00DA3D78" w:rsidRPr="005C117A" w:rsidRDefault="00DA3D78" w:rsidP="00DA3D78">
            <w:pPr>
              <w:pStyle w:val="ListParagraph"/>
              <w:numPr>
                <w:ilvl w:val="0"/>
                <w:numId w:val="12"/>
              </w:numPr>
              <w:ind w:left="0" w:right="461" w:firstLine="0"/>
              <w:jc w:val="left"/>
              <w:rPr>
                <w:rFonts w:asciiTheme="majorHAnsi" w:hAnsiTheme="majorHAnsi" w:cstheme="majorHAnsi"/>
                <w:b w:val="0"/>
                <w:bCs w:val="0"/>
                <w:sz w:val="20"/>
                <w:szCs w:val="20"/>
              </w:rPr>
            </w:pPr>
            <w:r w:rsidRPr="005C117A">
              <w:rPr>
                <w:rFonts w:asciiTheme="majorHAnsi" w:hAnsiTheme="majorHAnsi" w:cstheme="majorHAnsi"/>
                <w:sz w:val="20"/>
                <w:szCs w:val="20"/>
              </w:rPr>
              <w:t>System and service responses</w:t>
            </w:r>
            <w:r w:rsidRPr="005C117A">
              <w:rPr>
                <w:rFonts w:asciiTheme="majorHAnsi" w:hAnsiTheme="majorHAnsi" w:cstheme="majorHAnsi"/>
                <w:b w:val="0"/>
                <w:bCs w:val="0"/>
                <w:sz w:val="20"/>
                <w:szCs w:val="20"/>
              </w:rPr>
              <w:t xml:space="preserve"> must work to end the cycle of violence, keep people safe and prevent domestic, family and sexual violence.</w:t>
            </w:r>
          </w:p>
          <w:p w14:paraId="7424BA7D" w14:textId="77777777" w:rsidR="00DA3D78" w:rsidRPr="005C117A" w:rsidRDefault="00DA3D78" w:rsidP="00DA3D78">
            <w:pPr>
              <w:pStyle w:val="ListParagraph"/>
              <w:ind w:left="0" w:right="461"/>
              <w:jc w:val="left"/>
              <w:rPr>
                <w:rFonts w:asciiTheme="majorHAnsi" w:hAnsiTheme="majorHAnsi" w:cstheme="majorHAnsi"/>
                <w:b w:val="0"/>
                <w:bCs w:val="0"/>
                <w:sz w:val="20"/>
                <w:szCs w:val="20"/>
              </w:rPr>
            </w:pPr>
          </w:p>
          <w:p w14:paraId="5FA363C5" w14:textId="6132BAA1" w:rsidR="00DA3D78" w:rsidRPr="00802541" w:rsidRDefault="00DA3D78" w:rsidP="00DA3D78">
            <w:pPr>
              <w:pStyle w:val="ListParagraph"/>
              <w:numPr>
                <w:ilvl w:val="0"/>
                <w:numId w:val="12"/>
              </w:numPr>
              <w:ind w:left="0" w:right="461" w:firstLine="0"/>
              <w:jc w:val="left"/>
              <w:rPr>
                <w:rFonts w:asciiTheme="majorHAnsi" w:hAnsiTheme="majorHAnsi" w:cstheme="majorHAnsi"/>
                <w:b w:val="0"/>
                <w:sz w:val="20"/>
                <w:szCs w:val="20"/>
                <w:lang w:val="en-US"/>
              </w:rPr>
            </w:pPr>
            <w:r w:rsidRPr="005C117A">
              <w:rPr>
                <w:rFonts w:asciiTheme="majorHAnsi" w:hAnsiTheme="majorHAnsi" w:cstheme="majorHAnsi"/>
                <w:b w:val="0"/>
                <w:bCs w:val="0"/>
                <w:sz w:val="20"/>
                <w:szCs w:val="20"/>
              </w:rPr>
              <w:t xml:space="preserve">A holistic approach to </w:t>
            </w:r>
            <w:r w:rsidRPr="005C117A">
              <w:rPr>
                <w:rFonts w:asciiTheme="majorHAnsi" w:hAnsiTheme="majorHAnsi" w:cstheme="majorHAnsi"/>
                <w:sz w:val="20"/>
                <w:szCs w:val="20"/>
              </w:rPr>
              <w:t>working with perpetrators</w:t>
            </w:r>
            <w:r w:rsidRPr="005C117A">
              <w:rPr>
                <w:rFonts w:asciiTheme="majorHAnsi" w:hAnsiTheme="majorHAnsi" w:cstheme="majorHAnsi"/>
                <w:b w:val="0"/>
                <w:bCs w:val="0"/>
                <w:sz w:val="20"/>
                <w:szCs w:val="20"/>
              </w:rPr>
              <w:t xml:space="preserve"> of domestic, family and sexual violence is needed across all actions — informing prevention, deterrence, rehabilitation, and ensuring accountability.</w:t>
            </w:r>
          </w:p>
        </w:tc>
        <w:tc>
          <w:tcPr>
            <w:tcW w:w="5812" w:type="dxa"/>
            <w:shd w:val="clear" w:color="auto" w:fill="CCCCFF"/>
          </w:tcPr>
          <w:p w14:paraId="1A37762D" w14:textId="4CECAA08" w:rsidR="00DA3D78" w:rsidRPr="00802541" w:rsidRDefault="00DA3D78" w:rsidP="002B2CAB">
            <w:pPr>
              <w:pStyle w:val="ListParagraph"/>
              <w:numPr>
                <w:ilvl w:val="0"/>
                <w:numId w:val="21"/>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lang w:val="en-US"/>
              </w:rPr>
            </w:pPr>
            <w:r w:rsidRPr="00802541">
              <w:rPr>
                <w:rFonts w:asciiTheme="majorHAnsi" w:hAnsiTheme="majorHAnsi" w:cstheme="majorHAnsi"/>
                <w:b/>
                <w:sz w:val="20"/>
                <w:szCs w:val="20"/>
                <w:lang w:val="en-US"/>
              </w:rPr>
              <w:t>Approaches to end violence against women</w:t>
            </w:r>
            <w:r w:rsidR="00232EA7">
              <w:rPr>
                <w:rFonts w:asciiTheme="majorHAnsi" w:hAnsiTheme="majorHAnsi" w:cstheme="majorHAnsi"/>
                <w:b/>
                <w:sz w:val="20"/>
                <w:szCs w:val="20"/>
                <w:lang w:val="en-US"/>
              </w:rPr>
              <w:t xml:space="preserve"> and their children</w:t>
            </w:r>
          </w:p>
          <w:p w14:paraId="212F27B7" w14:textId="77777777" w:rsidR="00DA3D78" w:rsidRPr="002B2CAB" w:rsidRDefault="00DA3D78" w:rsidP="002B2CAB">
            <w:pPr>
              <w:pStyle w:val="ListParagraph"/>
              <w:numPr>
                <w:ilvl w:val="0"/>
                <w:numId w:val="22"/>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lang w:val="en-US"/>
              </w:rPr>
            </w:pPr>
            <w:r w:rsidRPr="00802541">
              <w:rPr>
                <w:rFonts w:asciiTheme="majorHAnsi" w:hAnsiTheme="majorHAnsi" w:cstheme="majorHAnsi"/>
                <w:sz w:val="20"/>
                <w:szCs w:val="20"/>
              </w:rPr>
              <w:t>Reducing violence against women and their children through prevention activities</w:t>
            </w:r>
          </w:p>
          <w:p w14:paraId="29136DBA" w14:textId="598C5482" w:rsidR="00DA3D78" w:rsidRPr="00311A1C" w:rsidRDefault="00DA3D78" w:rsidP="00311A1C">
            <w:pPr>
              <w:pStyle w:val="NoSpacing"/>
              <w:cnfStyle w:val="000000100000" w:firstRow="0" w:lastRow="0" w:firstColumn="0" w:lastColumn="0" w:oddVBand="0" w:evenVBand="0" w:oddHBand="1" w:evenHBand="0" w:firstRowFirstColumn="0" w:firstRowLastColumn="0" w:lastRowFirstColumn="0" w:lastRowLastColumn="0"/>
              <w:rPr>
                <w:b/>
                <w:bCs/>
                <w:lang w:val="en-US"/>
              </w:rPr>
            </w:pPr>
            <w:r w:rsidRPr="00311A1C">
              <w:rPr>
                <w:b/>
                <w:bCs/>
                <w:lang w:val="en-US"/>
              </w:rPr>
              <w:t>2. Addressing violence against diverse groups of women</w:t>
            </w:r>
            <w:r w:rsidR="00232EA7">
              <w:rPr>
                <w:b/>
                <w:bCs/>
                <w:lang w:val="en-US"/>
              </w:rPr>
              <w:t xml:space="preserve"> and their children</w:t>
            </w:r>
          </w:p>
          <w:p w14:paraId="6E54DDE9" w14:textId="1F0B4CB2" w:rsidR="00DA3D78" w:rsidRPr="00DA3D78"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sz w:val="20"/>
                <w:szCs w:val="20"/>
              </w:rPr>
            </w:pPr>
            <w:r w:rsidRPr="00DA3D78">
              <w:rPr>
                <w:sz w:val="20"/>
                <w:szCs w:val="20"/>
              </w:rPr>
              <w:t>[…] against Aboriginal and Torres Strait Islander women</w:t>
            </w:r>
          </w:p>
          <w:p w14:paraId="604ADFBF" w14:textId="33769B66" w:rsidR="00DA3D78"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Pr="00802541">
              <w:rPr>
                <w:rFonts w:asciiTheme="majorHAnsi" w:hAnsiTheme="majorHAnsi" w:cstheme="majorHAnsi"/>
                <w:sz w:val="20"/>
                <w:szCs w:val="20"/>
              </w:rPr>
              <w:t>…] against women from culturally and linguistically diverse communities</w:t>
            </w:r>
          </w:p>
          <w:p w14:paraId="745D7877" w14:textId="5560091F" w:rsidR="00DA3D78" w:rsidRPr="00311A1C"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pPr>
            <w:r w:rsidRPr="00802541">
              <w:rPr>
                <w:rFonts w:asciiTheme="majorHAnsi" w:hAnsiTheme="majorHAnsi" w:cstheme="majorHAnsi"/>
                <w:sz w:val="20"/>
                <w:szCs w:val="20"/>
              </w:rPr>
              <w:t>[…] against women with disability</w:t>
            </w:r>
          </w:p>
          <w:p w14:paraId="40E36EEE" w14:textId="77777777" w:rsidR="00DA3D78" w:rsidRPr="00802541"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 xml:space="preserve">[…] against people who identify as LGBTIQ+ </w:t>
            </w:r>
          </w:p>
          <w:p w14:paraId="70238A7B" w14:textId="77777777" w:rsidR="00DA3D78" w:rsidRPr="00802541"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 xml:space="preserve">[…] against specific age groups of women </w:t>
            </w:r>
          </w:p>
          <w:p w14:paraId="1E8491B6" w14:textId="77777777" w:rsidR="00DA3D78" w:rsidRPr="00802541"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Addressing the impact of violence on women living in financial hardship and/or poverty</w:t>
            </w:r>
          </w:p>
          <w:p w14:paraId="5ED6C4DD" w14:textId="78CE8707" w:rsidR="00DA3D78"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 xml:space="preserve">[…] against women </w:t>
            </w:r>
            <w:r w:rsidR="000B5529">
              <w:rPr>
                <w:rFonts w:asciiTheme="majorHAnsi" w:hAnsiTheme="majorHAnsi" w:cstheme="majorHAnsi"/>
                <w:sz w:val="20"/>
                <w:szCs w:val="20"/>
              </w:rPr>
              <w:t xml:space="preserve">in </w:t>
            </w:r>
            <w:r w:rsidRPr="00802541">
              <w:rPr>
                <w:rFonts w:asciiTheme="majorHAnsi" w:hAnsiTheme="majorHAnsi" w:cstheme="majorHAnsi"/>
                <w:sz w:val="20"/>
                <w:szCs w:val="20"/>
              </w:rPr>
              <w:t>the sex industry</w:t>
            </w:r>
          </w:p>
          <w:p w14:paraId="704B32A4" w14:textId="77777777" w:rsidR="00DA3D78" w:rsidRPr="00802541"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Addressing the impact of violence on women in prisons</w:t>
            </w:r>
          </w:p>
          <w:p w14:paraId="0992E9A1" w14:textId="77777777" w:rsidR="00DA3D78" w:rsidRPr="00802541" w:rsidRDefault="00DA3D78" w:rsidP="00311A1C">
            <w:pPr>
              <w:pStyle w:val="NoSpacing"/>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rPr>
              <w:t>Responding to the impact of family and domestic violence on children</w:t>
            </w:r>
          </w:p>
          <w:p w14:paraId="641979C9" w14:textId="183FBA61" w:rsidR="00DA3D78" w:rsidRPr="00311A1C" w:rsidRDefault="00DA3D78" w:rsidP="00311A1C">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lang w:val="en-US"/>
              </w:rPr>
            </w:pPr>
            <w:r w:rsidRPr="00311A1C">
              <w:rPr>
                <w:rFonts w:asciiTheme="majorHAnsi" w:hAnsiTheme="majorHAnsi" w:cstheme="majorHAnsi"/>
                <w:b/>
                <w:sz w:val="20"/>
                <w:szCs w:val="20"/>
                <w:lang w:val="en-US"/>
              </w:rPr>
              <w:t>Addressing different types of violence against women</w:t>
            </w:r>
          </w:p>
          <w:p w14:paraId="40620BFB" w14:textId="77777777" w:rsidR="00DA3D78" w:rsidRPr="00802541" w:rsidRDefault="00DA3D78" w:rsidP="002B2CAB">
            <w:pPr>
              <w:pStyle w:val="ListParagraph"/>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rPr>
              <w:t>Addressing sexual harassment</w:t>
            </w:r>
          </w:p>
          <w:p w14:paraId="0C726E9C" w14:textId="7217CFC7" w:rsidR="00DA3D78" w:rsidRPr="00802541" w:rsidRDefault="00232EA7" w:rsidP="002B2CAB">
            <w:pPr>
              <w:pStyle w:val="ListParagraph"/>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Addressing</w:t>
            </w:r>
            <w:r w:rsidRPr="00802541">
              <w:rPr>
                <w:rFonts w:asciiTheme="majorHAnsi" w:hAnsiTheme="majorHAnsi" w:cstheme="majorHAnsi"/>
                <w:sz w:val="20"/>
                <w:szCs w:val="20"/>
              </w:rPr>
              <w:t xml:space="preserve"> </w:t>
            </w:r>
            <w:r w:rsidR="00DA3D78" w:rsidRPr="00802541">
              <w:rPr>
                <w:rFonts w:asciiTheme="majorHAnsi" w:hAnsiTheme="majorHAnsi" w:cstheme="majorHAnsi"/>
                <w:sz w:val="20"/>
                <w:szCs w:val="20"/>
              </w:rPr>
              <w:t xml:space="preserve">sexual violence </w:t>
            </w:r>
          </w:p>
          <w:p w14:paraId="1D0A02A8" w14:textId="77777777" w:rsidR="00DA3D78" w:rsidRPr="00802541" w:rsidRDefault="00DA3D78" w:rsidP="002B2CAB">
            <w:pPr>
              <w:pStyle w:val="ListParagraph"/>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Addressing technology-facilitated abuse</w:t>
            </w:r>
          </w:p>
          <w:p w14:paraId="2414B269" w14:textId="76172CCD" w:rsidR="00DA3D78" w:rsidRPr="00802541" w:rsidRDefault="00DA3D78" w:rsidP="002B2CAB">
            <w:pPr>
              <w:pStyle w:val="ListParagraph"/>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 xml:space="preserve">Linkages with efforts to address elder abuse </w:t>
            </w:r>
          </w:p>
          <w:p w14:paraId="3B2E8A2A" w14:textId="17F5E22D" w:rsidR="00DA3D78" w:rsidRPr="00311A1C" w:rsidRDefault="00DA3D78" w:rsidP="00311A1C">
            <w:pPr>
              <w:pStyle w:val="ListParagraph"/>
              <w:numPr>
                <w:ilvl w:val="0"/>
                <w:numId w:val="23"/>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rPr>
              <w:t>Responding to trafficking (incl. for sexual exploitation), forced marriage, dowry abuse, reproductive coercion, FGM, forced sterilisation of women with disability, and unnecessary medical procedures on intersex infants</w:t>
            </w:r>
          </w:p>
          <w:p w14:paraId="7475FD72" w14:textId="4CC060E6" w:rsidR="00DA3D78" w:rsidRPr="00311A1C" w:rsidRDefault="00DA3D78" w:rsidP="00311A1C">
            <w:pPr>
              <w:pStyle w:val="NoSpacing"/>
              <w:numPr>
                <w:ilvl w:val="0"/>
                <w:numId w:val="32"/>
              </w:numPr>
              <w:ind w:left="329" w:hanging="284"/>
              <w:cnfStyle w:val="000000100000" w:firstRow="0" w:lastRow="0" w:firstColumn="0" w:lastColumn="0" w:oddVBand="0" w:evenVBand="0" w:oddHBand="1" w:evenHBand="0" w:firstRowFirstColumn="0" w:firstRowLastColumn="0" w:lastRowFirstColumn="0" w:lastRowLastColumn="0"/>
              <w:rPr>
                <w:b/>
                <w:bCs/>
                <w:lang w:val="en-US"/>
              </w:rPr>
            </w:pPr>
            <w:r w:rsidRPr="00311A1C">
              <w:rPr>
                <w:b/>
                <w:bCs/>
                <w:lang w:val="en-US"/>
              </w:rPr>
              <w:t>Strengthening systems</w:t>
            </w:r>
          </w:p>
          <w:p w14:paraId="2A1A17E9" w14:textId="77777777" w:rsidR="00796CEC" w:rsidRPr="00E20E70" w:rsidRDefault="00796CEC" w:rsidP="00796CEC">
            <w:pPr>
              <w:pStyle w:val="NoSpacing"/>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rPr>
              <w:t>Housing affordability and long-term housing options</w:t>
            </w:r>
          </w:p>
          <w:p w14:paraId="0197A873" w14:textId="3597C875" w:rsidR="00DA3D78" w:rsidRPr="00802541" w:rsidRDefault="00232EA7" w:rsidP="00311A1C">
            <w:pPr>
              <w:pStyle w:val="NoSpacing"/>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Making it safer for women to a</w:t>
            </w:r>
            <w:r w:rsidR="00DA3D78" w:rsidRPr="00802541">
              <w:rPr>
                <w:rFonts w:asciiTheme="majorHAnsi" w:hAnsiTheme="majorHAnsi" w:cstheme="majorHAnsi"/>
                <w:sz w:val="20"/>
                <w:szCs w:val="20"/>
              </w:rPr>
              <w:t>ccess justice</w:t>
            </w:r>
          </w:p>
          <w:p w14:paraId="3D269CC4" w14:textId="1AF20BC5" w:rsidR="00796CEC" w:rsidRPr="00802541" w:rsidRDefault="006769DB" w:rsidP="00796CEC">
            <w:pPr>
              <w:pStyle w:val="NoSpacing"/>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 Social security system improvements</w:t>
            </w:r>
          </w:p>
          <w:p w14:paraId="3225EAAB" w14:textId="77777777" w:rsidR="00DA3D78" w:rsidRPr="00802541" w:rsidRDefault="00DA3D78" w:rsidP="00311A1C">
            <w:pPr>
              <w:pStyle w:val="NoSpacing"/>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Addressing the intersection of DFV and migration status</w:t>
            </w:r>
          </w:p>
          <w:p w14:paraId="73A86003" w14:textId="77777777" w:rsidR="00DA3D78" w:rsidRPr="00802541" w:rsidRDefault="00DA3D78" w:rsidP="00311A1C">
            <w:pPr>
              <w:pStyle w:val="NoSpacing"/>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802541">
              <w:rPr>
                <w:rFonts w:asciiTheme="majorHAnsi" w:hAnsiTheme="majorHAnsi" w:cstheme="majorHAnsi"/>
                <w:sz w:val="20"/>
                <w:szCs w:val="20"/>
              </w:rPr>
              <w:t>Responding to human trafficking and sexual exploitation</w:t>
            </w:r>
          </w:p>
          <w:p w14:paraId="4AD2DFA0" w14:textId="3708248E" w:rsidR="00796CEC" w:rsidRPr="00796CEC" w:rsidRDefault="00796CEC" w:rsidP="00796CEC">
            <w:pPr>
              <w:pStyle w:val="NoSpacing"/>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rPr>
              <w:t>Developing workforce capability</w:t>
            </w:r>
          </w:p>
          <w:p w14:paraId="17E75FA4" w14:textId="77777777" w:rsidR="00DA3D78" w:rsidRDefault="00DA3D78" w:rsidP="00311A1C">
            <w:pPr>
              <w:pStyle w:val="NoSpacing"/>
              <w:cnfStyle w:val="000000100000" w:firstRow="0" w:lastRow="0" w:firstColumn="0" w:lastColumn="0" w:oddVBand="0" w:evenVBand="0" w:oddHBand="1" w:evenHBand="0" w:firstRowFirstColumn="0" w:firstRowLastColumn="0" w:lastRowFirstColumn="0" w:lastRowLastColumn="0"/>
            </w:pPr>
          </w:p>
          <w:p w14:paraId="685FB239" w14:textId="4F35EF04" w:rsidR="00DA3D78" w:rsidRPr="00311A1C" w:rsidRDefault="00DA3D78" w:rsidP="00311A1C">
            <w:pPr>
              <w:pStyle w:val="NoSpacing"/>
              <w:numPr>
                <w:ilvl w:val="0"/>
                <w:numId w:val="32"/>
              </w:numPr>
              <w:ind w:left="329" w:hanging="284"/>
              <w:cnfStyle w:val="000000100000" w:firstRow="0" w:lastRow="0" w:firstColumn="0" w:lastColumn="0" w:oddVBand="0" w:evenVBand="0" w:oddHBand="1" w:evenHBand="0" w:firstRowFirstColumn="0" w:firstRowLastColumn="0" w:lastRowFirstColumn="0" w:lastRowLastColumn="0"/>
              <w:rPr>
                <w:b/>
                <w:bCs/>
                <w:lang w:val="en-US"/>
              </w:rPr>
            </w:pPr>
            <w:r w:rsidRPr="00311A1C">
              <w:rPr>
                <w:b/>
                <w:bCs/>
              </w:rPr>
              <w:t>Strengthening</w:t>
            </w:r>
            <w:r w:rsidRPr="00311A1C">
              <w:rPr>
                <w:b/>
                <w:bCs/>
                <w:lang w:val="en-US"/>
              </w:rPr>
              <w:t xml:space="preserve"> services</w:t>
            </w:r>
          </w:p>
          <w:p w14:paraId="28980CA9" w14:textId="1726042B" w:rsidR="00DA3D78" w:rsidRPr="005C117A" w:rsidRDefault="00DA3D78" w:rsidP="00796CEC">
            <w:pPr>
              <w:pStyle w:val="NoSpacing"/>
              <w:numPr>
                <w:ilvl w:val="0"/>
                <w:numId w:val="34"/>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C117A">
              <w:rPr>
                <w:rFonts w:asciiTheme="majorHAnsi" w:hAnsiTheme="majorHAnsi" w:cstheme="majorHAnsi"/>
                <w:sz w:val="20"/>
                <w:szCs w:val="20"/>
              </w:rPr>
              <w:t>Supporting the medium to long</w:t>
            </w:r>
            <w:r w:rsidRPr="005C117A">
              <w:rPr>
                <w:rFonts w:asciiTheme="majorHAnsi" w:hAnsiTheme="majorHAnsi" w:cstheme="majorHAnsi"/>
                <w:sz w:val="20"/>
                <w:szCs w:val="20"/>
              </w:rPr>
              <w:noBreakHyphen/>
              <w:t xml:space="preserve">term safety, </w:t>
            </w:r>
            <w:r w:rsidR="00796CEC">
              <w:rPr>
                <w:rFonts w:asciiTheme="majorHAnsi" w:hAnsiTheme="majorHAnsi" w:cstheme="majorHAnsi"/>
                <w:sz w:val="20"/>
                <w:szCs w:val="20"/>
              </w:rPr>
              <w:t xml:space="preserve">recovery and </w:t>
            </w:r>
            <w:r w:rsidRPr="005C117A">
              <w:rPr>
                <w:rFonts w:asciiTheme="majorHAnsi" w:hAnsiTheme="majorHAnsi" w:cstheme="majorHAnsi"/>
                <w:sz w:val="20"/>
                <w:szCs w:val="20"/>
              </w:rPr>
              <w:t>wellbeing</w:t>
            </w:r>
            <w:r w:rsidR="00796CEC" w:rsidRPr="005C117A">
              <w:rPr>
                <w:rFonts w:asciiTheme="majorHAnsi" w:hAnsiTheme="majorHAnsi" w:cstheme="majorHAnsi"/>
                <w:sz w:val="20"/>
                <w:szCs w:val="20"/>
              </w:rPr>
              <w:t xml:space="preserve"> </w:t>
            </w:r>
            <w:r w:rsidRPr="005C117A">
              <w:rPr>
                <w:rFonts w:asciiTheme="majorHAnsi" w:hAnsiTheme="majorHAnsi" w:cstheme="majorHAnsi"/>
                <w:sz w:val="20"/>
                <w:szCs w:val="20"/>
              </w:rPr>
              <w:t>of women and their children</w:t>
            </w:r>
            <w:r w:rsidR="00796CEC">
              <w:rPr>
                <w:rFonts w:asciiTheme="majorHAnsi" w:hAnsiTheme="majorHAnsi" w:cstheme="majorHAnsi"/>
                <w:sz w:val="20"/>
                <w:szCs w:val="20"/>
              </w:rPr>
              <w:t xml:space="preserve"> through adequately funded </w:t>
            </w:r>
            <w:r w:rsidRPr="005C117A">
              <w:rPr>
                <w:rFonts w:asciiTheme="majorHAnsi" w:hAnsiTheme="majorHAnsi" w:cstheme="majorHAnsi"/>
                <w:sz w:val="20"/>
                <w:szCs w:val="20"/>
              </w:rPr>
              <w:t>specialist women’s services</w:t>
            </w:r>
          </w:p>
          <w:p w14:paraId="3EE48565" w14:textId="0189CEAE" w:rsidR="00DA3D78" w:rsidRPr="005C117A" w:rsidRDefault="00796CEC" w:rsidP="00311A1C">
            <w:pPr>
              <w:pStyle w:val="NoSpacing"/>
              <w:numPr>
                <w:ilvl w:val="0"/>
                <w:numId w:val="34"/>
              </w:numPr>
              <w:ind w:left="329"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Pr>
                <w:rFonts w:asciiTheme="majorHAnsi" w:hAnsiTheme="majorHAnsi" w:cstheme="majorHAnsi"/>
                <w:sz w:val="20"/>
                <w:szCs w:val="20"/>
              </w:rPr>
              <w:t xml:space="preserve">Investing in </w:t>
            </w:r>
            <w:r w:rsidR="00DA3D78" w:rsidRPr="005C117A">
              <w:rPr>
                <w:rFonts w:asciiTheme="majorHAnsi" w:hAnsiTheme="majorHAnsi" w:cstheme="majorHAnsi"/>
                <w:sz w:val="20"/>
                <w:szCs w:val="20"/>
              </w:rPr>
              <w:t xml:space="preserve">services’ capability </w:t>
            </w:r>
            <w:r>
              <w:rPr>
                <w:rFonts w:asciiTheme="majorHAnsi" w:hAnsiTheme="majorHAnsi" w:cstheme="majorHAnsi"/>
                <w:sz w:val="20"/>
                <w:szCs w:val="20"/>
              </w:rPr>
              <w:t>and quality standards</w:t>
            </w:r>
            <w:commentRangeStart w:id="0"/>
            <w:commentRangeEnd w:id="0"/>
          </w:p>
          <w:p w14:paraId="5FDE3F41" w14:textId="77777777" w:rsidR="00DA3D78" w:rsidRPr="00802541" w:rsidRDefault="00DA3D78" w:rsidP="00311A1C">
            <w:pPr>
              <w:pStyle w:val="ListParagraph"/>
              <w:numPr>
                <w:ilvl w:val="0"/>
                <w:numId w:val="32"/>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lang w:val="en-US"/>
              </w:rPr>
            </w:pPr>
            <w:r w:rsidRPr="00802541">
              <w:rPr>
                <w:rFonts w:asciiTheme="majorHAnsi" w:hAnsiTheme="majorHAnsi" w:cstheme="majorHAnsi"/>
                <w:b/>
                <w:sz w:val="20"/>
                <w:szCs w:val="20"/>
                <w:lang w:val="en-US"/>
              </w:rPr>
              <w:t>Improving coordination and governance</w:t>
            </w:r>
          </w:p>
          <w:p w14:paraId="6C2D94C0" w14:textId="3E4A5A26" w:rsidR="00DA3D78" w:rsidRPr="00802541" w:rsidRDefault="00DA3D78" w:rsidP="00311A1C">
            <w:pPr>
              <w:pStyle w:val="ListParagraph"/>
              <w:numPr>
                <w:ilvl w:val="0"/>
                <w:numId w:val="26"/>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lang w:val="en-US"/>
              </w:rPr>
              <w:t>Coordinated response</w:t>
            </w:r>
            <w:r w:rsidR="00796CEC">
              <w:rPr>
                <w:rFonts w:asciiTheme="majorHAnsi" w:hAnsiTheme="majorHAnsi" w:cstheme="majorHAnsi"/>
                <w:sz w:val="20"/>
                <w:szCs w:val="20"/>
                <w:lang w:val="en-US"/>
              </w:rPr>
              <w:t>s</w:t>
            </w:r>
            <w:r w:rsidRPr="00802541">
              <w:rPr>
                <w:rFonts w:asciiTheme="majorHAnsi" w:hAnsiTheme="majorHAnsi" w:cstheme="majorHAnsi"/>
                <w:sz w:val="20"/>
                <w:szCs w:val="20"/>
                <w:lang w:val="en-US"/>
              </w:rPr>
              <w:t xml:space="preserve"> to addressing violence against diverse groups of women</w:t>
            </w:r>
            <w:r w:rsidR="008D0B9C">
              <w:rPr>
                <w:rFonts w:asciiTheme="majorHAnsi" w:hAnsiTheme="majorHAnsi" w:cstheme="majorHAnsi"/>
                <w:sz w:val="20"/>
                <w:szCs w:val="20"/>
                <w:lang w:val="en-US"/>
              </w:rPr>
              <w:t>, including</w:t>
            </w:r>
            <w:r w:rsidR="00796CEC">
              <w:rPr>
                <w:rFonts w:asciiTheme="majorHAnsi" w:hAnsiTheme="majorHAnsi" w:cstheme="majorHAnsi"/>
                <w:sz w:val="20"/>
                <w:szCs w:val="20"/>
                <w:lang w:val="en-US"/>
              </w:rPr>
              <w:t xml:space="preserve"> with </w:t>
            </w:r>
            <w:r w:rsidR="008D0B9C">
              <w:rPr>
                <w:rFonts w:asciiTheme="majorHAnsi" w:hAnsiTheme="majorHAnsi" w:cstheme="majorHAnsi"/>
                <w:sz w:val="20"/>
                <w:szCs w:val="20"/>
                <w:lang w:val="en-US"/>
              </w:rPr>
              <w:t>S</w:t>
            </w:r>
            <w:r w:rsidR="00796CEC">
              <w:rPr>
                <w:rFonts w:asciiTheme="majorHAnsi" w:hAnsiTheme="majorHAnsi" w:cstheme="majorHAnsi"/>
                <w:sz w:val="20"/>
                <w:szCs w:val="20"/>
                <w:lang w:val="en-US"/>
              </w:rPr>
              <w:t xml:space="preserve">tate and </w:t>
            </w:r>
            <w:r w:rsidR="008D0B9C">
              <w:rPr>
                <w:rFonts w:asciiTheme="majorHAnsi" w:hAnsiTheme="majorHAnsi" w:cstheme="majorHAnsi"/>
                <w:sz w:val="20"/>
                <w:szCs w:val="20"/>
                <w:lang w:val="en-US"/>
              </w:rPr>
              <w:t>T</w:t>
            </w:r>
            <w:r w:rsidR="00796CEC">
              <w:rPr>
                <w:rFonts w:asciiTheme="majorHAnsi" w:hAnsiTheme="majorHAnsi" w:cstheme="majorHAnsi"/>
                <w:sz w:val="20"/>
                <w:szCs w:val="20"/>
                <w:lang w:val="en-US"/>
              </w:rPr>
              <w:t>erritory based service systems</w:t>
            </w:r>
            <w:commentRangeStart w:id="1"/>
            <w:commentRangeEnd w:id="1"/>
          </w:p>
          <w:p w14:paraId="6F670B15" w14:textId="77777777" w:rsidR="00DA3D78" w:rsidRDefault="00DA3D78" w:rsidP="002B2CAB">
            <w:pPr>
              <w:pStyle w:val="ListParagraph"/>
              <w:numPr>
                <w:ilvl w:val="0"/>
                <w:numId w:val="26"/>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802541">
              <w:rPr>
                <w:rFonts w:asciiTheme="majorHAnsi" w:hAnsiTheme="majorHAnsi" w:cstheme="majorHAnsi"/>
                <w:sz w:val="20"/>
                <w:szCs w:val="20"/>
                <w:lang w:val="en-US"/>
              </w:rPr>
              <w:t>Improved involvement of civil society</w:t>
            </w:r>
          </w:p>
          <w:p w14:paraId="5CBD6E9E" w14:textId="457140B7" w:rsidR="00DA3D78" w:rsidRPr="002B2CAB" w:rsidRDefault="00DA3D78" w:rsidP="002B2CAB">
            <w:pPr>
              <w:pStyle w:val="ListParagraph"/>
              <w:numPr>
                <w:ilvl w:val="0"/>
                <w:numId w:val="26"/>
              </w:numPr>
              <w:ind w:left="314" w:hanging="284"/>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2B2CAB">
              <w:rPr>
                <w:rFonts w:asciiTheme="majorHAnsi" w:hAnsiTheme="majorHAnsi" w:cstheme="majorHAnsi"/>
                <w:sz w:val="20"/>
                <w:szCs w:val="20"/>
                <w:lang w:val="en-US"/>
              </w:rPr>
              <w:t xml:space="preserve">Transparent, independent and </w:t>
            </w:r>
            <w:r w:rsidR="00796CEC">
              <w:rPr>
                <w:rFonts w:asciiTheme="majorHAnsi" w:hAnsiTheme="majorHAnsi" w:cstheme="majorHAnsi"/>
                <w:sz w:val="20"/>
                <w:szCs w:val="20"/>
                <w:lang w:val="en-US"/>
              </w:rPr>
              <w:t>ongoing</w:t>
            </w:r>
            <w:r w:rsidR="00796CEC" w:rsidRPr="002B2CAB">
              <w:rPr>
                <w:rFonts w:asciiTheme="majorHAnsi" w:hAnsiTheme="majorHAnsi" w:cstheme="majorHAnsi"/>
                <w:sz w:val="20"/>
                <w:szCs w:val="20"/>
                <w:lang w:val="en-US"/>
              </w:rPr>
              <w:t xml:space="preserve"> </w:t>
            </w:r>
            <w:r w:rsidRPr="002B2CAB">
              <w:rPr>
                <w:rFonts w:asciiTheme="majorHAnsi" w:hAnsiTheme="majorHAnsi" w:cstheme="majorHAnsi"/>
                <w:sz w:val="20"/>
                <w:szCs w:val="20"/>
                <w:lang w:val="en-US"/>
              </w:rPr>
              <w:t>monitoring and evaluation</w:t>
            </w:r>
          </w:p>
        </w:tc>
      </w:tr>
    </w:tbl>
    <w:p w14:paraId="5EDB3704" w14:textId="17C37B68" w:rsidR="006A3C38" w:rsidRDefault="003E5540" w:rsidP="00CE7213">
      <w:pPr>
        <w:pStyle w:val="ListParagraph"/>
        <w:numPr>
          <w:ilvl w:val="0"/>
          <w:numId w:val="29"/>
        </w:numPr>
        <w:contextualSpacing w:val="0"/>
      </w:pPr>
      <w:r>
        <w:lastRenderedPageBreak/>
        <w:t xml:space="preserve">The </w:t>
      </w:r>
      <w:r w:rsidR="00AD0AC5">
        <w:t>Fourth Action Plan of the National Plan to Reduce Violence Against Women and Their Children</w:t>
      </w:r>
      <w:r w:rsidR="00DA3D78">
        <w:rPr>
          <w:rStyle w:val="FootnoteReference"/>
        </w:rPr>
        <w:footnoteReference w:id="2"/>
      </w:r>
      <w:r w:rsidR="00AD0AC5">
        <w:t xml:space="preserve"> </w:t>
      </w:r>
      <w:r w:rsidR="00CF3154">
        <w:t xml:space="preserve">(the Fourth Action Plan) </w:t>
      </w:r>
      <w:r w:rsidR="00AD0AC5">
        <w:t>sets out priorities to unde</w:t>
      </w:r>
      <w:r w:rsidR="001E51D3">
        <w:t>rpin the implementation plan which will be released at a later date</w:t>
      </w:r>
      <w:r w:rsidR="00AD0AC5">
        <w:t>.</w:t>
      </w:r>
      <w:r w:rsidR="006A3C38">
        <w:t xml:space="preserve"> </w:t>
      </w:r>
    </w:p>
    <w:p w14:paraId="4793ED04" w14:textId="1E3B4A5A" w:rsidR="00C75460" w:rsidRPr="00CF3154" w:rsidRDefault="006A3C38" w:rsidP="00CF3154">
      <w:pPr>
        <w:pStyle w:val="ListParagraph"/>
        <w:numPr>
          <w:ilvl w:val="0"/>
          <w:numId w:val="29"/>
        </w:numPr>
        <w:contextualSpacing w:val="0"/>
      </w:pPr>
      <w:r>
        <w:t>It is understood that the implementation plan will include Commonwealth measures announced in the Our Investment in Women’s Safety’</w:t>
      </w:r>
      <w:r w:rsidR="00C75460">
        <w:t xml:space="preserve"> and the 2019 Federal budget.</w:t>
      </w:r>
      <w:r w:rsidR="00C75460">
        <w:rPr>
          <w:rStyle w:val="FootnoteReference"/>
        </w:rPr>
        <w:footnoteReference w:id="3"/>
      </w:r>
      <w:r w:rsidR="00C75460">
        <w:t xml:space="preserve"> The la</w:t>
      </w:r>
      <w:r w:rsidR="0022079D">
        <w:t>t</w:t>
      </w:r>
      <w:r w:rsidR="00C75460">
        <w:t>ter includes additional funding to Family Advocacy Support Services and a new budget measure titled ‘Department of Veterans’ Affairs: Partner Service Pensions — eligibility alignment’.</w:t>
      </w:r>
      <w:r w:rsidR="00C75460">
        <w:rPr>
          <w:rStyle w:val="FootnoteReference"/>
        </w:rPr>
        <w:footnoteReference w:id="4"/>
      </w:r>
      <w:r w:rsidR="00CF3154">
        <w:t xml:space="preserve"> In addition to Commonwealth measures, the implementation plan will include States and Territories relevant measures. </w:t>
      </w:r>
    </w:p>
    <w:p w14:paraId="6C65C3AE" w14:textId="24CC8F50" w:rsidR="00AD0AC5" w:rsidRDefault="00CF3154" w:rsidP="00CE7213">
      <w:pPr>
        <w:pStyle w:val="ListParagraph"/>
        <w:numPr>
          <w:ilvl w:val="0"/>
          <w:numId w:val="29"/>
        </w:numPr>
        <w:contextualSpacing w:val="0"/>
      </w:pPr>
      <w:r>
        <w:t xml:space="preserve">The Fourth Action Plan </w:t>
      </w:r>
      <w:r w:rsidR="00AD0AC5">
        <w:t xml:space="preserve">principles overall are positive and address the issue of preventing and responding to violence against women holistically and in its complexity. The next step should be a clear articulation of these principles through a rigorous implementation plan. </w:t>
      </w:r>
    </w:p>
    <w:p w14:paraId="50B37381" w14:textId="2F03E3C5" w:rsidR="003E5540" w:rsidRDefault="003E5540" w:rsidP="00CE7213">
      <w:pPr>
        <w:pStyle w:val="ListParagraph"/>
        <w:numPr>
          <w:ilvl w:val="0"/>
          <w:numId w:val="29"/>
        </w:numPr>
        <w:contextualSpacing w:val="0"/>
      </w:pPr>
      <w:r>
        <w:t xml:space="preserve">A monitoring and evaluation system is needed to identify </w:t>
      </w:r>
      <w:r w:rsidR="00DD58BC">
        <w:t xml:space="preserve">which </w:t>
      </w:r>
      <w:r>
        <w:t>actions remain incomplete</w:t>
      </w:r>
      <w:r w:rsidR="00DD58BC">
        <w:t>, and</w:t>
      </w:r>
      <w:r>
        <w:t xml:space="preserve"> </w:t>
      </w:r>
      <w:r w:rsidR="00DD58BC">
        <w:t xml:space="preserve">which </w:t>
      </w:r>
      <w:r w:rsidR="00D04131">
        <w:t>requir</w:t>
      </w:r>
      <w:r w:rsidR="00DD58BC">
        <w:t xml:space="preserve">e </w:t>
      </w:r>
      <w:r w:rsidR="00D04131">
        <w:t xml:space="preserve">further development from previous Action Plans, such as the Third Action Plan’s commitment to address migration status, and </w:t>
      </w:r>
      <w:r w:rsidR="00DD58BC">
        <w:t xml:space="preserve">to determine the effectiveness of current initiatives funded under the NAP. This data will be crucial in </w:t>
      </w:r>
      <w:r w:rsidR="00D04131">
        <w:t>inform</w:t>
      </w:r>
      <w:r w:rsidR="00DD58BC">
        <w:t>ing</w:t>
      </w:r>
      <w:r w:rsidR="00D04131">
        <w:t xml:space="preserve"> the design of any future National Plan.</w:t>
      </w:r>
    </w:p>
    <w:p w14:paraId="1710DF8D" w14:textId="4A92116E" w:rsidR="00CE7213" w:rsidRDefault="00B95919" w:rsidP="00CE7213">
      <w:pPr>
        <w:pStyle w:val="ListParagraph"/>
        <w:numPr>
          <w:ilvl w:val="0"/>
          <w:numId w:val="29"/>
        </w:numPr>
        <w:contextualSpacing w:val="0"/>
      </w:pPr>
      <w:r>
        <w:t>While the</w:t>
      </w:r>
      <w:r w:rsidR="005E0E4D">
        <w:t xml:space="preserve"> Fourth Action Plan</w:t>
      </w:r>
      <w:r>
        <w:t xml:space="preserve"> principles correspond with many measures put forward in AWAVA’s policy position, some of the key areas have not yet been translated into measurable actions</w:t>
      </w:r>
      <w:r w:rsidR="00DD58BC">
        <w:t>. O</w:t>
      </w:r>
      <w:r>
        <w:t xml:space="preserve">thers will </w:t>
      </w:r>
      <w:r w:rsidR="00CE7213">
        <w:t xml:space="preserve">require </w:t>
      </w:r>
      <w:r w:rsidR="00DD58BC">
        <w:t xml:space="preserve">specific </w:t>
      </w:r>
      <w:r w:rsidR="00CE7213">
        <w:t>attention in the implementation plan.</w:t>
      </w:r>
      <w:r>
        <w:t xml:space="preserve"> </w:t>
      </w:r>
      <w:r w:rsidR="004916EC">
        <w:t xml:space="preserve">To this end, AWAVA would like to highlight </w:t>
      </w:r>
      <w:r>
        <w:t xml:space="preserve">following:  </w:t>
      </w:r>
    </w:p>
    <w:p w14:paraId="7D5CE914" w14:textId="49F13E82" w:rsidR="00AD0AC5" w:rsidRPr="00D64614" w:rsidRDefault="008E7D96" w:rsidP="00AD0AC5">
      <w:pPr>
        <w:pStyle w:val="ListParagraph"/>
        <w:numPr>
          <w:ilvl w:val="0"/>
          <w:numId w:val="28"/>
        </w:numPr>
        <w:contextualSpacing w:val="0"/>
        <w:rPr>
          <w:b/>
        </w:rPr>
      </w:pPr>
      <w:r>
        <w:rPr>
          <w:b/>
        </w:rPr>
        <w:t>Diversity and intersectionality lens</w:t>
      </w:r>
      <w:r w:rsidR="00AD0AC5" w:rsidRPr="00D64614">
        <w:rPr>
          <w:b/>
        </w:rPr>
        <w:t xml:space="preserve">: </w:t>
      </w:r>
    </w:p>
    <w:p w14:paraId="7066A1B1" w14:textId="3BFDE3B0" w:rsidR="00AD0AC5" w:rsidRDefault="00AD0AC5" w:rsidP="002540CC">
      <w:pPr>
        <w:pStyle w:val="ListParagraph"/>
        <w:numPr>
          <w:ilvl w:val="1"/>
          <w:numId w:val="28"/>
        </w:numPr>
        <w:ind w:left="993" w:hanging="283"/>
        <w:contextualSpacing w:val="0"/>
      </w:pPr>
      <w:r>
        <w:t xml:space="preserve">In AWAVA’s </w:t>
      </w:r>
      <w:r w:rsidR="00CC32C5">
        <w:t>submission</w:t>
      </w:r>
      <w:r>
        <w:t xml:space="preserve"> on the development of the Fourth Action Plan</w:t>
      </w:r>
      <w:r w:rsidR="00CC32C5">
        <w:rPr>
          <w:rStyle w:val="FootnoteReference"/>
        </w:rPr>
        <w:footnoteReference w:id="5"/>
      </w:r>
      <w:r>
        <w:t>, we outline</w:t>
      </w:r>
      <w:r w:rsidR="00E9667C">
        <w:t>d</w:t>
      </w:r>
      <w:r>
        <w:t xml:space="preserve"> an extensive list of diverse groups of women and how they are impacted by domestic and family violence, sexual violence and other forms of violence against women. The main argument of AWAVA’s work is not a separation of those experiences from a ‘general’ experience of VAW but rather an application of an intersectionality lens in policy and practice. </w:t>
      </w:r>
      <w:r w:rsidR="00DD58BC">
        <w:t xml:space="preserve">These are the many and diverse experiences of women experiencing violence. There is no one typical experience. </w:t>
      </w:r>
      <w:r>
        <w:t>The same position has been expressed during the public consulta</w:t>
      </w:r>
      <w:r w:rsidR="00D64614">
        <w:t xml:space="preserve">tions on the Fourth Action Plan. </w:t>
      </w:r>
    </w:p>
    <w:p w14:paraId="2C560634" w14:textId="5892B879" w:rsidR="00AD0AC5" w:rsidRDefault="00AD0AC5" w:rsidP="002540CC">
      <w:pPr>
        <w:pStyle w:val="ListParagraph"/>
        <w:numPr>
          <w:ilvl w:val="1"/>
          <w:numId w:val="28"/>
        </w:numPr>
        <w:ind w:left="993" w:hanging="283"/>
        <w:contextualSpacing w:val="0"/>
      </w:pPr>
      <w:r>
        <w:t xml:space="preserve">The need to embed intersectionality in policy and practice has </w:t>
      </w:r>
      <w:r w:rsidR="00D04131">
        <w:t xml:space="preserve">also </w:t>
      </w:r>
      <w:r>
        <w:t xml:space="preserve">been </w:t>
      </w:r>
      <w:r w:rsidR="00D04131">
        <w:t xml:space="preserve">articulated </w:t>
      </w:r>
      <w:r>
        <w:t xml:space="preserve">by the UN: </w:t>
      </w:r>
    </w:p>
    <w:p w14:paraId="7B38B8F3" w14:textId="77777777" w:rsidR="00AD0AC5" w:rsidRPr="002D6A95" w:rsidRDefault="00AD0AC5" w:rsidP="002540CC">
      <w:pPr>
        <w:pStyle w:val="ListParagraph"/>
        <w:numPr>
          <w:ilvl w:val="2"/>
          <w:numId w:val="28"/>
        </w:numPr>
        <w:ind w:left="1701"/>
        <w:contextualSpacing w:val="0"/>
        <w:rPr>
          <w:rFonts w:asciiTheme="majorHAnsi" w:hAnsiTheme="majorHAnsi" w:cstheme="majorHAnsi"/>
        </w:rPr>
      </w:pPr>
      <w:r w:rsidRPr="00DA3D78">
        <w:rPr>
          <w:rFonts w:asciiTheme="majorHAnsi" w:hAnsiTheme="majorHAnsi" w:cstheme="majorHAnsi"/>
        </w:rPr>
        <w:t>“[...] To consider that gender-based inequalities are exacerbated when coupled with other grounds of discrimination and disadvantages, and therefore to use an “intersectionality lens” in policy initiatives […]”</w:t>
      </w:r>
      <w:r w:rsidRPr="00DA3D78">
        <w:rPr>
          <w:rStyle w:val="FootnoteReference"/>
          <w:rFonts w:asciiTheme="majorHAnsi" w:hAnsiTheme="majorHAnsi" w:cstheme="majorHAnsi"/>
        </w:rPr>
        <w:footnoteReference w:id="6"/>
      </w:r>
    </w:p>
    <w:p w14:paraId="4A1C4E18" w14:textId="68F77EF1" w:rsidR="00AD0AC5" w:rsidRPr="00DA3D78" w:rsidRDefault="00AD0AC5" w:rsidP="002540CC">
      <w:pPr>
        <w:pStyle w:val="ListParagraph"/>
        <w:numPr>
          <w:ilvl w:val="2"/>
          <w:numId w:val="28"/>
        </w:numPr>
        <w:ind w:left="1701"/>
        <w:contextualSpacing w:val="0"/>
        <w:rPr>
          <w:rFonts w:asciiTheme="majorHAnsi" w:hAnsiTheme="majorHAnsi" w:cstheme="majorHAnsi"/>
        </w:rPr>
      </w:pPr>
      <w:r w:rsidRPr="00DA3D78">
        <w:rPr>
          <w:rFonts w:asciiTheme="majorHAnsi" w:hAnsiTheme="majorHAnsi" w:cstheme="majorHAnsi"/>
        </w:rPr>
        <w:t>“[…] calls upon </w:t>
      </w:r>
      <w:r w:rsidR="008E7D96" w:rsidRPr="00DA3D78">
        <w:rPr>
          <w:rFonts w:asciiTheme="majorHAnsi" w:hAnsiTheme="majorHAnsi" w:cstheme="majorHAnsi"/>
        </w:rPr>
        <w:t>S</w:t>
      </w:r>
      <w:r w:rsidR="00E5656F">
        <w:rPr>
          <w:rFonts w:asciiTheme="majorHAnsi" w:hAnsiTheme="majorHAnsi" w:cstheme="majorHAnsi"/>
        </w:rPr>
        <w:t>t</w:t>
      </w:r>
      <w:r w:rsidRPr="00DA3D78">
        <w:rPr>
          <w:rFonts w:asciiTheme="majorHAnsi" w:hAnsiTheme="majorHAnsi" w:cstheme="majorHAnsi"/>
        </w:rPr>
        <w:t>ates to ensure access to justice and accountability mechanisms and remedies for the effective implementation and enforcement of laws aimed at preventing and eliminating discrimination against women and girls, taking into account the multiple, intersecting and aggravating forms of discrimination […]”</w:t>
      </w:r>
      <w:r w:rsidRPr="00DA3D78">
        <w:rPr>
          <w:rStyle w:val="FootnoteReference"/>
          <w:rFonts w:asciiTheme="majorHAnsi" w:hAnsiTheme="majorHAnsi" w:cstheme="majorHAnsi"/>
        </w:rPr>
        <w:footnoteReference w:id="7"/>
      </w:r>
    </w:p>
    <w:p w14:paraId="3AECC676" w14:textId="77777777" w:rsidR="00193FE9" w:rsidRPr="00AD0AC5" w:rsidRDefault="00193FE9" w:rsidP="002540CC">
      <w:pPr>
        <w:pStyle w:val="ListParagraph"/>
        <w:numPr>
          <w:ilvl w:val="2"/>
          <w:numId w:val="28"/>
        </w:numPr>
        <w:ind w:left="1701"/>
        <w:contextualSpacing w:val="0"/>
        <w:rPr>
          <w:rFonts w:asciiTheme="majorHAnsi" w:hAnsiTheme="majorHAnsi" w:cstheme="majorHAnsi"/>
          <w:color w:val="222222"/>
        </w:rPr>
      </w:pPr>
      <w:r>
        <w:lastRenderedPageBreak/>
        <w:t>“Essential services must also respond appropriately to women and girls who face multiple forms of discrimination […]”</w:t>
      </w:r>
      <w:r>
        <w:rPr>
          <w:rStyle w:val="FootnoteReference"/>
        </w:rPr>
        <w:footnoteReference w:id="8"/>
      </w:r>
    </w:p>
    <w:p w14:paraId="28866B3E" w14:textId="1D4463D2" w:rsidR="00AD0AC5" w:rsidRDefault="00AD0AC5" w:rsidP="002540CC">
      <w:pPr>
        <w:pStyle w:val="ListParagraph"/>
        <w:numPr>
          <w:ilvl w:val="1"/>
          <w:numId w:val="28"/>
        </w:numPr>
        <w:ind w:left="993" w:hanging="284"/>
        <w:contextualSpacing w:val="0"/>
      </w:pPr>
      <w:r>
        <w:t xml:space="preserve">Throughout the </w:t>
      </w:r>
      <w:r w:rsidR="00CF3154">
        <w:t xml:space="preserve">Fourth Action </w:t>
      </w:r>
      <w:r w:rsidR="002D6A95">
        <w:t>Pl</w:t>
      </w:r>
      <w:r>
        <w:t xml:space="preserve">an there are indications </w:t>
      </w:r>
      <w:r w:rsidR="00D04131">
        <w:t xml:space="preserve">of </w:t>
      </w:r>
      <w:r>
        <w:t>how VAW affects diverse communities and whether any challenges emerge based on one’s identity and/or circumstances.</w:t>
      </w:r>
      <w:r w:rsidR="00CE7213">
        <w:t xml:space="preserve"> We welcome </w:t>
      </w:r>
      <w:r w:rsidR="00D04131">
        <w:t xml:space="preserve">the </w:t>
      </w:r>
      <w:r w:rsidR="00CE7213">
        <w:t>inclusion of groups that are commonly exclude</w:t>
      </w:r>
      <w:r w:rsidR="00D04131">
        <w:t>d,</w:t>
      </w:r>
      <w:r w:rsidR="00CE7213">
        <w:t xml:space="preserve"> such as mentions of </w:t>
      </w:r>
      <w:r w:rsidR="00D04131">
        <w:t xml:space="preserve">the </w:t>
      </w:r>
      <w:r w:rsidR="00CE7213">
        <w:t xml:space="preserve">stigma attached to the reporting of sexual violence by women in the sex industry </w:t>
      </w:r>
      <w:r w:rsidR="00D04131">
        <w:t xml:space="preserve">and </w:t>
      </w:r>
      <w:r w:rsidR="00CE7213">
        <w:t xml:space="preserve">barriers to access sexual and reproductive health services </w:t>
      </w:r>
      <w:r w:rsidR="00D04131">
        <w:t xml:space="preserve">experienced </w:t>
      </w:r>
      <w:r w:rsidR="00CE7213">
        <w:t xml:space="preserve">by international students. </w:t>
      </w:r>
    </w:p>
    <w:p w14:paraId="47CD0336" w14:textId="3403F7BC" w:rsidR="00CE7213" w:rsidRDefault="00CE7213" w:rsidP="002540CC">
      <w:pPr>
        <w:pStyle w:val="ListParagraph"/>
        <w:numPr>
          <w:ilvl w:val="1"/>
          <w:numId w:val="28"/>
        </w:numPr>
        <w:ind w:left="993" w:hanging="284"/>
        <w:contextualSpacing w:val="0"/>
      </w:pPr>
      <w:r>
        <w:t>Some important groups that are placed in precarious settings when it comes to the experiences of violence were not mentioned</w:t>
      </w:r>
      <w:r w:rsidR="008D0B9C">
        <w:t>, however</w:t>
      </w:r>
      <w:r>
        <w:t>. Th</w:t>
      </w:r>
      <w:r w:rsidR="00DD58BC">
        <w:t>ese</w:t>
      </w:r>
      <w:r>
        <w:t xml:space="preserve"> include</w:t>
      </w:r>
      <w:r w:rsidR="00DD58BC">
        <w:t>d</w:t>
      </w:r>
      <w:r>
        <w:t xml:space="preserve"> women on temporary visas and their children who are experiencing DFV. </w:t>
      </w:r>
    </w:p>
    <w:p w14:paraId="4E066219" w14:textId="2AD7963C" w:rsidR="00CF3154" w:rsidRDefault="00FE2C2E" w:rsidP="002540CC">
      <w:pPr>
        <w:pStyle w:val="ListParagraph"/>
        <w:numPr>
          <w:ilvl w:val="1"/>
          <w:numId w:val="28"/>
        </w:numPr>
        <w:ind w:left="993" w:hanging="284"/>
        <w:contextualSpacing w:val="0"/>
      </w:pPr>
      <w:r>
        <w:t>D</w:t>
      </w:r>
      <w:r w:rsidR="00CF3154">
        <w:t xml:space="preserve">espite the </w:t>
      </w:r>
      <w:r w:rsidR="0004701A">
        <w:t xml:space="preserve">stated </w:t>
      </w:r>
      <w:r w:rsidR="00CF3154">
        <w:t xml:space="preserve">commitment to an intersectional lens, </w:t>
      </w:r>
      <w:r>
        <w:t xml:space="preserve">the </w:t>
      </w:r>
      <w:r w:rsidR="00CF3154">
        <w:t xml:space="preserve">actions indicated </w:t>
      </w:r>
      <w:r>
        <w:t xml:space="preserve">in the Fourth Action Plan </w:t>
      </w:r>
      <w:r w:rsidR="00CF3154">
        <w:t xml:space="preserve">can be described as </w:t>
      </w:r>
      <w:r>
        <w:t xml:space="preserve">taking a </w:t>
      </w:r>
      <w:r w:rsidR="00CF3154">
        <w:t>diversity approach</w:t>
      </w:r>
      <w:r w:rsidR="0004701A">
        <w:t>,</w:t>
      </w:r>
      <w:r w:rsidR="00E5656F">
        <w:t xml:space="preserve"> which is </w:t>
      </w:r>
      <w:r w:rsidR="0022079D">
        <w:t>not the same</w:t>
      </w:r>
      <w:r w:rsidR="00CF3154">
        <w:t xml:space="preserve">. </w:t>
      </w:r>
      <w:r w:rsidR="0004701A">
        <w:t>A diversity approach i</w:t>
      </w:r>
      <w:r w:rsidR="00C1227F">
        <w:t xml:space="preserve">n the context of reducing violence against women </w:t>
      </w:r>
      <w:r w:rsidR="0004701A">
        <w:t xml:space="preserve">involves the </w:t>
      </w:r>
      <w:r w:rsidR="00C1227F">
        <w:t>identification of diverse groups of women and their experiences of violence</w:t>
      </w:r>
      <w:r w:rsidR="0004701A">
        <w:t>. However, this</w:t>
      </w:r>
      <w:r w:rsidR="00C1227F">
        <w:t xml:space="preserve"> is</w:t>
      </w:r>
      <w:r w:rsidR="0004701A">
        <w:t xml:space="preserve"> only</w:t>
      </w:r>
      <w:r w:rsidR="00C1227F">
        <w:t xml:space="preserve"> the first step</w:t>
      </w:r>
      <w:r w:rsidR="0004701A">
        <w:t xml:space="preserve"> to actualising an intersectional approach</w:t>
      </w:r>
      <w:r w:rsidR="00C1227F">
        <w:t xml:space="preserve">. </w:t>
      </w:r>
      <w:r w:rsidR="0004701A">
        <w:t xml:space="preserve">A </w:t>
      </w:r>
      <w:r>
        <w:t xml:space="preserve">further </w:t>
      </w:r>
      <w:r w:rsidR="00C1227F">
        <w:t xml:space="preserve">step </w:t>
      </w:r>
      <w:r>
        <w:t>is required</w:t>
      </w:r>
      <w:r w:rsidR="0004701A">
        <w:t xml:space="preserve"> in analysing how status and identity categories interact with various systems (such as family law, social security and migration) to further compound an advantage or disadvantage, and in </w:t>
      </w:r>
      <w:r w:rsidR="00C1227F">
        <w:t>respond</w:t>
      </w:r>
      <w:r w:rsidR="0004701A">
        <w:t>ing</w:t>
      </w:r>
      <w:r w:rsidR="00C1227F">
        <w:t xml:space="preserve"> to </w:t>
      </w:r>
      <w:r w:rsidR="0004701A">
        <w:t>the</w:t>
      </w:r>
      <w:r w:rsidR="0095153B">
        <w:t xml:space="preserve"> experiences </w:t>
      </w:r>
      <w:r w:rsidR="0004701A">
        <w:t xml:space="preserve">of women </w:t>
      </w:r>
      <w:r w:rsidR="00CE5D40">
        <w:t xml:space="preserve">subject to </w:t>
      </w:r>
      <w:r w:rsidR="0004701A">
        <w:t xml:space="preserve">these compounding disadvantages </w:t>
      </w:r>
      <w:r w:rsidR="00CE5D40">
        <w:t xml:space="preserve">so as to facilitate their equal </w:t>
      </w:r>
      <w:r w:rsidR="0004701A">
        <w:t xml:space="preserve">access to justice and </w:t>
      </w:r>
      <w:r w:rsidR="0095153B">
        <w:t xml:space="preserve">support. This has not </w:t>
      </w:r>
      <w:r>
        <w:t xml:space="preserve">yet </w:t>
      </w:r>
      <w:r w:rsidR="0095153B">
        <w:t xml:space="preserve">been </w:t>
      </w:r>
      <w:r>
        <w:t>undertaken in an extensive way</w:t>
      </w:r>
      <w:r w:rsidR="0022079D">
        <w:t>.</w:t>
      </w:r>
    </w:p>
    <w:p w14:paraId="0AF99408" w14:textId="2F8D4B29" w:rsidR="0095153B" w:rsidRDefault="0095153B" w:rsidP="002540CC">
      <w:pPr>
        <w:pStyle w:val="ListParagraph"/>
        <w:numPr>
          <w:ilvl w:val="1"/>
          <w:numId w:val="28"/>
        </w:numPr>
        <w:ind w:left="993" w:hanging="284"/>
        <w:contextualSpacing w:val="0"/>
      </w:pPr>
      <w:r>
        <w:t xml:space="preserve">Adopting an intersectional lens throughout </w:t>
      </w:r>
      <w:r w:rsidR="00FE2C2E">
        <w:t xml:space="preserve">VAW </w:t>
      </w:r>
      <w:r>
        <w:t xml:space="preserve">prevention and response will ensure that other factors and circumstances often contributing to experiences of violence such as poverty, the impact of racism, homophobia and transphobia, and ableism among many others, will be also taken into account and addressed in a holistic manner. </w:t>
      </w:r>
    </w:p>
    <w:p w14:paraId="081E061E" w14:textId="609E4F0D" w:rsidR="00D64614" w:rsidRDefault="00D64614" w:rsidP="00D64614">
      <w:pPr>
        <w:pStyle w:val="ListParagraph"/>
        <w:numPr>
          <w:ilvl w:val="0"/>
          <w:numId w:val="28"/>
        </w:numPr>
        <w:rPr>
          <w:b/>
        </w:rPr>
      </w:pPr>
      <w:r w:rsidRPr="00D64614">
        <w:rPr>
          <w:b/>
        </w:rPr>
        <w:t>Resourcing</w:t>
      </w:r>
    </w:p>
    <w:p w14:paraId="02DD5404" w14:textId="6BE30F40" w:rsidR="00D64614" w:rsidRDefault="00D64614" w:rsidP="002540CC">
      <w:pPr>
        <w:pStyle w:val="ListParagraph"/>
        <w:numPr>
          <w:ilvl w:val="1"/>
          <w:numId w:val="28"/>
        </w:numPr>
        <w:ind w:left="993" w:hanging="284"/>
        <w:contextualSpacing w:val="0"/>
      </w:pPr>
      <w:r>
        <w:t>No new funding has been announced since the ‘Our Investment in Women’s Safety’ Package that will flow directly to specialist service</w:t>
      </w:r>
      <w:r w:rsidR="00D04131">
        <w:t xml:space="preserve"> provision by organisations</w:t>
      </w:r>
      <w:r>
        <w:t xml:space="preserve"> with gender expertise and cultural competency.</w:t>
      </w:r>
    </w:p>
    <w:p w14:paraId="00CCFC12" w14:textId="4CDA8D11" w:rsidR="00E9667C" w:rsidRDefault="00E9667C" w:rsidP="002540CC">
      <w:pPr>
        <w:pStyle w:val="ListParagraph"/>
        <w:numPr>
          <w:ilvl w:val="1"/>
          <w:numId w:val="28"/>
        </w:numPr>
        <w:ind w:left="993" w:hanging="284"/>
        <w:contextualSpacing w:val="0"/>
      </w:pPr>
      <w:r>
        <w:t xml:space="preserve">The Fourth Action Plan explicitly acknowledges that with an investment in primary prevention and awareness raising activities will come an increase in demand for support services. Yet, no new investment was made in </w:t>
      </w:r>
      <w:r w:rsidR="00251DF0">
        <w:t xml:space="preserve">the direct delivery of </w:t>
      </w:r>
      <w:r>
        <w:t>frontline women’s specialist services, which are the primary responders to women and their children experiencing violence and abuse. This is of serious concern, and AWAVA calls on the government to remedy its initial approach through a substantive investment in women’s specialist services.</w:t>
      </w:r>
    </w:p>
    <w:p w14:paraId="7FECC9E2" w14:textId="26158153" w:rsidR="00D64614" w:rsidRDefault="003B61BE" w:rsidP="002540CC">
      <w:pPr>
        <w:pStyle w:val="ListParagraph"/>
        <w:numPr>
          <w:ilvl w:val="1"/>
          <w:numId w:val="28"/>
        </w:numPr>
        <w:ind w:left="993" w:hanging="284"/>
        <w:contextualSpacing w:val="0"/>
      </w:pPr>
      <w:r>
        <w:t>We welcome the government’s commitment towards achieving gender equality</w:t>
      </w:r>
      <w:r w:rsidR="00D04131">
        <w:t xml:space="preserve"> as an overarching goal</w:t>
      </w:r>
      <w:r>
        <w:t>. Yet this process requires concrete measure</w:t>
      </w:r>
      <w:r w:rsidR="00D04131">
        <w:t>s</w:t>
      </w:r>
      <w:r>
        <w:t xml:space="preserve"> such </w:t>
      </w:r>
      <w:r w:rsidR="00D04131">
        <w:t xml:space="preserve">as </w:t>
      </w:r>
      <w:r>
        <w:t xml:space="preserve">reducing </w:t>
      </w:r>
      <w:r w:rsidR="00E6231D">
        <w:t xml:space="preserve">the </w:t>
      </w:r>
      <w:r>
        <w:t>gender pay ga</w:t>
      </w:r>
      <w:r w:rsidR="00E6231D">
        <w:t>p</w:t>
      </w:r>
      <w:r w:rsidR="00251DF0">
        <w:t>,</w:t>
      </w:r>
      <w:r>
        <w:t xml:space="preserve"> access to affordable housing</w:t>
      </w:r>
      <w:r w:rsidR="00251DF0">
        <w:t>, child care and safe workplaces for women</w:t>
      </w:r>
      <w:r w:rsidR="00E6231D">
        <w:t>. The National Women’s Alliances can provide advice about the key measures that need to be taken</w:t>
      </w:r>
      <w:r>
        <w:t xml:space="preserve">. </w:t>
      </w:r>
    </w:p>
    <w:p w14:paraId="02A1255C" w14:textId="77777777" w:rsidR="003B61BE" w:rsidRDefault="003B61BE" w:rsidP="003B61BE">
      <w:pPr>
        <w:pStyle w:val="ListParagraph"/>
        <w:numPr>
          <w:ilvl w:val="0"/>
          <w:numId w:val="28"/>
        </w:numPr>
        <w:ind w:hanging="357"/>
        <w:contextualSpacing w:val="0"/>
        <w:rPr>
          <w:b/>
        </w:rPr>
      </w:pPr>
      <w:r>
        <w:rPr>
          <w:b/>
        </w:rPr>
        <w:t>Recognition of specialist women’s services</w:t>
      </w:r>
    </w:p>
    <w:p w14:paraId="7B22F4A3" w14:textId="38253F1D" w:rsidR="003B61BE" w:rsidRDefault="003B61BE" w:rsidP="002540CC">
      <w:pPr>
        <w:pStyle w:val="ListParagraph"/>
        <w:numPr>
          <w:ilvl w:val="1"/>
          <w:numId w:val="28"/>
        </w:numPr>
        <w:ind w:left="993" w:hanging="284"/>
        <w:contextualSpacing w:val="0"/>
      </w:pPr>
      <w:r w:rsidRPr="003B61BE">
        <w:t xml:space="preserve">AWAVA </w:t>
      </w:r>
      <w:r>
        <w:t xml:space="preserve">as a National Women’s Alliance is a strong voice for a range of </w:t>
      </w:r>
      <w:r w:rsidR="00E6231D">
        <w:t xml:space="preserve">organisations </w:t>
      </w:r>
      <w:r w:rsidR="008751F9">
        <w:t xml:space="preserve">providing specialist women’s services, culturally competent and community controlled services for Aboriginal and Torres Strait Islander women, women from culturally and linguistically diverse backgrounds and women with disability, sexual assault services and women’s legal services. </w:t>
      </w:r>
    </w:p>
    <w:p w14:paraId="07101698" w14:textId="1871BA9B" w:rsidR="008751F9" w:rsidRDefault="008751F9" w:rsidP="002540CC">
      <w:pPr>
        <w:pStyle w:val="ListParagraph"/>
        <w:numPr>
          <w:ilvl w:val="1"/>
          <w:numId w:val="28"/>
        </w:numPr>
        <w:ind w:left="993" w:hanging="284"/>
        <w:contextualSpacing w:val="0"/>
      </w:pPr>
      <w:r>
        <w:lastRenderedPageBreak/>
        <w:t xml:space="preserve">These services are working with women through best practice principles and </w:t>
      </w:r>
      <w:r w:rsidR="002F7796">
        <w:t>evidence-based</w:t>
      </w:r>
      <w:r w:rsidR="0077289F">
        <w:t xml:space="preserve"> approaches. Specifically, </w:t>
      </w:r>
      <w:r w:rsidR="00251DF0">
        <w:t>they</w:t>
      </w:r>
      <w:r w:rsidR="0077289F">
        <w:t xml:space="preserve"> adhere to </w:t>
      </w:r>
      <w:r w:rsidR="00E6231D">
        <w:t>AWAVA</w:t>
      </w:r>
      <w:r w:rsidR="0077289F">
        <w:t xml:space="preserve">'s </w:t>
      </w:r>
      <w:r w:rsidR="00B10C29">
        <w:t xml:space="preserve">best </w:t>
      </w:r>
      <w:r w:rsidR="0077289F">
        <w:t xml:space="preserve">practice </w:t>
      </w:r>
      <w:r w:rsidR="00B10C29">
        <w:t xml:space="preserve">principles </w:t>
      </w:r>
      <w:r w:rsidR="0077289F">
        <w:t xml:space="preserve">as </w:t>
      </w:r>
      <w:r w:rsidR="00E6231D">
        <w:t>specialist women’s services</w:t>
      </w:r>
      <w:r w:rsidR="0077289F">
        <w:t xml:space="preserve"> which involve</w:t>
      </w:r>
      <w:r w:rsidR="00E6231D">
        <w:t>:</w:t>
      </w:r>
    </w:p>
    <w:p w14:paraId="4813B485" w14:textId="77777777" w:rsidR="00E6231D" w:rsidRPr="002540CC" w:rsidRDefault="00E6231D"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A rights-based approach</w:t>
      </w:r>
    </w:p>
    <w:p w14:paraId="37012676" w14:textId="3C2DDABB" w:rsidR="00E6231D" w:rsidRPr="002540CC" w:rsidRDefault="0077289F"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The a</w:t>
      </w:r>
      <w:r w:rsidR="00E6231D" w:rsidRPr="002540CC">
        <w:rPr>
          <w:rFonts w:asciiTheme="majorHAnsi" w:hAnsiTheme="majorHAnsi" w:cstheme="majorHAnsi"/>
        </w:rPr>
        <w:t>dvanc</w:t>
      </w:r>
      <w:r w:rsidRPr="002540CC">
        <w:rPr>
          <w:rFonts w:asciiTheme="majorHAnsi" w:hAnsiTheme="majorHAnsi" w:cstheme="majorHAnsi"/>
        </w:rPr>
        <w:t>ement of</w:t>
      </w:r>
      <w:r w:rsidR="00E6231D" w:rsidRPr="002540CC">
        <w:rPr>
          <w:rFonts w:asciiTheme="majorHAnsi" w:hAnsiTheme="majorHAnsi" w:cstheme="majorHAnsi"/>
        </w:rPr>
        <w:t xml:space="preserve"> gender equality and women’s empowerment</w:t>
      </w:r>
    </w:p>
    <w:p w14:paraId="422D5608" w14:textId="77777777" w:rsidR="00E6231D" w:rsidRPr="002540CC" w:rsidRDefault="00E6231D"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A client-centred approach</w:t>
      </w:r>
    </w:p>
    <w:p w14:paraId="604A5097" w14:textId="4B8839A9" w:rsidR="00E6231D" w:rsidRPr="002540CC" w:rsidRDefault="00146699"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Maintaining w</w:t>
      </w:r>
      <w:r w:rsidR="00E6231D" w:rsidRPr="002540CC">
        <w:rPr>
          <w:rFonts w:asciiTheme="majorHAnsi" w:hAnsiTheme="majorHAnsi" w:cstheme="majorHAnsi"/>
        </w:rPr>
        <w:t xml:space="preserve">omen’s safety </w:t>
      </w:r>
      <w:r w:rsidRPr="002540CC">
        <w:rPr>
          <w:rFonts w:asciiTheme="majorHAnsi" w:hAnsiTheme="majorHAnsi" w:cstheme="majorHAnsi"/>
        </w:rPr>
        <w:t xml:space="preserve">as </w:t>
      </w:r>
      <w:r w:rsidR="00E6231D" w:rsidRPr="002540CC">
        <w:rPr>
          <w:rFonts w:asciiTheme="majorHAnsi" w:hAnsiTheme="majorHAnsi" w:cstheme="majorHAnsi"/>
        </w:rPr>
        <w:t>central</w:t>
      </w:r>
    </w:p>
    <w:p w14:paraId="1E0288F9" w14:textId="09304F09" w:rsidR="00E6231D" w:rsidRPr="002540CC" w:rsidRDefault="00146699"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Holding p</w:t>
      </w:r>
      <w:r w:rsidR="00E6231D" w:rsidRPr="002540CC">
        <w:rPr>
          <w:rFonts w:asciiTheme="majorHAnsi" w:hAnsiTheme="majorHAnsi" w:cstheme="majorHAnsi"/>
        </w:rPr>
        <w:t>erpetrator</w:t>
      </w:r>
      <w:r w:rsidRPr="002540CC">
        <w:rPr>
          <w:rFonts w:asciiTheme="majorHAnsi" w:hAnsiTheme="majorHAnsi" w:cstheme="majorHAnsi"/>
        </w:rPr>
        <w:t>s to</w:t>
      </w:r>
      <w:r w:rsidR="00E6231D" w:rsidRPr="002540CC">
        <w:rPr>
          <w:rFonts w:asciiTheme="majorHAnsi" w:hAnsiTheme="majorHAnsi" w:cstheme="majorHAnsi"/>
        </w:rPr>
        <w:t xml:space="preserve"> account</w:t>
      </w:r>
    </w:p>
    <w:p w14:paraId="7172B97C" w14:textId="1D54B0B0" w:rsidR="00E6231D" w:rsidRDefault="00146699" w:rsidP="002540CC">
      <w:pPr>
        <w:pStyle w:val="ListParagraph"/>
        <w:numPr>
          <w:ilvl w:val="2"/>
          <w:numId w:val="28"/>
        </w:numPr>
        <w:ind w:left="1701" w:hanging="357"/>
      </w:pPr>
      <w:r w:rsidRPr="002540CC">
        <w:rPr>
          <w:rFonts w:asciiTheme="majorHAnsi" w:hAnsiTheme="majorHAnsi" w:cstheme="majorHAnsi"/>
        </w:rPr>
        <w:t>Ensuring</w:t>
      </w:r>
      <w:r>
        <w:t xml:space="preserve"> a</w:t>
      </w:r>
      <w:r w:rsidR="00E6231D">
        <w:t>ccessible</w:t>
      </w:r>
      <w:r>
        <w:t>,</w:t>
      </w:r>
      <w:r w:rsidR="00E6231D">
        <w:t xml:space="preserve"> culturally-appropriate and sensitive services</w:t>
      </w:r>
      <w:r w:rsidR="00E6231D">
        <w:rPr>
          <w:rStyle w:val="FootnoteReference"/>
        </w:rPr>
        <w:footnoteReference w:id="9"/>
      </w:r>
    </w:p>
    <w:p w14:paraId="0DF35089" w14:textId="2E18EB7A" w:rsidR="00E6231D" w:rsidRDefault="00146699" w:rsidP="002540CC">
      <w:pPr>
        <w:pStyle w:val="ListParagraph"/>
        <w:numPr>
          <w:ilvl w:val="1"/>
          <w:numId w:val="28"/>
        </w:numPr>
        <w:ind w:left="993" w:hanging="284"/>
        <w:contextualSpacing w:val="0"/>
      </w:pPr>
      <w:r>
        <w:t>Critically, t</w:t>
      </w:r>
      <w:r w:rsidR="00FE2C2E">
        <w:t xml:space="preserve">his specialisation is </w:t>
      </w:r>
      <w:r w:rsidR="008751F9">
        <w:t xml:space="preserve">not </w:t>
      </w:r>
      <w:r w:rsidR="00FE2C2E">
        <w:t xml:space="preserve">yet </w:t>
      </w:r>
      <w:r w:rsidR="0022079D">
        <w:t xml:space="preserve">recognised </w:t>
      </w:r>
      <w:r>
        <w:t>n</w:t>
      </w:r>
      <w:r w:rsidR="0022079D">
        <w:t xml:space="preserve">or </w:t>
      </w:r>
      <w:r w:rsidR="008751F9">
        <w:t xml:space="preserve">reflected </w:t>
      </w:r>
      <w:r w:rsidR="0022079D">
        <w:t xml:space="preserve">in </w:t>
      </w:r>
      <w:r>
        <w:t xml:space="preserve">federal </w:t>
      </w:r>
      <w:r w:rsidR="0022079D">
        <w:t xml:space="preserve">government </w:t>
      </w:r>
      <w:r>
        <w:t xml:space="preserve">policy to address violence against women and their children, and </w:t>
      </w:r>
      <w:r w:rsidR="008751F9">
        <w:t xml:space="preserve">larger mainstream services </w:t>
      </w:r>
      <w:r>
        <w:t xml:space="preserve">continue to be privileged in </w:t>
      </w:r>
      <w:r w:rsidR="008751F9">
        <w:t>the allocation of funding.</w:t>
      </w:r>
      <w:r w:rsidR="00E6231D">
        <w:t xml:space="preserve"> </w:t>
      </w:r>
    </w:p>
    <w:p w14:paraId="0F3F75B3" w14:textId="271298BC" w:rsidR="008751F9" w:rsidRDefault="00E6231D" w:rsidP="002540CC">
      <w:pPr>
        <w:pStyle w:val="ListParagraph"/>
        <w:numPr>
          <w:ilvl w:val="1"/>
          <w:numId w:val="28"/>
        </w:numPr>
        <w:ind w:left="993" w:hanging="284"/>
        <w:contextualSpacing w:val="0"/>
      </w:pPr>
      <w:r>
        <w:t xml:space="preserve">We note and welcome that </w:t>
      </w:r>
      <w:r w:rsidR="005B0548">
        <w:t xml:space="preserve">some </w:t>
      </w:r>
      <w:r>
        <w:t>grant round</w:t>
      </w:r>
      <w:r w:rsidR="005B0548">
        <w:t>s</w:t>
      </w:r>
      <w:r>
        <w:t xml:space="preserve"> under the Fourth Action Plan</w:t>
      </w:r>
      <w:r w:rsidR="005B0548">
        <w:t xml:space="preserve"> </w:t>
      </w:r>
      <w:r>
        <w:t xml:space="preserve">require </w:t>
      </w:r>
      <w:r w:rsidR="005B0548">
        <w:t xml:space="preserve">applications to be led by specialist </w:t>
      </w:r>
      <w:r w:rsidR="005B0548" w:rsidRPr="00D123DF">
        <w:t>organisations with demonstrated expertise</w:t>
      </w:r>
      <w:r>
        <w:t>. This type of requirement should be rolled out across the full range of funded programs in the VAW area</w:t>
      </w:r>
      <w:r w:rsidR="000E7E02">
        <w:t>, k</w:t>
      </w:r>
      <w:r w:rsidR="000E7E02" w:rsidRPr="00D123DF">
        <w:t>eeping women</w:t>
      </w:r>
      <w:r w:rsidR="000E7E02" w:rsidRPr="002D6A95">
        <w:t>’s rights and gender equality central to grant guidelines</w:t>
      </w:r>
      <w:r w:rsidR="000E7E02">
        <w:t>.</w:t>
      </w:r>
      <w:r w:rsidR="002F7796">
        <w:t xml:space="preserve"> </w:t>
      </w:r>
      <w:r w:rsidR="00B10C29">
        <w:t xml:space="preserve">AWAVA submit that the </w:t>
      </w:r>
      <w:r w:rsidR="002F7796">
        <w:t xml:space="preserve">definitions used for specialist organisations </w:t>
      </w:r>
      <w:r w:rsidR="00B10C29">
        <w:t xml:space="preserve">must </w:t>
      </w:r>
      <w:r w:rsidR="002F7796">
        <w:t xml:space="preserve">be consistent with the best practice principles outlined above. </w:t>
      </w:r>
    </w:p>
    <w:p w14:paraId="72D9748D" w14:textId="77777777" w:rsidR="00CC32C5" w:rsidRDefault="00CC32C5" w:rsidP="00DA3D78"/>
    <w:p w14:paraId="10931B83" w14:textId="60AD94D6" w:rsidR="008751F9" w:rsidRDefault="000215C9" w:rsidP="000215C9">
      <w:pPr>
        <w:pStyle w:val="ListParagraph"/>
        <w:numPr>
          <w:ilvl w:val="0"/>
          <w:numId w:val="28"/>
        </w:numPr>
        <w:ind w:hanging="357"/>
        <w:contextualSpacing w:val="0"/>
        <w:rPr>
          <w:b/>
        </w:rPr>
      </w:pPr>
      <w:r>
        <w:rPr>
          <w:b/>
        </w:rPr>
        <w:t>Omission of key system improvements</w:t>
      </w:r>
    </w:p>
    <w:p w14:paraId="60F745C0" w14:textId="0F7A18D3" w:rsidR="000215C9" w:rsidRDefault="000215C9" w:rsidP="002540CC">
      <w:pPr>
        <w:pStyle w:val="ListParagraph"/>
        <w:numPr>
          <w:ilvl w:val="1"/>
          <w:numId w:val="28"/>
        </w:numPr>
        <w:ind w:left="993" w:hanging="284"/>
        <w:contextualSpacing w:val="0"/>
      </w:pPr>
      <w:r>
        <w:t xml:space="preserve">The principles to underpin the implementation plan do not spell out necessary changes and reforms within the </w:t>
      </w:r>
      <w:r w:rsidR="00B10C29">
        <w:t>f</w:t>
      </w:r>
      <w:r>
        <w:t>amily Law, migration,</w:t>
      </w:r>
      <w:r w:rsidR="00CF311E">
        <w:t xml:space="preserve"> child protection, </w:t>
      </w:r>
      <w:r w:rsidR="00CC32C5">
        <w:t xml:space="preserve">social security </w:t>
      </w:r>
      <w:r w:rsidR="00CF311E">
        <w:t xml:space="preserve">and health </w:t>
      </w:r>
      <w:r>
        <w:t xml:space="preserve">systems. </w:t>
      </w:r>
    </w:p>
    <w:p w14:paraId="6D29599E" w14:textId="5A1716CA" w:rsidR="00CF311E" w:rsidRPr="002540CC" w:rsidRDefault="00CF311E"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 xml:space="preserve">Gender equality cannot be achieved and VAW cannot be reduced where women with disability are forcibly sterilised or intersex children undergo harmful and unnecessary medical procedures </w:t>
      </w:r>
      <w:r w:rsidR="00206BF9" w:rsidRPr="002540CC">
        <w:rPr>
          <w:rFonts w:asciiTheme="majorHAnsi" w:hAnsiTheme="majorHAnsi" w:cstheme="majorHAnsi"/>
        </w:rPr>
        <w:t>where the</w:t>
      </w:r>
      <w:r w:rsidRPr="002540CC">
        <w:rPr>
          <w:rFonts w:asciiTheme="majorHAnsi" w:hAnsiTheme="majorHAnsi" w:cstheme="majorHAnsi"/>
        </w:rPr>
        <w:t xml:space="preserve"> only purpose is to make them fit into a rigid gender binary</w:t>
      </w:r>
      <w:r w:rsidR="00B10C29" w:rsidRPr="002540CC">
        <w:rPr>
          <w:rFonts w:asciiTheme="majorHAnsi" w:hAnsiTheme="majorHAnsi" w:cstheme="majorHAnsi"/>
        </w:rPr>
        <w:t>.</w:t>
      </w:r>
      <w:r w:rsidRPr="002540CC">
        <w:rPr>
          <w:rFonts w:asciiTheme="majorHAnsi" w:hAnsiTheme="majorHAnsi" w:cstheme="majorHAnsi"/>
        </w:rPr>
        <w:t xml:space="preserve"> </w:t>
      </w:r>
    </w:p>
    <w:p w14:paraId="7B382B90" w14:textId="3F050800" w:rsidR="00CF311E" w:rsidRPr="002540CC" w:rsidRDefault="00CF311E"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 xml:space="preserve">Gender equality cannot be achieved and VAW cannot be reduced where women </w:t>
      </w:r>
      <w:r w:rsidR="00FE2C2E" w:rsidRPr="002540CC">
        <w:rPr>
          <w:rFonts w:asciiTheme="majorHAnsi" w:hAnsiTheme="majorHAnsi" w:cstheme="majorHAnsi"/>
        </w:rPr>
        <w:t xml:space="preserve">lack access to income and are forced to remain with abusive partners, including situations where they are </w:t>
      </w:r>
      <w:r w:rsidRPr="002540CC">
        <w:rPr>
          <w:rFonts w:asciiTheme="majorHAnsi" w:hAnsiTheme="majorHAnsi" w:cstheme="majorHAnsi"/>
        </w:rPr>
        <w:t>subject to welfare management through cashless debit cards, compulsory programs like ParentsNext</w:t>
      </w:r>
      <w:r w:rsidR="00B10C29" w:rsidRPr="002540CC">
        <w:rPr>
          <w:rFonts w:asciiTheme="majorHAnsi" w:hAnsiTheme="majorHAnsi" w:cstheme="majorHAnsi"/>
        </w:rPr>
        <w:t>,</w:t>
      </w:r>
      <w:r w:rsidRPr="002540CC">
        <w:rPr>
          <w:rFonts w:asciiTheme="majorHAnsi" w:hAnsiTheme="majorHAnsi" w:cstheme="majorHAnsi"/>
        </w:rPr>
        <w:t xml:space="preserve"> </w:t>
      </w:r>
      <w:r w:rsidR="00FE2C2E" w:rsidRPr="002540CC">
        <w:rPr>
          <w:rFonts w:asciiTheme="majorHAnsi" w:hAnsiTheme="majorHAnsi" w:cstheme="majorHAnsi"/>
        </w:rPr>
        <w:t xml:space="preserve">and </w:t>
      </w:r>
      <w:r w:rsidRPr="002540CC">
        <w:rPr>
          <w:rFonts w:asciiTheme="majorHAnsi" w:hAnsiTheme="majorHAnsi" w:cstheme="majorHAnsi"/>
        </w:rPr>
        <w:t>where women are not eligible for any support because of their visa status or because their abusive partners le</w:t>
      </w:r>
      <w:r w:rsidR="00B10C29" w:rsidRPr="002540CC">
        <w:rPr>
          <w:rFonts w:asciiTheme="majorHAnsi" w:hAnsiTheme="majorHAnsi" w:cstheme="majorHAnsi"/>
        </w:rPr>
        <w:t>ave</w:t>
      </w:r>
      <w:r w:rsidRPr="002540CC">
        <w:rPr>
          <w:rFonts w:asciiTheme="majorHAnsi" w:hAnsiTheme="majorHAnsi" w:cstheme="majorHAnsi"/>
        </w:rPr>
        <w:t xml:space="preserve"> </w:t>
      </w:r>
      <w:r w:rsidR="00206BF9" w:rsidRPr="002540CC">
        <w:rPr>
          <w:rFonts w:asciiTheme="majorHAnsi" w:hAnsiTheme="majorHAnsi" w:cstheme="majorHAnsi"/>
        </w:rPr>
        <w:t xml:space="preserve">them </w:t>
      </w:r>
      <w:r w:rsidRPr="002540CC">
        <w:rPr>
          <w:rFonts w:asciiTheme="majorHAnsi" w:hAnsiTheme="majorHAnsi" w:cstheme="majorHAnsi"/>
        </w:rPr>
        <w:t xml:space="preserve">with a debt to repay. </w:t>
      </w:r>
    </w:p>
    <w:p w14:paraId="03375A74" w14:textId="5F47E94C" w:rsidR="00CF311E" w:rsidRPr="002540CC" w:rsidRDefault="00CF311E" w:rsidP="002540CC">
      <w:pPr>
        <w:pStyle w:val="ListParagraph"/>
        <w:numPr>
          <w:ilvl w:val="2"/>
          <w:numId w:val="28"/>
        </w:numPr>
        <w:ind w:left="1701" w:hanging="357"/>
        <w:rPr>
          <w:rFonts w:asciiTheme="majorHAnsi" w:hAnsiTheme="majorHAnsi" w:cstheme="majorHAnsi"/>
        </w:rPr>
      </w:pPr>
      <w:r w:rsidRPr="002540CC">
        <w:rPr>
          <w:rFonts w:asciiTheme="majorHAnsi" w:hAnsiTheme="majorHAnsi" w:cstheme="majorHAnsi"/>
        </w:rPr>
        <w:t xml:space="preserve">Gender equality cannot be achieved and VAW cannot be reduced where </w:t>
      </w:r>
      <w:r w:rsidR="00CC32C5" w:rsidRPr="002540CC">
        <w:rPr>
          <w:rFonts w:asciiTheme="majorHAnsi" w:hAnsiTheme="majorHAnsi" w:cstheme="majorHAnsi"/>
        </w:rPr>
        <w:t xml:space="preserve">the </w:t>
      </w:r>
      <w:r w:rsidRPr="002540CC">
        <w:rPr>
          <w:rFonts w:asciiTheme="majorHAnsi" w:hAnsiTheme="majorHAnsi" w:cstheme="majorHAnsi"/>
        </w:rPr>
        <w:t xml:space="preserve">family law system </w:t>
      </w:r>
      <w:r w:rsidR="00CC32C5" w:rsidRPr="002540CC">
        <w:rPr>
          <w:rFonts w:asciiTheme="majorHAnsi" w:hAnsiTheme="majorHAnsi" w:cstheme="majorHAnsi"/>
        </w:rPr>
        <w:t xml:space="preserve">is not effective in </w:t>
      </w:r>
      <w:r w:rsidRPr="002540CC">
        <w:rPr>
          <w:rFonts w:asciiTheme="majorHAnsi" w:hAnsiTheme="majorHAnsi" w:cstheme="majorHAnsi"/>
        </w:rPr>
        <w:t>prioritis</w:t>
      </w:r>
      <w:r w:rsidR="00CC32C5" w:rsidRPr="002540CC">
        <w:rPr>
          <w:rFonts w:asciiTheme="majorHAnsi" w:hAnsiTheme="majorHAnsi" w:cstheme="majorHAnsi"/>
        </w:rPr>
        <w:t>ing the</w:t>
      </w:r>
      <w:r w:rsidRPr="002540CC">
        <w:rPr>
          <w:rFonts w:asciiTheme="majorHAnsi" w:hAnsiTheme="majorHAnsi" w:cstheme="majorHAnsi"/>
        </w:rPr>
        <w:t xml:space="preserve"> safety of women and their children. </w:t>
      </w:r>
    </w:p>
    <w:p w14:paraId="7FDBE1D2" w14:textId="3F10BCBF" w:rsidR="00CF311E" w:rsidRDefault="00CF311E" w:rsidP="002540CC">
      <w:pPr>
        <w:pStyle w:val="ListParagraph"/>
        <w:numPr>
          <w:ilvl w:val="2"/>
          <w:numId w:val="28"/>
        </w:numPr>
        <w:ind w:left="1701" w:hanging="357"/>
      </w:pPr>
      <w:r w:rsidRPr="002540CC">
        <w:rPr>
          <w:rFonts w:asciiTheme="majorHAnsi" w:hAnsiTheme="majorHAnsi" w:cstheme="majorHAnsi"/>
        </w:rPr>
        <w:t xml:space="preserve">Gender equality cannot be achieved and VAW cannot be reduced where Aboriginal and Torres Strait Islander children are </w:t>
      </w:r>
      <w:r w:rsidR="00CC32C5" w:rsidRPr="002540CC">
        <w:rPr>
          <w:rFonts w:asciiTheme="majorHAnsi" w:hAnsiTheme="majorHAnsi" w:cstheme="majorHAnsi"/>
        </w:rPr>
        <w:t xml:space="preserve">being removed from their families at </w:t>
      </w:r>
      <w:r w:rsidR="00B10C29" w:rsidRPr="002540CC">
        <w:rPr>
          <w:rFonts w:asciiTheme="majorHAnsi" w:hAnsiTheme="majorHAnsi" w:cstheme="majorHAnsi"/>
        </w:rPr>
        <w:t>endemic</w:t>
      </w:r>
      <w:r w:rsidR="00B10C29">
        <w:t xml:space="preserve"> </w:t>
      </w:r>
      <w:r w:rsidR="00CC32C5">
        <w:t xml:space="preserve">rates. </w:t>
      </w:r>
    </w:p>
    <w:p w14:paraId="21FA9448" w14:textId="2D5F8F91" w:rsidR="00CF311E" w:rsidRDefault="00CF311E" w:rsidP="002540CC">
      <w:pPr>
        <w:pStyle w:val="ListParagraph"/>
        <w:numPr>
          <w:ilvl w:val="1"/>
          <w:numId w:val="28"/>
        </w:numPr>
        <w:ind w:left="993" w:hanging="284"/>
        <w:contextualSpacing w:val="0"/>
      </w:pPr>
      <w:r>
        <w:t xml:space="preserve">In our </w:t>
      </w:r>
      <w:r w:rsidR="002D6A95">
        <w:t>submission on the development of the Fourth Action Plan</w:t>
      </w:r>
      <w:r w:rsidR="002D6A95" w:rsidRPr="002540CC">
        <w:rPr>
          <w:vertAlign w:val="superscript"/>
        </w:rPr>
        <w:footnoteReference w:id="10"/>
      </w:r>
      <w:r>
        <w:t xml:space="preserve">, we outline a number of changes required within the systems response that </w:t>
      </w:r>
      <w:r w:rsidR="00CC32C5">
        <w:t xml:space="preserve">are </w:t>
      </w:r>
      <w:r>
        <w:t>necessary step</w:t>
      </w:r>
      <w:r w:rsidR="00CC32C5">
        <w:t>s</w:t>
      </w:r>
      <w:r>
        <w:t xml:space="preserve"> towards both reducing VAW and providing just and fair outcomes for victims/survivors of violence. </w:t>
      </w:r>
    </w:p>
    <w:p w14:paraId="2700858A" w14:textId="77777777" w:rsidR="008D0B9C" w:rsidRDefault="008D0B9C" w:rsidP="008D0B9C">
      <w:pPr>
        <w:pStyle w:val="ListParagraph"/>
        <w:numPr>
          <w:ilvl w:val="0"/>
          <w:numId w:val="28"/>
        </w:numPr>
        <w:contextualSpacing w:val="0"/>
        <w:rPr>
          <w:b/>
        </w:rPr>
      </w:pPr>
      <w:r>
        <w:rPr>
          <w:b/>
        </w:rPr>
        <w:t>Prevention and response</w:t>
      </w:r>
    </w:p>
    <w:p w14:paraId="5A0FD573" w14:textId="77777777" w:rsidR="008D0B9C" w:rsidRDefault="008D0B9C" w:rsidP="0042581D">
      <w:pPr>
        <w:pStyle w:val="ListParagraph"/>
        <w:numPr>
          <w:ilvl w:val="1"/>
          <w:numId w:val="28"/>
        </w:numPr>
        <w:ind w:left="993" w:hanging="284"/>
        <w:contextualSpacing w:val="0"/>
      </w:pPr>
      <w:r>
        <w:t xml:space="preserve">The Fourth Action Plan focuses on prevention as a key priority and one that needs to be pursued over a longer timeframe. Commentary following release of the Plan drew attention to the need for immediate action and urged governments not to accept the persistently high </w:t>
      </w:r>
      <w:r>
        <w:lastRenderedPageBreak/>
        <w:t xml:space="preserve">rates of violence currently being experienced by women and their children in this Country. Discussions about the relative importance of prevention and crisis response need to acknowledge the long-term nature of prevention and gender-equality work, whilst demanding action to meet the urgent needs that exist right now. </w:t>
      </w:r>
    </w:p>
    <w:p w14:paraId="2C7C8035" w14:textId="5BFFFCBA" w:rsidR="008D0B9C" w:rsidRPr="00C77ACC" w:rsidRDefault="008D0B9C" w:rsidP="0042581D">
      <w:pPr>
        <w:pStyle w:val="ListParagraph"/>
        <w:numPr>
          <w:ilvl w:val="1"/>
          <w:numId w:val="28"/>
        </w:numPr>
        <w:ind w:left="993" w:hanging="284"/>
        <w:contextualSpacing w:val="0"/>
      </w:pPr>
      <w:r>
        <w:t>Addressing violence against women and their children now must also be acknowledged as a preventative measure in itself</w:t>
      </w:r>
      <w:r w:rsidR="00251DF0">
        <w:t>. Allowing violence to continue reinforces the normalisation of abuse, whereas taking practical steps to support women’s and children’s safety reinforces expectations that abuse will not be tolerated</w:t>
      </w:r>
      <w:r>
        <w:t xml:space="preserve">. </w:t>
      </w:r>
      <w:commentRangeStart w:id="2"/>
      <w:commentRangeEnd w:id="2"/>
    </w:p>
    <w:p w14:paraId="3F4F4C84" w14:textId="77777777" w:rsidR="008D0B9C" w:rsidRPr="006A766E" w:rsidRDefault="008D0B9C" w:rsidP="0042581D">
      <w:pPr>
        <w:pStyle w:val="ListParagraph"/>
        <w:numPr>
          <w:ilvl w:val="1"/>
          <w:numId w:val="28"/>
        </w:numPr>
        <w:ind w:left="993" w:hanging="284"/>
        <w:contextualSpacing w:val="0"/>
      </w:pPr>
      <w:r w:rsidRPr="006A766E">
        <w:t>Key critical gaps that exist right now include the severe under-resourcing of specialist women’s services across the jurisdictions</w:t>
      </w:r>
      <w:r>
        <w:t xml:space="preserve"> including ongoing case management support, women’s specialist accommodation services, safe at home services, and women’s legal services</w:t>
      </w:r>
      <w:r w:rsidRPr="006A766E">
        <w:t xml:space="preserve">, </w:t>
      </w:r>
      <w:r>
        <w:t>a</w:t>
      </w:r>
      <w:r w:rsidRPr="006A766E">
        <w:t xml:space="preserve"> lack of affordable housing, </w:t>
      </w:r>
      <w:r>
        <w:t>a</w:t>
      </w:r>
      <w:r w:rsidRPr="006A766E">
        <w:t xml:space="preserve"> lack of reform in key systems such as social security, family law and migration, a lack of co-design and coordination</w:t>
      </w:r>
      <w:r>
        <w:t xml:space="preserve"> across jurisdictions</w:t>
      </w:r>
      <w:r w:rsidRPr="006A766E">
        <w:t>, and a reluctance to put intersectional feminist leadership at the centre.</w:t>
      </w:r>
    </w:p>
    <w:p w14:paraId="46136A84" w14:textId="77777777" w:rsidR="008D0B9C" w:rsidRDefault="008D0B9C" w:rsidP="002540CC">
      <w:pPr>
        <w:pStyle w:val="ListParagraph"/>
        <w:contextualSpacing w:val="0"/>
      </w:pPr>
    </w:p>
    <w:p w14:paraId="20CB8CC4" w14:textId="1C329958" w:rsidR="004916EC" w:rsidRDefault="002D6A95" w:rsidP="00DA3D78">
      <w:pPr>
        <w:pStyle w:val="ListParagraph"/>
        <w:numPr>
          <w:ilvl w:val="0"/>
          <w:numId w:val="29"/>
        </w:numPr>
        <w:ind w:hanging="357"/>
        <w:contextualSpacing w:val="0"/>
      </w:pPr>
      <w:r>
        <w:t xml:space="preserve">We welcome the inclusion </w:t>
      </w:r>
      <w:r w:rsidR="005E0E4D">
        <w:t xml:space="preserve">of </w:t>
      </w:r>
      <w:r>
        <w:t>“formal support services” and “information support mechanisms”</w:t>
      </w:r>
      <w:r w:rsidR="001A6103">
        <w:rPr>
          <w:rStyle w:val="FootnoteReference"/>
        </w:rPr>
        <w:footnoteReference w:id="11"/>
      </w:r>
      <w:r>
        <w:t xml:space="preserve"> in the Fourth Action Plan, for instance, workplaces or hospitals. Attention to multiple systems and mechanism was key in AWAVA’s policy position. </w:t>
      </w:r>
      <w:r w:rsidR="004916EC">
        <w:t xml:space="preserve">We look forward to working with the government on the implementation plan in developing policy and practice in these new areas. </w:t>
      </w:r>
    </w:p>
    <w:p w14:paraId="4A52C3F9" w14:textId="77777777" w:rsidR="0042581D" w:rsidRDefault="0042581D" w:rsidP="002540CC">
      <w:pPr>
        <w:ind w:left="363"/>
      </w:pPr>
    </w:p>
    <w:p w14:paraId="22357680" w14:textId="2E533CDD" w:rsidR="00CF311E" w:rsidRPr="000215C9" w:rsidRDefault="00251DF0" w:rsidP="002540CC">
      <w:pPr>
        <w:ind w:left="363"/>
      </w:pPr>
      <w:r>
        <w:t xml:space="preserve">In sum, the Fourth Action Plan is positive in articulating some strong principles for addressing violence against women and their children in a holistic way, and is to be welcomed for giving attention to diverse groups of women previously marginalised in policy development. Challenges remain in embedding an intersectional lens in policy, resourcing (in particular to specialist women’s services), and systems improvements in key areas including migration, family law and social security. </w:t>
      </w:r>
      <w:r w:rsidR="00802541">
        <w:t xml:space="preserve">AWAVA looks forward to working closely with the government towards </w:t>
      </w:r>
      <w:r w:rsidR="00CC32C5">
        <w:t>the</w:t>
      </w:r>
      <w:r w:rsidR="00802541">
        <w:t xml:space="preserve"> development of a robust implementation plan </w:t>
      </w:r>
      <w:r w:rsidR="00CC32C5">
        <w:t>for</w:t>
      </w:r>
      <w:r w:rsidR="00802541">
        <w:t xml:space="preserve"> the Fourth Action Plan that address</w:t>
      </w:r>
      <w:r w:rsidR="00CC32C5">
        <w:t>es</w:t>
      </w:r>
      <w:r w:rsidR="00802541">
        <w:t xml:space="preserve"> measures of prevention and response to VAW in a holistic manner. </w:t>
      </w:r>
    </w:p>
    <w:sectPr w:rsidR="00CF311E" w:rsidRPr="000215C9" w:rsidSect="002540CC">
      <w:footerReference w:type="even" r:id="rId8"/>
      <w:footerReference w:type="default" r:id="rId9"/>
      <w:pgSz w:w="11906" w:h="16838"/>
      <w:pgMar w:top="709" w:right="1440" w:bottom="1134"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8C2F0" w16cid:durableId="2112ACA8"/>
  <w16cid:commentId w16cid:paraId="6822104D" w16cid:durableId="21137430"/>
  <w16cid:commentId w16cid:paraId="49984468" w16cid:durableId="2112AC6A"/>
  <w16cid:commentId w16cid:paraId="1786F923" w16cid:durableId="2112ACB9"/>
  <w16cid:commentId w16cid:paraId="14260958" w16cid:durableId="2113745B"/>
  <w16cid:commentId w16cid:paraId="001F34C6" w16cid:durableId="2113750F"/>
  <w16cid:commentId w16cid:paraId="1F5BDDC1" w16cid:durableId="2112AD96"/>
  <w16cid:commentId w16cid:paraId="58927837" w16cid:durableId="21137530"/>
  <w16cid:commentId w16cid:paraId="721EB32C" w16cid:durableId="211375ED"/>
  <w16cid:commentId w16cid:paraId="15A61AB0" w16cid:durableId="2112AF13"/>
  <w16cid:commentId w16cid:paraId="0A126824" w16cid:durableId="2113764D"/>
  <w16cid:commentId w16cid:paraId="675D3E92" w16cid:durableId="21137756"/>
  <w16cid:commentId w16cid:paraId="3A2C413D" w16cid:durableId="21137825"/>
  <w16cid:commentId w16cid:paraId="24B0D22F" w16cid:durableId="2112B016"/>
  <w16cid:commentId w16cid:paraId="30245D49" w16cid:durableId="2113779D"/>
  <w16cid:commentId w16cid:paraId="359ED90F" w16cid:durableId="2112B62B"/>
  <w16cid:commentId w16cid:paraId="53756039" w16cid:durableId="21138DE7"/>
  <w16cid:commentId w16cid:paraId="3C427B9A" w16cid:durableId="2112B94D"/>
  <w16cid:commentId w16cid:paraId="2CA8BE3A" w16cid:durableId="21138E1D"/>
  <w16cid:commentId w16cid:paraId="73D10D1E" w16cid:durableId="2112B812"/>
  <w16cid:commentId w16cid:paraId="7762B198" w16cid:durableId="21138E15"/>
  <w16cid:commentId w16cid:paraId="5F413CB9" w16cid:durableId="2112B8D1"/>
  <w16cid:commentId w16cid:paraId="228C6FE5" w16cid:durableId="2112B917"/>
  <w16cid:commentId w16cid:paraId="5B901538" w16cid:durableId="21138E75"/>
  <w16cid:commentId w16cid:paraId="04E01E19" w16cid:durableId="21138E95"/>
  <w16cid:commentId w16cid:paraId="7971FB02" w16cid:durableId="211124D5"/>
  <w16cid:commentId w16cid:paraId="343B98BA" w16cid:durableId="21124101"/>
  <w16cid:commentId w16cid:paraId="6F82D52E" w16cid:durableId="2111259F"/>
  <w16cid:commentId w16cid:paraId="1D2E4C91" w16cid:durableId="21124105"/>
  <w16cid:commentId w16cid:paraId="603746EF" w16cid:durableId="21124500"/>
  <w16cid:commentId w16cid:paraId="068F529A" w16cid:durableId="2113910A"/>
  <w16cid:commentId w16cid:paraId="7B0EB21E" w16cid:durableId="2112C042"/>
  <w16cid:commentId w16cid:paraId="05B17E6B" w16cid:durableId="211391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FFB3" w14:textId="77777777" w:rsidR="0068125C" w:rsidRDefault="0068125C" w:rsidP="00AD0AC5">
      <w:pPr>
        <w:spacing w:before="0" w:after="0"/>
      </w:pPr>
      <w:r>
        <w:separator/>
      </w:r>
    </w:p>
  </w:endnote>
  <w:endnote w:type="continuationSeparator" w:id="0">
    <w:p w14:paraId="46C73509" w14:textId="77777777" w:rsidR="0068125C" w:rsidRDefault="0068125C" w:rsidP="00AD0A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7618964"/>
      <w:docPartObj>
        <w:docPartGallery w:val="Page Numbers (Bottom of Page)"/>
        <w:docPartUnique/>
      </w:docPartObj>
    </w:sdtPr>
    <w:sdtEndPr>
      <w:rPr>
        <w:rStyle w:val="PageNumber"/>
      </w:rPr>
    </w:sdtEndPr>
    <w:sdtContent>
      <w:p w14:paraId="6490480C" w14:textId="52695EEF" w:rsidR="00CC32C5" w:rsidRDefault="00CC32C5" w:rsidP="00DA3D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B43634" w14:textId="77777777" w:rsidR="00CC32C5" w:rsidRDefault="00CC32C5" w:rsidP="00DA3D7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7084315"/>
      <w:docPartObj>
        <w:docPartGallery w:val="Page Numbers (Bottom of Page)"/>
        <w:docPartUnique/>
      </w:docPartObj>
    </w:sdtPr>
    <w:sdtEndPr>
      <w:rPr>
        <w:rStyle w:val="PageNumber"/>
      </w:rPr>
    </w:sdtEndPr>
    <w:sdtContent>
      <w:p w14:paraId="40365149" w14:textId="0B9D71BA" w:rsidR="00CC32C5" w:rsidRDefault="00CC32C5" w:rsidP="00DA3D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581D">
          <w:rPr>
            <w:rStyle w:val="PageNumber"/>
            <w:noProof/>
          </w:rPr>
          <w:t>1</w:t>
        </w:r>
        <w:r>
          <w:rPr>
            <w:rStyle w:val="PageNumber"/>
          </w:rPr>
          <w:fldChar w:fldCharType="end"/>
        </w:r>
      </w:p>
    </w:sdtContent>
  </w:sdt>
  <w:p w14:paraId="0609C77A" w14:textId="77777777" w:rsidR="00CC32C5" w:rsidRDefault="00CC32C5" w:rsidP="00DA3D7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633D" w14:textId="77777777" w:rsidR="0068125C" w:rsidRDefault="0068125C" w:rsidP="00AD0AC5">
      <w:pPr>
        <w:spacing w:before="0" w:after="0"/>
      </w:pPr>
      <w:r>
        <w:separator/>
      </w:r>
    </w:p>
  </w:footnote>
  <w:footnote w:type="continuationSeparator" w:id="0">
    <w:p w14:paraId="1408AA36" w14:textId="77777777" w:rsidR="0068125C" w:rsidRDefault="0068125C" w:rsidP="00AD0AC5">
      <w:pPr>
        <w:spacing w:before="0" w:after="0"/>
      </w:pPr>
      <w:r>
        <w:continuationSeparator/>
      </w:r>
    </w:p>
  </w:footnote>
  <w:footnote w:id="1">
    <w:p w14:paraId="26B7DD73" w14:textId="5E5DBBE1" w:rsidR="006769DB" w:rsidRPr="002540CC" w:rsidRDefault="006769DB">
      <w:pPr>
        <w:pStyle w:val="FootnoteText"/>
        <w:rPr>
          <w:sz w:val="18"/>
          <w:lang w:val="en-AU"/>
        </w:rPr>
      </w:pPr>
      <w:r w:rsidRPr="002540CC">
        <w:rPr>
          <w:rStyle w:val="FootnoteReference"/>
          <w:sz w:val="18"/>
        </w:rPr>
        <w:footnoteRef/>
      </w:r>
      <w:r w:rsidRPr="002540CC">
        <w:rPr>
          <w:sz w:val="18"/>
        </w:rPr>
        <w:t xml:space="preserve"> </w:t>
      </w:r>
      <w:r w:rsidRPr="002540CC">
        <w:rPr>
          <w:sz w:val="18"/>
          <w:lang w:val="en-AU"/>
        </w:rPr>
        <w:t xml:space="preserve">AWAVA (2018), Submission on the development of the Fourth Action Plan, </w:t>
      </w:r>
      <w:hyperlink r:id="rId1" w:history="1">
        <w:r w:rsidRPr="002540CC">
          <w:rPr>
            <w:rStyle w:val="Hyperlink"/>
            <w:sz w:val="18"/>
            <w:lang w:val="en-AU"/>
          </w:rPr>
          <w:t>https://s3-ap-southeast-2.amazonaws.com/awava-cdn/awava/wp-content/uploads/2018/09/08135743/AWAVA-4AP-Submission-FINAL.pdf</w:t>
        </w:r>
      </w:hyperlink>
    </w:p>
  </w:footnote>
  <w:footnote w:id="2">
    <w:p w14:paraId="71CAB966" w14:textId="7DB42F98" w:rsidR="00DA3D78" w:rsidRPr="002540CC" w:rsidRDefault="00DA3D78">
      <w:pPr>
        <w:pStyle w:val="FootnoteText"/>
        <w:rPr>
          <w:sz w:val="18"/>
        </w:rPr>
      </w:pPr>
      <w:r w:rsidRPr="002540CC">
        <w:rPr>
          <w:rStyle w:val="FootnoteReference"/>
          <w:sz w:val="18"/>
        </w:rPr>
        <w:footnoteRef/>
      </w:r>
      <w:r w:rsidRPr="002540CC">
        <w:rPr>
          <w:sz w:val="18"/>
        </w:rPr>
        <w:t xml:space="preserve"> Commonwealth of Australia (2019) Fourth Action Plan. National Plan to Reduce Violence Against Women and their Children. An initiative of the Commonwealth, state and territory governments.</w:t>
      </w:r>
    </w:p>
  </w:footnote>
  <w:footnote w:id="3">
    <w:p w14:paraId="7676795D" w14:textId="3ACFEF3F" w:rsidR="00C75460" w:rsidRPr="002540CC" w:rsidRDefault="00C75460">
      <w:pPr>
        <w:pStyle w:val="FootnoteText"/>
        <w:rPr>
          <w:sz w:val="18"/>
          <w:lang w:val="en-US"/>
        </w:rPr>
      </w:pPr>
      <w:r w:rsidRPr="002540CC">
        <w:rPr>
          <w:rStyle w:val="FootnoteReference"/>
          <w:sz w:val="18"/>
        </w:rPr>
        <w:footnoteRef/>
      </w:r>
      <w:r w:rsidRPr="002540CC">
        <w:rPr>
          <w:sz w:val="18"/>
        </w:rPr>
        <w:t xml:space="preserve"> </w:t>
      </w:r>
      <w:r w:rsidRPr="002540CC">
        <w:rPr>
          <w:sz w:val="18"/>
          <w:lang w:val="en-US"/>
        </w:rPr>
        <w:t xml:space="preserve">AWAVA (2019) AWAVA’s analysis of the 2019-2020 Federal Budget, </w:t>
      </w:r>
      <w:hyperlink r:id="rId2" w:history="1">
        <w:r w:rsidRPr="002540CC">
          <w:rPr>
            <w:rStyle w:val="Hyperlink"/>
            <w:sz w:val="18"/>
          </w:rPr>
          <w:t>https://awava.org.au/2019/04/15/research-and-reports/2019-2020-federal-budget?doing_wp_cron=1566955033.1462240219116210937500</w:t>
        </w:r>
      </w:hyperlink>
      <w:r w:rsidRPr="002540CC">
        <w:rPr>
          <w:sz w:val="18"/>
        </w:rPr>
        <w:t xml:space="preserve"> </w:t>
      </w:r>
    </w:p>
  </w:footnote>
  <w:footnote w:id="4">
    <w:p w14:paraId="0E70B549" w14:textId="5E4BD853" w:rsidR="00C75460" w:rsidRPr="002540CC" w:rsidRDefault="00C75460">
      <w:pPr>
        <w:pStyle w:val="FootnoteText"/>
        <w:rPr>
          <w:sz w:val="18"/>
        </w:rPr>
      </w:pPr>
      <w:r w:rsidRPr="002540CC">
        <w:rPr>
          <w:sz w:val="18"/>
          <w:vertAlign w:val="superscript"/>
        </w:rPr>
        <w:footnoteRef/>
      </w:r>
      <w:r w:rsidRPr="002540CC">
        <w:rPr>
          <w:sz w:val="18"/>
          <w:vertAlign w:val="superscript"/>
        </w:rPr>
        <w:t xml:space="preserve"> </w:t>
      </w:r>
      <w:r w:rsidRPr="002540CC">
        <w:rPr>
          <w:sz w:val="18"/>
        </w:rPr>
        <w:t xml:space="preserve">The Government will provide $6.2 million over four years from 2019-20 (and $1.4 million per year ongoing) to ensure equal treatment of former spouses and former de-facto partners of veterans concerning access to the partner service pension when they separate from their veteran partner. </w:t>
      </w:r>
    </w:p>
  </w:footnote>
  <w:footnote w:id="5">
    <w:p w14:paraId="53728C3B" w14:textId="74935C0E" w:rsidR="00CC32C5" w:rsidRPr="002540CC" w:rsidRDefault="00CC32C5">
      <w:pPr>
        <w:pStyle w:val="FootnoteText"/>
        <w:rPr>
          <w:sz w:val="18"/>
          <w:lang w:val="en-AU"/>
        </w:rPr>
      </w:pPr>
      <w:r w:rsidRPr="002540CC">
        <w:rPr>
          <w:rStyle w:val="FootnoteReference"/>
          <w:sz w:val="18"/>
        </w:rPr>
        <w:footnoteRef/>
      </w:r>
      <w:r w:rsidRPr="002540CC">
        <w:rPr>
          <w:sz w:val="18"/>
        </w:rPr>
        <w:t xml:space="preserve"> </w:t>
      </w:r>
      <w:r w:rsidRPr="002540CC">
        <w:rPr>
          <w:sz w:val="18"/>
          <w:lang w:val="en-AU"/>
        </w:rPr>
        <w:t xml:space="preserve">AWAVA (2018), Submission on the development of the Fourth Action Plan, </w:t>
      </w:r>
      <w:hyperlink r:id="rId3" w:history="1">
        <w:r w:rsidRPr="002540CC">
          <w:rPr>
            <w:rStyle w:val="Hyperlink"/>
            <w:sz w:val="18"/>
            <w:lang w:val="en-AU"/>
          </w:rPr>
          <w:t>https://s3-ap-southeast-2.amazonaws.com/awava-cdn/awava/wp-content/uploads/2018/09/08135743/AWAVA-4AP-Submission-FINAL.pdf</w:t>
        </w:r>
      </w:hyperlink>
      <w:r w:rsidRPr="002540CC">
        <w:rPr>
          <w:sz w:val="18"/>
          <w:lang w:val="en-AU"/>
        </w:rPr>
        <w:t xml:space="preserve"> </w:t>
      </w:r>
    </w:p>
  </w:footnote>
  <w:footnote w:id="6">
    <w:p w14:paraId="457681DF" w14:textId="77777777" w:rsidR="00AD0AC5" w:rsidRPr="002540CC" w:rsidRDefault="00AD0AC5" w:rsidP="00AD0AC5">
      <w:pPr>
        <w:pStyle w:val="Heading4"/>
        <w:pBdr>
          <w:bottom w:val="single" w:sz="12" w:space="0" w:color="FFFFFF"/>
        </w:pBdr>
        <w:shd w:val="clear" w:color="auto" w:fill="FFFFFF"/>
        <w:spacing w:before="0" w:after="0"/>
        <w:rPr>
          <w:rFonts w:asciiTheme="majorHAnsi" w:hAnsiTheme="majorHAnsi" w:cstheme="majorHAnsi"/>
          <w:b w:val="0"/>
          <w:sz w:val="18"/>
          <w:szCs w:val="20"/>
          <w:lang w:val="en-US"/>
        </w:rPr>
      </w:pPr>
      <w:r w:rsidRPr="002540CC">
        <w:rPr>
          <w:rStyle w:val="FootnoteReference"/>
          <w:rFonts w:asciiTheme="majorHAnsi" w:hAnsiTheme="majorHAnsi" w:cstheme="majorHAnsi"/>
          <w:b w:val="0"/>
          <w:color w:val="auto"/>
          <w:sz w:val="18"/>
          <w:szCs w:val="20"/>
        </w:rPr>
        <w:footnoteRef/>
      </w:r>
      <w:r w:rsidRPr="002540CC">
        <w:rPr>
          <w:rFonts w:asciiTheme="majorHAnsi" w:hAnsiTheme="majorHAnsi" w:cstheme="majorHAnsi"/>
          <w:b w:val="0"/>
          <w:sz w:val="18"/>
          <w:szCs w:val="20"/>
        </w:rPr>
        <w:t xml:space="preserve"> </w:t>
      </w:r>
      <w:r w:rsidRPr="002540CC">
        <w:rPr>
          <w:rFonts w:asciiTheme="majorHAnsi" w:hAnsiTheme="majorHAnsi" w:cstheme="majorHAnsi"/>
          <w:b w:val="0"/>
          <w:color w:val="222222"/>
          <w:sz w:val="18"/>
          <w:szCs w:val="20"/>
        </w:rPr>
        <w:t>2016, A/HRC/33/10, HRC Resolution 33/10. The human rights to safe drinking water and sanitation, OP9 (d)</w:t>
      </w:r>
    </w:p>
  </w:footnote>
  <w:footnote w:id="7">
    <w:p w14:paraId="6E6132C8" w14:textId="77777777" w:rsidR="00AD0AC5" w:rsidRPr="002540CC" w:rsidRDefault="00AD0AC5" w:rsidP="00A62BA4">
      <w:pPr>
        <w:pStyle w:val="Heading4"/>
        <w:pBdr>
          <w:bottom w:val="single" w:sz="12" w:space="0" w:color="FFFFFF"/>
        </w:pBdr>
        <w:shd w:val="clear" w:color="auto" w:fill="FFFFFF"/>
        <w:spacing w:before="0" w:after="0"/>
        <w:rPr>
          <w:rFonts w:asciiTheme="majorHAnsi" w:hAnsiTheme="majorHAnsi" w:cstheme="majorHAnsi"/>
          <w:b w:val="0"/>
          <w:color w:val="222222"/>
          <w:sz w:val="18"/>
          <w:szCs w:val="20"/>
        </w:rPr>
      </w:pPr>
      <w:r w:rsidRPr="002540CC">
        <w:rPr>
          <w:rStyle w:val="FootnoteReference"/>
          <w:rFonts w:asciiTheme="majorHAnsi" w:hAnsiTheme="majorHAnsi" w:cstheme="majorHAnsi"/>
          <w:b w:val="0"/>
          <w:color w:val="auto"/>
          <w:sz w:val="18"/>
          <w:szCs w:val="20"/>
        </w:rPr>
        <w:footnoteRef/>
      </w:r>
      <w:r w:rsidRPr="002540CC">
        <w:rPr>
          <w:rFonts w:asciiTheme="majorHAnsi" w:hAnsiTheme="majorHAnsi" w:cstheme="majorHAnsi"/>
          <w:b w:val="0"/>
          <w:color w:val="auto"/>
          <w:sz w:val="18"/>
          <w:szCs w:val="20"/>
        </w:rPr>
        <w:t xml:space="preserve"> </w:t>
      </w:r>
      <w:r w:rsidRPr="002540CC">
        <w:rPr>
          <w:rFonts w:asciiTheme="majorHAnsi" w:hAnsiTheme="majorHAnsi" w:cstheme="majorHAnsi"/>
          <w:b w:val="0"/>
          <w:color w:val="222222"/>
          <w:sz w:val="18"/>
          <w:szCs w:val="20"/>
        </w:rPr>
        <w:t>2017, A/HRC/RES/35/18, HRC Resolution 35/18, Elimination of discrimination agains</w:t>
      </w:r>
      <w:r w:rsidR="00A62BA4" w:rsidRPr="002540CC">
        <w:rPr>
          <w:rFonts w:asciiTheme="majorHAnsi" w:hAnsiTheme="majorHAnsi" w:cstheme="majorHAnsi"/>
          <w:b w:val="0"/>
          <w:color w:val="222222"/>
          <w:sz w:val="18"/>
          <w:szCs w:val="20"/>
        </w:rPr>
        <w:t>t women and girls, OP. 10</w:t>
      </w:r>
    </w:p>
  </w:footnote>
  <w:footnote w:id="8">
    <w:p w14:paraId="21E61CA4" w14:textId="77777777" w:rsidR="00193FE9" w:rsidRPr="002540CC" w:rsidRDefault="00193FE9">
      <w:pPr>
        <w:pStyle w:val="FootnoteText"/>
        <w:rPr>
          <w:sz w:val="18"/>
          <w:lang w:val="en-US"/>
        </w:rPr>
      </w:pPr>
      <w:r w:rsidRPr="002540CC">
        <w:rPr>
          <w:rStyle w:val="FootnoteReference"/>
          <w:sz w:val="18"/>
        </w:rPr>
        <w:footnoteRef/>
      </w:r>
      <w:r w:rsidRPr="002540CC">
        <w:rPr>
          <w:rStyle w:val="FootnoteReference"/>
          <w:rFonts w:asciiTheme="majorHAnsi" w:eastAsiaTheme="majorEastAsia" w:hAnsiTheme="majorHAnsi" w:cstheme="majorHAnsi"/>
          <w:iCs/>
          <w:color w:val="FF00FF"/>
          <w:sz w:val="18"/>
        </w:rPr>
        <w:t xml:space="preserve"> </w:t>
      </w:r>
      <w:r w:rsidRPr="002540CC">
        <w:rPr>
          <w:rStyle w:val="FootnoteReference"/>
          <w:rFonts w:asciiTheme="majorHAnsi" w:eastAsiaTheme="majorEastAsia" w:hAnsiTheme="majorHAnsi" w:cstheme="majorHAnsi"/>
          <w:iCs/>
          <w:sz w:val="18"/>
          <w:vertAlign w:val="baseline"/>
        </w:rPr>
        <w:t>Essential</w:t>
      </w:r>
      <w:r w:rsidRPr="002540CC">
        <w:rPr>
          <w:sz w:val="18"/>
        </w:rPr>
        <w:t xml:space="preserve"> Services Package for Women and Girls Subject to Violence Core Elements and Quality Guidelines, UN Women</w:t>
      </w:r>
    </w:p>
  </w:footnote>
  <w:footnote w:id="9">
    <w:p w14:paraId="6309AE17" w14:textId="17F6B692" w:rsidR="00E6231D" w:rsidRPr="002540CC" w:rsidRDefault="00E6231D" w:rsidP="002D6A95">
      <w:pPr>
        <w:spacing w:before="0" w:after="0"/>
        <w:jc w:val="left"/>
        <w:rPr>
          <w:sz w:val="18"/>
          <w:szCs w:val="20"/>
          <w:lang w:val="en-AU"/>
        </w:rPr>
      </w:pPr>
      <w:r w:rsidRPr="002540CC">
        <w:rPr>
          <w:rStyle w:val="FootnoteReference"/>
          <w:sz w:val="18"/>
          <w:szCs w:val="20"/>
        </w:rPr>
        <w:footnoteRef/>
      </w:r>
      <w:r w:rsidRPr="002540CC">
        <w:rPr>
          <w:sz w:val="18"/>
          <w:szCs w:val="20"/>
        </w:rPr>
        <w:t xml:space="preserve"> </w:t>
      </w:r>
      <w:r w:rsidRPr="002540CC">
        <w:rPr>
          <w:sz w:val="18"/>
          <w:szCs w:val="20"/>
          <w:lang w:val="en-AU"/>
        </w:rPr>
        <w:t xml:space="preserve">AWAVA, ‘The Unique Role of Specialist Women’s Services in Ending Violence Against Women’, brochure </w:t>
      </w:r>
      <w:hyperlink r:id="rId4" w:history="1">
        <w:r w:rsidRPr="002540CC">
          <w:rPr>
            <w:rStyle w:val="Hyperlink"/>
            <w:sz w:val="18"/>
            <w:szCs w:val="20"/>
            <w:lang w:val="en-AU"/>
          </w:rPr>
          <w:t>https://awava.org.au/wp-content/uploads/2017/08/SWS-Brochure-web-version.pdf</w:t>
        </w:r>
      </w:hyperlink>
      <w:r w:rsidRPr="002540CC">
        <w:rPr>
          <w:sz w:val="18"/>
          <w:szCs w:val="20"/>
          <w:lang w:val="en-AU"/>
        </w:rPr>
        <w:t>; AWAVA (2016), ‘The role of specialist women’s services in Australia’s response to violence against women and their children: Policy Brief’</w:t>
      </w:r>
      <w:hyperlink r:id="rId5" w:history="1">
        <w:r w:rsidR="00CC32C5" w:rsidRPr="002540CC">
          <w:rPr>
            <w:rStyle w:val="Hyperlink"/>
            <w:sz w:val="18"/>
            <w:szCs w:val="20"/>
          </w:rPr>
          <w:t>https://s3-ap-southeast-2.amazonaws.com/awava-cdn/awava/wp-content/uploads/2016/04/01082955/AWAVA-Specialist-Women-Services-Policy-Brief-2016.pdf</w:t>
        </w:r>
      </w:hyperlink>
    </w:p>
  </w:footnote>
  <w:footnote w:id="10">
    <w:p w14:paraId="052E82EF" w14:textId="6F73F92A" w:rsidR="002D6A95" w:rsidRPr="002540CC" w:rsidRDefault="002D6A95" w:rsidP="002D6A95">
      <w:pPr>
        <w:pStyle w:val="FootnoteText"/>
        <w:rPr>
          <w:sz w:val="18"/>
          <w:lang w:val="en-US"/>
        </w:rPr>
      </w:pPr>
      <w:r w:rsidRPr="002540CC">
        <w:rPr>
          <w:rStyle w:val="FootnoteReference"/>
          <w:sz w:val="18"/>
        </w:rPr>
        <w:footnoteRef/>
      </w:r>
      <w:r w:rsidRPr="002540CC">
        <w:rPr>
          <w:sz w:val="18"/>
        </w:rPr>
        <w:t xml:space="preserve"> </w:t>
      </w:r>
      <w:r w:rsidRPr="002540CC">
        <w:rPr>
          <w:sz w:val="18"/>
          <w:lang w:val="en-AU"/>
        </w:rPr>
        <w:t xml:space="preserve">AWAVA (2018), Submission on the development of the Fourth Action Plan, </w:t>
      </w:r>
      <w:hyperlink r:id="rId6" w:history="1">
        <w:r w:rsidRPr="002540CC">
          <w:rPr>
            <w:rStyle w:val="Hyperlink"/>
            <w:sz w:val="18"/>
            <w:lang w:val="en-AU"/>
          </w:rPr>
          <w:t>https://s3-ap-southeast-2.amazonaws.com/awava-cdn/awava/wp-content/uploads/2018/09/08135743/AWAVA-4AP-Submission-FINAL.pdf</w:t>
        </w:r>
      </w:hyperlink>
    </w:p>
  </w:footnote>
  <w:footnote w:id="11">
    <w:p w14:paraId="76F35CD9" w14:textId="3A70C66D" w:rsidR="001A6103" w:rsidRPr="002540CC" w:rsidRDefault="001A6103">
      <w:pPr>
        <w:pStyle w:val="FootnoteText"/>
        <w:rPr>
          <w:sz w:val="18"/>
          <w:lang w:val="en-US"/>
        </w:rPr>
      </w:pPr>
      <w:r w:rsidRPr="002540CC">
        <w:rPr>
          <w:rStyle w:val="FootnoteReference"/>
          <w:sz w:val="18"/>
        </w:rPr>
        <w:footnoteRef/>
      </w:r>
      <w:r w:rsidRPr="002540CC">
        <w:rPr>
          <w:sz w:val="18"/>
        </w:rPr>
        <w:t xml:space="preserve"> </w:t>
      </w:r>
      <w:r w:rsidRPr="002540CC">
        <w:rPr>
          <w:sz w:val="18"/>
          <w:lang w:val="en-US"/>
        </w:rPr>
        <w:t xml:space="preserve">Commonwealth of Australia (2019) Fourth Action Plan. National Plan to Reduce Violence Against Women and their Children. An initiative of the Commonwealth, state and territory governments. </w:t>
      </w:r>
      <w:bookmarkStart w:id="3" w:name="_GoBack"/>
      <w:bookmarkEnd w:id="3"/>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6B00"/>
    <w:multiLevelType w:val="hybridMultilevel"/>
    <w:tmpl w:val="5ED0E4B4"/>
    <w:lvl w:ilvl="0" w:tplc="7A50D6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73C18"/>
    <w:multiLevelType w:val="multilevel"/>
    <w:tmpl w:val="3DC05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AF645A"/>
    <w:multiLevelType w:val="hybridMultilevel"/>
    <w:tmpl w:val="69020C06"/>
    <w:lvl w:ilvl="0" w:tplc="08482B80">
      <w:start w:val="1"/>
      <w:numFmt w:val="bullet"/>
      <w:lvlText w:val=""/>
      <w:lvlJc w:val="left"/>
      <w:pPr>
        <w:ind w:left="720" w:hanging="360"/>
      </w:pPr>
      <w:rPr>
        <w:rFonts w:ascii="Symbol" w:hAnsi="Symbol"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34B70"/>
    <w:multiLevelType w:val="hybridMultilevel"/>
    <w:tmpl w:val="8320C64A"/>
    <w:lvl w:ilvl="0" w:tplc="66040DBC">
      <w:start w:val="2"/>
      <w:numFmt w:val="bullet"/>
      <w:lvlText w:val="-"/>
      <w:lvlJc w:val="left"/>
      <w:pPr>
        <w:ind w:left="754" w:hanging="360"/>
      </w:pPr>
      <w:rPr>
        <w:rFonts w:ascii="Calibri Light" w:eastAsiaTheme="minorHAnsi" w:hAnsi="Calibri Light" w:cs="Calibri Light" w:hint="default"/>
        <w:sz w:val="21"/>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 w15:restartNumberingAfterBreak="0">
    <w:nsid w:val="10595FF3"/>
    <w:multiLevelType w:val="hybridMultilevel"/>
    <w:tmpl w:val="60FAD164"/>
    <w:lvl w:ilvl="0" w:tplc="0C09000F">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56F20"/>
    <w:multiLevelType w:val="hybridMultilevel"/>
    <w:tmpl w:val="FB988768"/>
    <w:lvl w:ilvl="0" w:tplc="0C09000F">
      <w:start w:val="1"/>
      <w:numFmt w:val="decimal"/>
      <w:lvlText w:val="%1."/>
      <w:lvlJc w:val="left"/>
      <w:pPr>
        <w:ind w:left="720" w:hanging="360"/>
      </w:pPr>
      <w:rPr>
        <w:rFonts w:hint="default"/>
        <w:b/>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77D5E"/>
    <w:multiLevelType w:val="hybridMultilevel"/>
    <w:tmpl w:val="BAACDB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08C4C8F"/>
    <w:multiLevelType w:val="hybridMultilevel"/>
    <w:tmpl w:val="BF98C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C318C1"/>
    <w:multiLevelType w:val="hybridMultilevel"/>
    <w:tmpl w:val="B2B2EE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7D7D"/>
    <w:multiLevelType w:val="hybridMultilevel"/>
    <w:tmpl w:val="BAACDB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0D635A"/>
    <w:multiLevelType w:val="hybridMultilevel"/>
    <w:tmpl w:val="DA0C9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10DE3"/>
    <w:multiLevelType w:val="hybridMultilevel"/>
    <w:tmpl w:val="C66EF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2E219E"/>
    <w:multiLevelType w:val="hybridMultilevel"/>
    <w:tmpl w:val="CA085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26762E"/>
    <w:multiLevelType w:val="hybridMultilevel"/>
    <w:tmpl w:val="3340A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C67BD9"/>
    <w:multiLevelType w:val="hybridMultilevel"/>
    <w:tmpl w:val="2D020E90"/>
    <w:lvl w:ilvl="0" w:tplc="66040DBC">
      <w:start w:val="2"/>
      <w:numFmt w:val="bullet"/>
      <w:lvlText w:val="-"/>
      <w:lvlJc w:val="left"/>
      <w:pPr>
        <w:ind w:left="754" w:hanging="360"/>
      </w:pPr>
      <w:rPr>
        <w:rFonts w:ascii="Calibri Light" w:eastAsiaTheme="minorHAnsi" w:hAnsi="Calibri Light" w:cs="Calibri Light" w:hint="default"/>
        <w:sz w:val="21"/>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5" w15:restartNumberingAfterBreak="0">
    <w:nsid w:val="53674B24"/>
    <w:multiLevelType w:val="hybridMultilevel"/>
    <w:tmpl w:val="B1FEF99E"/>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6" w15:restartNumberingAfterBreak="0">
    <w:nsid w:val="56E135CA"/>
    <w:multiLevelType w:val="hybridMultilevel"/>
    <w:tmpl w:val="66E27C56"/>
    <w:lvl w:ilvl="0" w:tplc="66040DBC">
      <w:start w:val="2"/>
      <w:numFmt w:val="bullet"/>
      <w:lvlText w:val="-"/>
      <w:lvlJc w:val="left"/>
      <w:pPr>
        <w:ind w:left="754" w:hanging="360"/>
      </w:pPr>
      <w:rPr>
        <w:rFonts w:ascii="Calibri Light" w:eastAsiaTheme="minorHAnsi" w:hAnsi="Calibri Light" w:cs="Calibri Light" w:hint="default"/>
        <w:sz w:val="21"/>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7" w15:restartNumberingAfterBreak="0">
    <w:nsid w:val="5DE85AD2"/>
    <w:multiLevelType w:val="hybridMultilevel"/>
    <w:tmpl w:val="EA7AD4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DD5F2C"/>
    <w:multiLevelType w:val="hybridMultilevel"/>
    <w:tmpl w:val="8D9C41F6"/>
    <w:lvl w:ilvl="0" w:tplc="CA2C849C">
      <w:start w:val="3"/>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 w15:restartNumberingAfterBreak="0">
    <w:nsid w:val="63977439"/>
    <w:multiLevelType w:val="hybridMultilevel"/>
    <w:tmpl w:val="F6A6D6D0"/>
    <w:lvl w:ilvl="0" w:tplc="66040DBC">
      <w:start w:val="2"/>
      <w:numFmt w:val="bullet"/>
      <w:lvlText w:val="-"/>
      <w:lvlJc w:val="left"/>
      <w:pPr>
        <w:ind w:left="1114" w:hanging="360"/>
      </w:pPr>
      <w:rPr>
        <w:rFonts w:ascii="Calibri Light" w:eastAsiaTheme="minorHAnsi" w:hAnsi="Calibri Light" w:cs="Calibri Light" w:hint="default"/>
        <w:sz w:val="21"/>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20" w15:restartNumberingAfterBreak="0">
    <w:nsid w:val="67AD1D09"/>
    <w:multiLevelType w:val="hybridMultilevel"/>
    <w:tmpl w:val="17CE7B14"/>
    <w:lvl w:ilvl="0" w:tplc="7A50D6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33B44"/>
    <w:multiLevelType w:val="hybridMultilevel"/>
    <w:tmpl w:val="C0B45350"/>
    <w:lvl w:ilvl="0" w:tplc="7A50D6B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B7287"/>
    <w:multiLevelType w:val="hybridMultilevel"/>
    <w:tmpl w:val="BAACDB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981492C"/>
    <w:multiLevelType w:val="hybridMultilevel"/>
    <w:tmpl w:val="B2724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BF576F"/>
    <w:multiLevelType w:val="hybridMultilevel"/>
    <w:tmpl w:val="28EC69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263136"/>
    <w:multiLevelType w:val="hybridMultilevel"/>
    <w:tmpl w:val="BAACDB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17F5B33"/>
    <w:multiLevelType w:val="hybridMultilevel"/>
    <w:tmpl w:val="B1F47E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4E195E"/>
    <w:multiLevelType w:val="hybridMultilevel"/>
    <w:tmpl w:val="B1F47E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7F55B7"/>
    <w:multiLevelType w:val="hybridMultilevel"/>
    <w:tmpl w:val="B1F47E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94250F"/>
    <w:multiLevelType w:val="multilevel"/>
    <w:tmpl w:val="3DC05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D50A68"/>
    <w:multiLevelType w:val="hybridMultilevel"/>
    <w:tmpl w:val="BAACDB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BEC5781"/>
    <w:multiLevelType w:val="hybridMultilevel"/>
    <w:tmpl w:val="906E5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8A7B09"/>
    <w:multiLevelType w:val="hybridMultilevel"/>
    <w:tmpl w:val="C44E784E"/>
    <w:lvl w:ilvl="0" w:tplc="66040DBC">
      <w:start w:val="2"/>
      <w:numFmt w:val="bullet"/>
      <w:lvlText w:val="-"/>
      <w:lvlJc w:val="left"/>
      <w:pPr>
        <w:ind w:left="754" w:hanging="360"/>
      </w:pPr>
      <w:rPr>
        <w:rFonts w:ascii="Calibri Light" w:eastAsiaTheme="minorHAnsi" w:hAnsi="Calibri Light" w:cs="Calibri Light" w:hint="default"/>
        <w:sz w:val="21"/>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3" w15:restartNumberingAfterBreak="0">
    <w:nsid w:val="7FC0486B"/>
    <w:multiLevelType w:val="hybridMultilevel"/>
    <w:tmpl w:val="EB2C85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1"/>
  </w:num>
  <w:num w:numId="3">
    <w:abstractNumId w:val="8"/>
  </w:num>
  <w:num w:numId="4">
    <w:abstractNumId w:val="7"/>
  </w:num>
  <w:num w:numId="5">
    <w:abstractNumId w:val="30"/>
  </w:num>
  <w:num w:numId="6">
    <w:abstractNumId w:val="29"/>
  </w:num>
  <w:num w:numId="7">
    <w:abstractNumId w:val="25"/>
  </w:num>
  <w:num w:numId="8">
    <w:abstractNumId w:val="9"/>
  </w:num>
  <w:num w:numId="9">
    <w:abstractNumId w:val="22"/>
  </w:num>
  <w:num w:numId="10">
    <w:abstractNumId w:val="6"/>
  </w:num>
  <w:num w:numId="11">
    <w:abstractNumId w:val="12"/>
  </w:num>
  <w:num w:numId="12">
    <w:abstractNumId w:val="23"/>
  </w:num>
  <w:num w:numId="13">
    <w:abstractNumId w:val="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8"/>
  </w:num>
  <w:num w:numId="17">
    <w:abstractNumId w:val="26"/>
  </w:num>
  <w:num w:numId="18">
    <w:abstractNumId w:val="24"/>
  </w:num>
  <w:num w:numId="19">
    <w:abstractNumId w:val="13"/>
  </w:num>
  <w:num w:numId="20">
    <w:abstractNumId w:val="33"/>
  </w:num>
  <w:num w:numId="21">
    <w:abstractNumId w:val="15"/>
  </w:num>
  <w:num w:numId="22">
    <w:abstractNumId w:val="19"/>
  </w:num>
  <w:num w:numId="23">
    <w:abstractNumId w:val="3"/>
  </w:num>
  <w:num w:numId="24">
    <w:abstractNumId w:val="14"/>
  </w:num>
  <w:num w:numId="25">
    <w:abstractNumId w:val="32"/>
  </w:num>
  <w:num w:numId="26">
    <w:abstractNumId w:val="16"/>
  </w:num>
  <w:num w:numId="27">
    <w:abstractNumId w:val="17"/>
  </w:num>
  <w:num w:numId="28">
    <w:abstractNumId w:val="2"/>
  </w:num>
  <w:num w:numId="29">
    <w:abstractNumId w:val="4"/>
  </w:num>
  <w:num w:numId="30">
    <w:abstractNumId w:val="5"/>
  </w:num>
  <w:num w:numId="31">
    <w:abstractNumId w:val="21"/>
  </w:num>
  <w:num w:numId="32">
    <w:abstractNumId w:val="18"/>
  </w:num>
  <w:num w:numId="33">
    <w:abstractNumId w:val="0"/>
  </w:num>
  <w:num w:numId="34">
    <w:abstractNumId w:val="2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4C"/>
    <w:rsid w:val="000215C9"/>
    <w:rsid w:val="00041D4F"/>
    <w:rsid w:val="0004701A"/>
    <w:rsid w:val="00060386"/>
    <w:rsid w:val="000B5529"/>
    <w:rsid w:val="000E7E02"/>
    <w:rsid w:val="00144080"/>
    <w:rsid w:val="00146699"/>
    <w:rsid w:val="00193FE9"/>
    <w:rsid w:val="001A0155"/>
    <w:rsid w:val="001A5C7F"/>
    <w:rsid w:val="001A6103"/>
    <w:rsid w:val="001B4A7A"/>
    <w:rsid w:val="001D023B"/>
    <w:rsid w:val="001E51D3"/>
    <w:rsid w:val="001F1F15"/>
    <w:rsid w:val="00206BF9"/>
    <w:rsid w:val="0022079D"/>
    <w:rsid w:val="00221624"/>
    <w:rsid w:val="002256FB"/>
    <w:rsid w:val="00232EA7"/>
    <w:rsid w:val="00251BFB"/>
    <w:rsid w:val="00251DF0"/>
    <w:rsid w:val="002540CC"/>
    <w:rsid w:val="002B2CAB"/>
    <w:rsid w:val="002D6A95"/>
    <w:rsid w:val="002F7796"/>
    <w:rsid w:val="00311A1C"/>
    <w:rsid w:val="00341DC8"/>
    <w:rsid w:val="003B61BE"/>
    <w:rsid w:val="003E5540"/>
    <w:rsid w:val="0042581D"/>
    <w:rsid w:val="004409BF"/>
    <w:rsid w:val="004916EC"/>
    <w:rsid w:val="004D2F05"/>
    <w:rsid w:val="004D4ADF"/>
    <w:rsid w:val="004D6994"/>
    <w:rsid w:val="004E20DC"/>
    <w:rsid w:val="00575EBB"/>
    <w:rsid w:val="005B0548"/>
    <w:rsid w:val="005C117A"/>
    <w:rsid w:val="005E0E4D"/>
    <w:rsid w:val="006336B4"/>
    <w:rsid w:val="006769DB"/>
    <w:rsid w:val="0068125C"/>
    <w:rsid w:val="006A3C38"/>
    <w:rsid w:val="006B5FD4"/>
    <w:rsid w:val="006D1A6E"/>
    <w:rsid w:val="006E765D"/>
    <w:rsid w:val="00752768"/>
    <w:rsid w:val="00770722"/>
    <w:rsid w:val="0077289F"/>
    <w:rsid w:val="00796CEC"/>
    <w:rsid w:val="007F546B"/>
    <w:rsid w:val="00802541"/>
    <w:rsid w:val="00860951"/>
    <w:rsid w:val="008751F9"/>
    <w:rsid w:val="008B4ED0"/>
    <w:rsid w:val="008C2AF8"/>
    <w:rsid w:val="008D0B9C"/>
    <w:rsid w:val="008D2E4C"/>
    <w:rsid w:val="008E7D96"/>
    <w:rsid w:val="00935DE5"/>
    <w:rsid w:val="00950D28"/>
    <w:rsid w:val="0095153B"/>
    <w:rsid w:val="009E4F09"/>
    <w:rsid w:val="00A12F81"/>
    <w:rsid w:val="00A62BA4"/>
    <w:rsid w:val="00A739AB"/>
    <w:rsid w:val="00A81530"/>
    <w:rsid w:val="00AD0AC5"/>
    <w:rsid w:val="00B10C29"/>
    <w:rsid w:val="00B32675"/>
    <w:rsid w:val="00B95919"/>
    <w:rsid w:val="00C1227F"/>
    <w:rsid w:val="00C75460"/>
    <w:rsid w:val="00C77ACC"/>
    <w:rsid w:val="00CB4C42"/>
    <w:rsid w:val="00CC32C5"/>
    <w:rsid w:val="00CE5D40"/>
    <w:rsid w:val="00CE7213"/>
    <w:rsid w:val="00CF311E"/>
    <w:rsid w:val="00CF3154"/>
    <w:rsid w:val="00D04131"/>
    <w:rsid w:val="00D123DF"/>
    <w:rsid w:val="00D64614"/>
    <w:rsid w:val="00D81E5B"/>
    <w:rsid w:val="00DA3D78"/>
    <w:rsid w:val="00DD58BC"/>
    <w:rsid w:val="00DE1F7F"/>
    <w:rsid w:val="00E5656F"/>
    <w:rsid w:val="00E6231D"/>
    <w:rsid w:val="00E71885"/>
    <w:rsid w:val="00E9667C"/>
    <w:rsid w:val="00EA26F2"/>
    <w:rsid w:val="00ED765D"/>
    <w:rsid w:val="00EF1963"/>
    <w:rsid w:val="00F2640C"/>
    <w:rsid w:val="00FB682C"/>
    <w:rsid w:val="00FC28A7"/>
    <w:rsid w:val="00FD2DBE"/>
    <w:rsid w:val="00FE2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1971"/>
  <w15:chartTrackingRefBased/>
  <w15:docId w15:val="{1A2F881A-5A74-47D3-B2D3-96EBE0E5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9AB"/>
    <w:pPr>
      <w:spacing w:before="120" w:after="120" w:line="240" w:lineRule="auto"/>
      <w:jc w:val="both"/>
    </w:pPr>
    <w:rPr>
      <w:rFonts w:ascii="Calibri Light" w:hAnsi="Calibri Light" w:cs="Times New Roman"/>
      <w:lang w:val="en-GB" w:eastAsia="en-GB"/>
    </w:rPr>
  </w:style>
  <w:style w:type="paragraph" w:styleId="Heading1">
    <w:name w:val="heading 1"/>
    <w:basedOn w:val="Normal"/>
    <w:next w:val="Normal"/>
    <w:link w:val="Heading1Char"/>
    <w:autoRedefine/>
    <w:uiPriority w:val="9"/>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341DC8"/>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341DC8"/>
    <w:rPr>
      <w:rFonts w:asciiTheme="majorHAnsi" w:eastAsiaTheme="majorEastAsia" w:hAnsiTheme="majorHAnsi" w:cstheme="majorHAnsi"/>
      <w:b/>
      <w:color w:val="CC00FF"/>
      <w:szCs w:val="20"/>
      <w:lang w:val="en-US"/>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4E20DC"/>
    <w:pPr>
      <w:ind w:left="720"/>
      <w:contextualSpacing/>
    </w:pPr>
  </w:style>
  <w:style w:type="paragraph" w:styleId="NoSpacing">
    <w:name w:val="No Spacing"/>
    <w:uiPriority w:val="1"/>
    <w:qFormat/>
    <w:rsid w:val="004E20DC"/>
    <w:pPr>
      <w:spacing w:after="0" w:line="240" w:lineRule="auto"/>
      <w:jc w:val="both"/>
    </w:pPr>
    <w:rPr>
      <w:rFonts w:ascii="Calibri Light" w:hAnsi="Calibri Light" w:cs="Times New Roman"/>
      <w:lang w:val="en-GB" w:eastAsia="en-GB"/>
    </w:rPr>
  </w:style>
  <w:style w:type="paragraph" w:styleId="Title">
    <w:name w:val="Title"/>
    <w:basedOn w:val="Normal"/>
    <w:next w:val="Normal"/>
    <w:link w:val="TitleChar"/>
    <w:uiPriority w:val="10"/>
    <w:qFormat/>
    <w:rsid w:val="00ED765D"/>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65D"/>
    <w:rPr>
      <w:rFonts w:asciiTheme="majorHAnsi" w:eastAsiaTheme="majorEastAsia" w:hAnsiTheme="majorHAnsi" w:cstheme="majorBidi"/>
      <w:spacing w:val="-10"/>
      <w:kern w:val="28"/>
      <w:sz w:val="56"/>
      <w:szCs w:val="56"/>
      <w:lang w:val="en-GB" w:eastAsia="en-G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F2640C"/>
    <w:rPr>
      <w:rFonts w:ascii="Calibri Light" w:hAnsi="Calibri Light" w:cs="Times New Roman"/>
      <w:lang w:val="en-GB" w:eastAsia="en-GB"/>
    </w:rPr>
  </w:style>
  <w:style w:type="table" w:styleId="TableGrid">
    <w:name w:val="Table Grid"/>
    <w:basedOn w:val="TableNormal"/>
    <w:uiPriority w:val="39"/>
    <w:rsid w:val="00F264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D0A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AD0AC5"/>
    <w:pPr>
      <w:spacing w:before="0" w:after="0"/>
    </w:pPr>
    <w:rPr>
      <w:sz w:val="20"/>
      <w:szCs w:val="20"/>
    </w:rPr>
  </w:style>
  <w:style w:type="character" w:customStyle="1" w:styleId="FootnoteTextChar">
    <w:name w:val="Footnote Text Char"/>
    <w:basedOn w:val="DefaultParagraphFont"/>
    <w:link w:val="FootnoteText"/>
    <w:uiPriority w:val="99"/>
    <w:semiHidden/>
    <w:rsid w:val="00AD0AC5"/>
    <w:rPr>
      <w:rFonts w:ascii="Calibri Light" w:hAnsi="Calibri Light" w:cs="Times New Roman"/>
      <w:sz w:val="20"/>
      <w:szCs w:val="20"/>
      <w:lang w:val="en-GB" w:eastAsia="en-GB"/>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AD0AC5"/>
    <w:rPr>
      <w:vertAlign w:val="superscript"/>
    </w:rPr>
  </w:style>
  <w:style w:type="character" w:styleId="CommentReference">
    <w:name w:val="annotation reference"/>
    <w:basedOn w:val="DefaultParagraphFont"/>
    <w:uiPriority w:val="99"/>
    <w:semiHidden/>
    <w:unhideWhenUsed/>
    <w:rsid w:val="00D64614"/>
    <w:rPr>
      <w:sz w:val="16"/>
      <w:szCs w:val="16"/>
    </w:rPr>
  </w:style>
  <w:style w:type="paragraph" w:styleId="CommentText">
    <w:name w:val="annotation text"/>
    <w:basedOn w:val="Normal"/>
    <w:link w:val="CommentTextChar"/>
    <w:uiPriority w:val="99"/>
    <w:unhideWhenUsed/>
    <w:rsid w:val="00D64614"/>
    <w:rPr>
      <w:sz w:val="20"/>
      <w:szCs w:val="20"/>
    </w:rPr>
  </w:style>
  <w:style w:type="character" w:customStyle="1" w:styleId="CommentTextChar">
    <w:name w:val="Comment Text Char"/>
    <w:basedOn w:val="DefaultParagraphFont"/>
    <w:link w:val="CommentText"/>
    <w:uiPriority w:val="99"/>
    <w:rsid w:val="00D64614"/>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64614"/>
    <w:rPr>
      <w:b/>
      <w:bCs/>
    </w:rPr>
  </w:style>
  <w:style w:type="character" w:customStyle="1" w:styleId="CommentSubjectChar">
    <w:name w:val="Comment Subject Char"/>
    <w:basedOn w:val="CommentTextChar"/>
    <w:link w:val="CommentSubject"/>
    <w:uiPriority w:val="99"/>
    <w:semiHidden/>
    <w:rsid w:val="00D64614"/>
    <w:rPr>
      <w:rFonts w:ascii="Calibri Light" w:hAnsi="Calibri Light" w:cs="Times New Roman"/>
      <w:b/>
      <w:bCs/>
      <w:sz w:val="20"/>
      <w:szCs w:val="20"/>
      <w:lang w:val="en-GB" w:eastAsia="en-GB"/>
    </w:rPr>
  </w:style>
  <w:style w:type="paragraph" w:styleId="BalloonText">
    <w:name w:val="Balloon Text"/>
    <w:basedOn w:val="Normal"/>
    <w:link w:val="BalloonTextChar"/>
    <w:uiPriority w:val="99"/>
    <w:semiHidden/>
    <w:unhideWhenUsed/>
    <w:rsid w:val="00D6461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614"/>
    <w:rPr>
      <w:rFonts w:ascii="Segoe UI" w:hAnsi="Segoe UI" w:cs="Segoe UI"/>
      <w:sz w:val="18"/>
      <w:szCs w:val="18"/>
      <w:lang w:val="en-GB" w:eastAsia="en-GB"/>
    </w:rPr>
  </w:style>
  <w:style w:type="character" w:styleId="Hyperlink">
    <w:name w:val="Hyperlink"/>
    <w:basedOn w:val="DefaultParagraphFont"/>
    <w:uiPriority w:val="99"/>
    <w:unhideWhenUsed/>
    <w:rsid w:val="00E6231D"/>
    <w:rPr>
      <w:color w:val="0563C1" w:themeColor="hyperlink"/>
      <w:u w:val="single"/>
    </w:rPr>
  </w:style>
  <w:style w:type="character" w:customStyle="1" w:styleId="UnresolvedMention1">
    <w:name w:val="Unresolved Mention1"/>
    <w:basedOn w:val="DefaultParagraphFont"/>
    <w:uiPriority w:val="99"/>
    <w:semiHidden/>
    <w:unhideWhenUsed/>
    <w:rsid w:val="00E6231D"/>
    <w:rPr>
      <w:color w:val="605E5C"/>
      <w:shd w:val="clear" w:color="auto" w:fill="E1DFDD"/>
    </w:rPr>
  </w:style>
  <w:style w:type="paragraph" w:styleId="Footer">
    <w:name w:val="footer"/>
    <w:basedOn w:val="Normal"/>
    <w:link w:val="FooterChar"/>
    <w:uiPriority w:val="99"/>
    <w:unhideWhenUsed/>
    <w:rsid w:val="00CC32C5"/>
    <w:pPr>
      <w:tabs>
        <w:tab w:val="center" w:pos="4680"/>
        <w:tab w:val="right" w:pos="9360"/>
      </w:tabs>
      <w:spacing w:before="0" w:after="0"/>
    </w:pPr>
  </w:style>
  <w:style w:type="character" w:customStyle="1" w:styleId="FooterChar">
    <w:name w:val="Footer Char"/>
    <w:basedOn w:val="DefaultParagraphFont"/>
    <w:link w:val="Footer"/>
    <w:uiPriority w:val="99"/>
    <w:rsid w:val="00CC32C5"/>
    <w:rPr>
      <w:rFonts w:ascii="Calibri Light" w:hAnsi="Calibri Light" w:cs="Times New Roman"/>
      <w:lang w:val="en-GB" w:eastAsia="en-GB"/>
    </w:rPr>
  </w:style>
  <w:style w:type="character" w:styleId="PageNumber">
    <w:name w:val="page number"/>
    <w:basedOn w:val="DefaultParagraphFont"/>
    <w:uiPriority w:val="99"/>
    <w:semiHidden/>
    <w:unhideWhenUsed/>
    <w:rsid w:val="00CC32C5"/>
  </w:style>
  <w:style w:type="paragraph" w:styleId="Header">
    <w:name w:val="header"/>
    <w:basedOn w:val="Normal"/>
    <w:link w:val="HeaderChar"/>
    <w:uiPriority w:val="99"/>
    <w:unhideWhenUsed/>
    <w:rsid w:val="000E7E02"/>
    <w:pPr>
      <w:tabs>
        <w:tab w:val="center" w:pos="4513"/>
        <w:tab w:val="right" w:pos="9026"/>
      </w:tabs>
      <w:spacing w:before="0" w:after="0"/>
    </w:pPr>
  </w:style>
  <w:style w:type="character" w:customStyle="1" w:styleId="HeaderChar">
    <w:name w:val="Header Char"/>
    <w:basedOn w:val="DefaultParagraphFont"/>
    <w:link w:val="Header"/>
    <w:uiPriority w:val="99"/>
    <w:rsid w:val="000E7E02"/>
    <w:rPr>
      <w:rFonts w:ascii="Calibri Light" w:hAnsi="Calibri Light" w:cs="Times New Roman"/>
      <w:lang w:val="en-GB" w:eastAsia="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5153B"/>
    <w:pPr>
      <w:spacing w:line="240" w:lineRule="exact"/>
    </w:pPr>
    <w:rPr>
      <w:rFonts w:asciiTheme="minorHAnsi" w:hAnsiTheme="minorHAnsi" w:cstheme="minorBidi"/>
      <w:vertAlign w:val="superscript"/>
      <w:lang w:val="en-AU" w:eastAsia="en-US"/>
    </w:rPr>
  </w:style>
  <w:style w:type="paragraph" w:styleId="Revision">
    <w:name w:val="Revision"/>
    <w:hidden/>
    <w:uiPriority w:val="99"/>
    <w:semiHidden/>
    <w:rsid w:val="00232EA7"/>
    <w:pPr>
      <w:spacing w:after="0" w:line="240" w:lineRule="auto"/>
    </w:pPr>
    <w:rPr>
      <w:rFonts w:ascii="Calibri Light" w:hAnsi="Calibri Light"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899">
      <w:bodyDiv w:val="1"/>
      <w:marLeft w:val="0"/>
      <w:marRight w:val="0"/>
      <w:marTop w:val="0"/>
      <w:marBottom w:val="0"/>
      <w:divBdr>
        <w:top w:val="none" w:sz="0" w:space="0" w:color="auto"/>
        <w:left w:val="none" w:sz="0" w:space="0" w:color="auto"/>
        <w:bottom w:val="none" w:sz="0" w:space="0" w:color="auto"/>
        <w:right w:val="none" w:sz="0" w:space="0" w:color="auto"/>
      </w:divBdr>
    </w:div>
    <w:div w:id="51929743">
      <w:bodyDiv w:val="1"/>
      <w:marLeft w:val="0"/>
      <w:marRight w:val="0"/>
      <w:marTop w:val="0"/>
      <w:marBottom w:val="0"/>
      <w:divBdr>
        <w:top w:val="none" w:sz="0" w:space="0" w:color="auto"/>
        <w:left w:val="none" w:sz="0" w:space="0" w:color="auto"/>
        <w:bottom w:val="none" w:sz="0" w:space="0" w:color="auto"/>
        <w:right w:val="none" w:sz="0" w:space="0" w:color="auto"/>
      </w:divBdr>
    </w:div>
    <w:div w:id="96338422">
      <w:bodyDiv w:val="1"/>
      <w:marLeft w:val="0"/>
      <w:marRight w:val="0"/>
      <w:marTop w:val="0"/>
      <w:marBottom w:val="0"/>
      <w:divBdr>
        <w:top w:val="none" w:sz="0" w:space="0" w:color="auto"/>
        <w:left w:val="none" w:sz="0" w:space="0" w:color="auto"/>
        <w:bottom w:val="none" w:sz="0" w:space="0" w:color="auto"/>
        <w:right w:val="none" w:sz="0" w:space="0" w:color="auto"/>
      </w:divBdr>
    </w:div>
    <w:div w:id="272785655">
      <w:bodyDiv w:val="1"/>
      <w:marLeft w:val="0"/>
      <w:marRight w:val="0"/>
      <w:marTop w:val="0"/>
      <w:marBottom w:val="0"/>
      <w:divBdr>
        <w:top w:val="none" w:sz="0" w:space="0" w:color="auto"/>
        <w:left w:val="none" w:sz="0" w:space="0" w:color="auto"/>
        <w:bottom w:val="none" w:sz="0" w:space="0" w:color="auto"/>
        <w:right w:val="none" w:sz="0" w:space="0" w:color="auto"/>
      </w:divBdr>
    </w:div>
    <w:div w:id="326058256">
      <w:bodyDiv w:val="1"/>
      <w:marLeft w:val="0"/>
      <w:marRight w:val="0"/>
      <w:marTop w:val="0"/>
      <w:marBottom w:val="0"/>
      <w:divBdr>
        <w:top w:val="none" w:sz="0" w:space="0" w:color="auto"/>
        <w:left w:val="none" w:sz="0" w:space="0" w:color="auto"/>
        <w:bottom w:val="none" w:sz="0" w:space="0" w:color="auto"/>
        <w:right w:val="none" w:sz="0" w:space="0" w:color="auto"/>
      </w:divBdr>
    </w:div>
    <w:div w:id="359401461">
      <w:bodyDiv w:val="1"/>
      <w:marLeft w:val="0"/>
      <w:marRight w:val="0"/>
      <w:marTop w:val="0"/>
      <w:marBottom w:val="0"/>
      <w:divBdr>
        <w:top w:val="none" w:sz="0" w:space="0" w:color="auto"/>
        <w:left w:val="none" w:sz="0" w:space="0" w:color="auto"/>
        <w:bottom w:val="none" w:sz="0" w:space="0" w:color="auto"/>
        <w:right w:val="none" w:sz="0" w:space="0" w:color="auto"/>
      </w:divBdr>
    </w:div>
    <w:div w:id="391656372">
      <w:bodyDiv w:val="1"/>
      <w:marLeft w:val="0"/>
      <w:marRight w:val="0"/>
      <w:marTop w:val="0"/>
      <w:marBottom w:val="0"/>
      <w:divBdr>
        <w:top w:val="none" w:sz="0" w:space="0" w:color="auto"/>
        <w:left w:val="none" w:sz="0" w:space="0" w:color="auto"/>
        <w:bottom w:val="none" w:sz="0" w:space="0" w:color="auto"/>
        <w:right w:val="none" w:sz="0" w:space="0" w:color="auto"/>
      </w:divBdr>
    </w:div>
    <w:div w:id="498349642">
      <w:bodyDiv w:val="1"/>
      <w:marLeft w:val="0"/>
      <w:marRight w:val="0"/>
      <w:marTop w:val="0"/>
      <w:marBottom w:val="0"/>
      <w:divBdr>
        <w:top w:val="none" w:sz="0" w:space="0" w:color="auto"/>
        <w:left w:val="none" w:sz="0" w:space="0" w:color="auto"/>
        <w:bottom w:val="none" w:sz="0" w:space="0" w:color="auto"/>
        <w:right w:val="none" w:sz="0" w:space="0" w:color="auto"/>
      </w:divBdr>
    </w:div>
    <w:div w:id="558976241">
      <w:bodyDiv w:val="1"/>
      <w:marLeft w:val="0"/>
      <w:marRight w:val="0"/>
      <w:marTop w:val="0"/>
      <w:marBottom w:val="0"/>
      <w:divBdr>
        <w:top w:val="none" w:sz="0" w:space="0" w:color="auto"/>
        <w:left w:val="none" w:sz="0" w:space="0" w:color="auto"/>
        <w:bottom w:val="none" w:sz="0" w:space="0" w:color="auto"/>
        <w:right w:val="none" w:sz="0" w:space="0" w:color="auto"/>
      </w:divBdr>
    </w:div>
    <w:div w:id="568003143">
      <w:bodyDiv w:val="1"/>
      <w:marLeft w:val="0"/>
      <w:marRight w:val="0"/>
      <w:marTop w:val="0"/>
      <w:marBottom w:val="0"/>
      <w:divBdr>
        <w:top w:val="none" w:sz="0" w:space="0" w:color="auto"/>
        <w:left w:val="none" w:sz="0" w:space="0" w:color="auto"/>
        <w:bottom w:val="none" w:sz="0" w:space="0" w:color="auto"/>
        <w:right w:val="none" w:sz="0" w:space="0" w:color="auto"/>
      </w:divBdr>
    </w:div>
    <w:div w:id="578948972">
      <w:bodyDiv w:val="1"/>
      <w:marLeft w:val="0"/>
      <w:marRight w:val="0"/>
      <w:marTop w:val="0"/>
      <w:marBottom w:val="0"/>
      <w:divBdr>
        <w:top w:val="none" w:sz="0" w:space="0" w:color="auto"/>
        <w:left w:val="none" w:sz="0" w:space="0" w:color="auto"/>
        <w:bottom w:val="none" w:sz="0" w:space="0" w:color="auto"/>
        <w:right w:val="none" w:sz="0" w:space="0" w:color="auto"/>
      </w:divBdr>
    </w:div>
    <w:div w:id="674264883">
      <w:bodyDiv w:val="1"/>
      <w:marLeft w:val="0"/>
      <w:marRight w:val="0"/>
      <w:marTop w:val="0"/>
      <w:marBottom w:val="0"/>
      <w:divBdr>
        <w:top w:val="none" w:sz="0" w:space="0" w:color="auto"/>
        <w:left w:val="none" w:sz="0" w:space="0" w:color="auto"/>
        <w:bottom w:val="none" w:sz="0" w:space="0" w:color="auto"/>
        <w:right w:val="none" w:sz="0" w:space="0" w:color="auto"/>
      </w:divBdr>
    </w:div>
    <w:div w:id="768695021">
      <w:bodyDiv w:val="1"/>
      <w:marLeft w:val="0"/>
      <w:marRight w:val="0"/>
      <w:marTop w:val="0"/>
      <w:marBottom w:val="0"/>
      <w:divBdr>
        <w:top w:val="none" w:sz="0" w:space="0" w:color="auto"/>
        <w:left w:val="none" w:sz="0" w:space="0" w:color="auto"/>
        <w:bottom w:val="none" w:sz="0" w:space="0" w:color="auto"/>
        <w:right w:val="none" w:sz="0" w:space="0" w:color="auto"/>
      </w:divBdr>
    </w:div>
    <w:div w:id="853614812">
      <w:bodyDiv w:val="1"/>
      <w:marLeft w:val="0"/>
      <w:marRight w:val="0"/>
      <w:marTop w:val="0"/>
      <w:marBottom w:val="0"/>
      <w:divBdr>
        <w:top w:val="none" w:sz="0" w:space="0" w:color="auto"/>
        <w:left w:val="none" w:sz="0" w:space="0" w:color="auto"/>
        <w:bottom w:val="none" w:sz="0" w:space="0" w:color="auto"/>
        <w:right w:val="none" w:sz="0" w:space="0" w:color="auto"/>
      </w:divBdr>
    </w:div>
    <w:div w:id="857429016">
      <w:bodyDiv w:val="1"/>
      <w:marLeft w:val="0"/>
      <w:marRight w:val="0"/>
      <w:marTop w:val="0"/>
      <w:marBottom w:val="0"/>
      <w:divBdr>
        <w:top w:val="none" w:sz="0" w:space="0" w:color="auto"/>
        <w:left w:val="none" w:sz="0" w:space="0" w:color="auto"/>
        <w:bottom w:val="none" w:sz="0" w:space="0" w:color="auto"/>
        <w:right w:val="none" w:sz="0" w:space="0" w:color="auto"/>
      </w:divBdr>
    </w:div>
    <w:div w:id="967199677">
      <w:bodyDiv w:val="1"/>
      <w:marLeft w:val="0"/>
      <w:marRight w:val="0"/>
      <w:marTop w:val="0"/>
      <w:marBottom w:val="0"/>
      <w:divBdr>
        <w:top w:val="none" w:sz="0" w:space="0" w:color="auto"/>
        <w:left w:val="none" w:sz="0" w:space="0" w:color="auto"/>
        <w:bottom w:val="none" w:sz="0" w:space="0" w:color="auto"/>
        <w:right w:val="none" w:sz="0" w:space="0" w:color="auto"/>
      </w:divBdr>
    </w:div>
    <w:div w:id="1003510168">
      <w:bodyDiv w:val="1"/>
      <w:marLeft w:val="0"/>
      <w:marRight w:val="0"/>
      <w:marTop w:val="0"/>
      <w:marBottom w:val="0"/>
      <w:divBdr>
        <w:top w:val="none" w:sz="0" w:space="0" w:color="auto"/>
        <w:left w:val="none" w:sz="0" w:space="0" w:color="auto"/>
        <w:bottom w:val="none" w:sz="0" w:space="0" w:color="auto"/>
        <w:right w:val="none" w:sz="0" w:space="0" w:color="auto"/>
      </w:divBdr>
    </w:div>
    <w:div w:id="1007173731">
      <w:bodyDiv w:val="1"/>
      <w:marLeft w:val="0"/>
      <w:marRight w:val="0"/>
      <w:marTop w:val="0"/>
      <w:marBottom w:val="0"/>
      <w:divBdr>
        <w:top w:val="none" w:sz="0" w:space="0" w:color="auto"/>
        <w:left w:val="none" w:sz="0" w:space="0" w:color="auto"/>
        <w:bottom w:val="none" w:sz="0" w:space="0" w:color="auto"/>
        <w:right w:val="none" w:sz="0" w:space="0" w:color="auto"/>
      </w:divBdr>
    </w:div>
    <w:div w:id="1082338408">
      <w:bodyDiv w:val="1"/>
      <w:marLeft w:val="0"/>
      <w:marRight w:val="0"/>
      <w:marTop w:val="0"/>
      <w:marBottom w:val="0"/>
      <w:divBdr>
        <w:top w:val="none" w:sz="0" w:space="0" w:color="auto"/>
        <w:left w:val="none" w:sz="0" w:space="0" w:color="auto"/>
        <w:bottom w:val="none" w:sz="0" w:space="0" w:color="auto"/>
        <w:right w:val="none" w:sz="0" w:space="0" w:color="auto"/>
      </w:divBdr>
    </w:div>
    <w:div w:id="1096247788">
      <w:bodyDiv w:val="1"/>
      <w:marLeft w:val="0"/>
      <w:marRight w:val="0"/>
      <w:marTop w:val="0"/>
      <w:marBottom w:val="0"/>
      <w:divBdr>
        <w:top w:val="none" w:sz="0" w:space="0" w:color="auto"/>
        <w:left w:val="none" w:sz="0" w:space="0" w:color="auto"/>
        <w:bottom w:val="none" w:sz="0" w:space="0" w:color="auto"/>
        <w:right w:val="none" w:sz="0" w:space="0" w:color="auto"/>
      </w:divBdr>
    </w:div>
    <w:div w:id="1174302873">
      <w:bodyDiv w:val="1"/>
      <w:marLeft w:val="0"/>
      <w:marRight w:val="0"/>
      <w:marTop w:val="0"/>
      <w:marBottom w:val="0"/>
      <w:divBdr>
        <w:top w:val="none" w:sz="0" w:space="0" w:color="auto"/>
        <w:left w:val="none" w:sz="0" w:space="0" w:color="auto"/>
        <w:bottom w:val="none" w:sz="0" w:space="0" w:color="auto"/>
        <w:right w:val="none" w:sz="0" w:space="0" w:color="auto"/>
      </w:divBdr>
    </w:div>
    <w:div w:id="1178622367">
      <w:bodyDiv w:val="1"/>
      <w:marLeft w:val="0"/>
      <w:marRight w:val="0"/>
      <w:marTop w:val="0"/>
      <w:marBottom w:val="0"/>
      <w:divBdr>
        <w:top w:val="none" w:sz="0" w:space="0" w:color="auto"/>
        <w:left w:val="none" w:sz="0" w:space="0" w:color="auto"/>
        <w:bottom w:val="none" w:sz="0" w:space="0" w:color="auto"/>
        <w:right w:val="none" w:sz="0" w:space="0" w:color="auto"/>
      </w:divBdr>
    </w:div>
    <w:div w:id="1254557321">
      <w:bodyDiv w:val="1"/>
      <w:marLeft w:val="0"/>
      <w:marRight w:val="0"/>
      <w:marTop w:val="0"/>
      <w:marBottom w:val="0"/>
      <w:divBdr>
        <w:top w:val="none" w:sz="0" w:space="0" w:color="auto"/>
        <w:left w:val="none" w:sz="0" w:space="0" w:color="auto"/>
        <w:bottom w:val="none" w:sz="0" w:space="0" w:color="auto"/>
        <w:right w:val="none" w:sz="0" w:space="0" w:color="auto"/>
      </w:divBdr>
    </w:div>
    <w:div w:id="1305620213">
      <w:bodyDiv w:val="1"/>
      <w:marLeft w:val="0"/>
      <w:marRight w:val="0"/>
      <w:marTop w:val="0"/>
      <w:marBottom w:val="0"/>
      <w:divBdr>
        <w:top w:val="none" w:sz="0" w:space="0" w:color="auto"/>
        <w:left w:val="none" w:sz="0" w:space="0" w:color="auto"/>
        <w:bottom w:val="none" w:sz="0" w:space="0" w:color="auto"/>
        <w:right w:val="none" w:sz="0" w:space="0" w:color="auto"/>
      </w:divBdr>
    </w:div>
    <w:div w:id="1317565604">
      <w:bodyDiv w:val="1"/>
      <w:marLeft w:val="0"/>
      <w:marRight w:val="0"/>
      <w:marTop w:val="0"/>
      <w:marBottom w:val="0"/>
      <w:divBdr>
        <w:top w:val="none" w:sz="0" w:space="0" w:color="auto"/>
        <w:left w:val="none" w:sz="0" w:space="0" w:color="auto"/>
        <w:bottom w:val="none" w:sz="0" w:space="0" w:color="auto"/>
        <w:right w:val="none" w:sz="0" w:space="0" w:color="auto"/>
      </w:divBdr>
    </w:div>
    <w:div w:id="1394305202">
      <w:bodyDiv w:val="1"/>
      <w:marLeft w:val="0"/>
      <w:marRight w:val="0"/>
      <w:marTop w:val="0"/>
      <w:marBottom w:val="0"/>
      <w:divBdr>
        <w:top w:val="none" w:sz="0" w:space="0" w:color="auto"/>
        <w:left w:val="none" w:sz="0" w:space="0" w:color="auto"/>
        <w:bottom w:val="none" w:sz="0" w:space="0" w:color="auto"/>
        <w:right w:val="none" w:sz="0" w:space="0" w:color="auto"/>
      </w:divBdr>
    </w:div>
    <w:div w:id="1436562843">
      <w:bodyDiv w:val="1"/>
      <w:marLeft w:val="0"/>
      <w:marRight w:val="0"/>
      <w:marTop w:val="0"/>
      <w:marBottom w:val="0"/>
      <w:divBdr>
        <w:top w:val="none" w:sz="0" w:space="0" w:color="auto"/>
        <w:left w:val="none" w:sz="0" w:space="0" w:color="auto"/>
        <w:bottom w:val="none" w:sz="0" w:space="0" w:color="auto"/>
        <w:right w:val="none" w:sz="0" w:space="0" w:color="auto"/>
      </w:divBdr>
    </w:div>
    <w:div w:id="1453745647">
      <w:bodyDiv w:val="1"/>
      <w:marLeft w:val="0"/>
      <w:marRight w:val="0"/>
      <w:marTop w:val="0"/>
      <w:marBottom w:val="0"/>
      <w:divBdr>
        <w:top w:val="none" w:sz="0" w:space="0" w:color="auto"/>
        <w:left w:val="none" w:sz="0" w:space="0" w:color="auto"/>
        <w:bottom w:val="none" w:sz="0" w:space="0" w:color="auto"/>
        <w:right w:val="none" w:sz="0" w:space="0" w:color="auto"/>
      </w:divBdr>
    </w:div>
    <w:div w:id="1521048471">
      <w:bodyDiv w:val="1"/>
      <w:marLeft w:val="0"/>
      <w:marRight w:val="0"/>
      <w:marTop w:val="0"/>
      <w:marBottom w:val="0"/>
      <w:divBdr>
        <w:top w:val="none" w:sz="0" w:space="0" w:color="auto"/>
        <w:left w:val="none" w:sz="0" w:space="0" w:color="auto"/>
        <w:bottom w:val="none" w:sz="0" w:space="0" w:color="auto"/>
        <w:right w:val="none" w:sz="0" w:space="0" w:color="auto"/>
      </w:divBdr>
    </w:div>
    <w:div w:id="1542553318">
      <w:bodyDiv w:val="1"/>
      <w:marLeft w:val="0"/>
      <w:marRight w:val="0"/>
      <w:marTop w:val="0"/>
      <w:marBottom w:val="0"/>
      <w:divBdr>
        <w:top w:val="none" w:sz="0" w:space="0" w:color="auto"/>
        <w:left w:val="none" w:sz="0" w:space="0" w:color="auto"/>
        <w:bottom w:val="none" w:sz="0" w:space="0" w:color="auto"/>
        <w:right w:val="none" w:sz="0" w:space="0" w:color="auto"/>
      </w:divBdr>
    </w:div>
    <w:div w:id="1555968272">
      <w:bodyDiv w:val="1"/>
      <w:marLeft w:val="0"/>
      <w:marRight w:val="0"/>
      <w:marTop w:val="0"/>
      <w:marBottom w:val="0"/>
      <w:divBdr>
        <w:top w:val="none" w:sz="0" w:space="0" w:color="auto"/>
        <w:left w:val="none" w:sz="0" w:space="0" w:color="auto"/>
        <w:bottom w:val="none" w:sz="0" w:space="0" w:color="auto"/>
        <w:right w:val="none" w:sz="0" w:space="0" w:color="auto"/>
      </w:divBdr>
    </w:div>
    <w:div w:id="1576667394">
      <w:bodyDiv w:val="1"/>
      <w:marLeft w:val="0"/>
      <w:marRight w:val="0"/>
      <w:marTop w:val="0"/>
      <w:marBottom w:val="0"/>
      <w:divBdr>
        <w:top w:val="none" w:sz="0" w:space="0" w:color="auto"/>
        <w:left w:val="none" w:sz="0" w:space="0" w:color="auto"/>
        <w:bottom w:val="none" w:sz="0" w:space="0" w:color="auto"/>
        <w:right w:val="none" w:sz="0" w:space="0" w:color="auto"/>
      </w:divBdr>
    </w:div>
    <w:div w:id="17084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3-ap-southeast-2.amazonaws.com/awava-cdn/awava/wp-content/uploads/2018/09/08135743/AWAVA-4AP-Submission-FINAL.pdf" TargetMode="External"/><Relationship Id="rId2" Type="http://schemas.openxmlformats.org/officeDocument/2006/relationships/hyperlink" Target="https://awava.org.au/2019/04/15/research-and-reports/2019-2020-federal-budget?doing_wp_cron=1566955033.1462240219116210937500" TargetMode="External"/><Relationship Id="rId1" Type="http://schemas.openxmlformats.org/officeDocument/2006/relationships/hyperlink" Target="https://s3-ap-southeast-2.amazonaws.com/awava-cdn/awava/wp-content/uploads/2018/09/08135743/AWAVA-4AP-Submission-FINAL.pdf" TargetMode="External"/><Relationship Id="rId6" Type="http://schemas.openxmlformats.org/officeDocument/2006/relationships/hyperlink" Target="https://s3-ap-southeast-2.amazonaws.com/awava-cdn/awava/wp-content/uploads/2018/09/08135743/AWAVA-4AP-Submission-FINAL.pdf" TargetMode="External"/><Relationship Id="rId5" Type="http://schemas.openxmlformats.org/officeDocument/2006/relationships/hyperlink" Target="https://s3-ap-southeast-2.amazonaws.com/awava-cdn/awava/wp-content/uploads/2016/04/01082955/AWAVA-Specialist-Women-Services-Policy-Brief-2016.pdf" TargetMode="External"/><Relationship Id="rId4" Type="http://schemas.openxmlformats.org/officeDocument/2006/relationships/hyperlink" Target="https://awava.org.au/wp-content/uploads/2017/08/SWS-Brochure-web-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5413-91BD-4311-A7FE-9ED3C73C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Policy Officer</cp:lastModifiedBy>
  <cp:revision>4</cp:revision>
  <dcterms:created xsi:type="dcterms:W3CDTF">2019-09-01T22:47:00Z</dcterms:created>
  <dcterms:modified xsi:type="dcterms:W3CDTF">2019-09-01T22:57:00Z</dcterms:modified>
</cp:coreProperties>
</file>