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0FAE" w14:textId="77777777" w:rsidR="00922E44" w:rsidRDefault="00922E44" w:rsidP="00922E44">
      <w:pPr>
        <w:pStyle w:val="Title"/>
        <w:rPr>
          <w:rFonts w:ascii="Calibri Light" w:hAnsi="Calibri Light"/>
          <w:b/>
          <w:color w:val="FFFFFF" w:themeColor="background1"/>
          <w:sz w:val="96"/>
          <w:lang w:val="en-US"/>
        </w:rPr>
      </w:pPr>
    </w:p>
    <w:p w14:paraId="4D7C5D3F" w14:textId="00A213D8" w:rsidR="00922E44" w:rsidRPr="007916ED" w:rsidRDefault="00922E44" w:rsidP="00922E44">
      <w:pPr>
        <w:pStyle w:val="Title"/>
        <w:rPr>
          <w:rFonts w:ascii="Calibri Light" w:hAnsi="Calibri Light"/>
          <w:b/>
          <w:color w:val="FFFFFF" w:themeColor="background1"/>
          <w:sz w:val="96"/>
          <w:lang w:val="en-US"/>
        </w:rPr>
      </w:pPr>
      <w:r w:rsidRPr="007916ED">
        <w:rPr>
          <w:rFonts w:ascii="Calibri Light" w:hAnsi="Calibri Light"/>
          <w:noProof/>
          <w:color w:val="FFFFFF" w:themeColor="background1"/>
          <w:sz w:val="180"/>
          <w:szCs w:val="92"/>
          <w:lang w:val="en-AU" w:eastAsia="en-AU"/>
        </w:rPr>
        <w:drawing>
          <wp:anchor distT="0" distB="0" distL="114300" distR="114300" simplePos="0" relativeHeight="251662336" behindDoc="1" locked="0" layoutInCell="0" allowOverlap="1" wp14:anchorId="567E33DF" wp14:editId="4298E195">
            <wp:simplePos x="0" y="0"/>
            <wp:positionH relativeFrom="page">
              <wp:posOffset>-47297</wp:posOffset>
            </wp:positionH>
            <wp:positionV relativeFrom="page">
              <wp:posOffset>31531</wp:posOffset>
            </wp:positionV>
            <wp:extent cx="7646276" cy="10734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 cover v1-01.jpg"/>
                    <pic:cNvPicPr/>
                  </pic:nvPicPr>
                  <pic:blipFill>
                    <a:blip r:embed="rId8" cstate="print">
                      <a:extLst>
                        <a:ext uri="{28A0092B-C50C-407E-A947-70E740481C1C}">
                          <a14:useLocalDpi xmlns:a14="http://schemas.microsoft.com/office/drawing/2010/main"/>
                        </a:ext>
                      </a:extLst>
                    </a:blip>
                    <a:stretch>
                      <a:fillRect/>
                    </a:stretch>
                  </pic:blipFill>
                  <pic:spPr>
                    <a:xfrm>
                      <a:off x="0" y="0"/>
                      <a:ext cx="7646517" cy="10735013"/>
                    </a:xfrm>
                    <a:prstGeom prst="rect">
                      <a:avLst/>
                    </a:prstGeom>
                  </pic:spPr>
                </pic:pic>
              </a:graphicData>
            </a:graphic>
            <wp14:sizeRelH relativeFrom="margin">
              <wp14:pctWidth>0</wp14:pctWidth>
            </wp14:sizeRelH>
          </wp:anchor>
        </w:drawing>
      </w:r>
      <w:r w:rsidRPr="007916ED">
        <w:rPr>
          <w:rFonts w:ascii="Calibri Light" w:hAnsi="Calibri Light"/>
          <w:b/>
          <w:color w:val="FFFFFF" w:themeColor="background1"/>
          <w:sz w:val="96"/>
          <w:lang w:val="en-US"/>
        </w:rPr>
        <w:t>201</w:t>
      </w:r>
      <w:r>
        <w:rPr>
          <w:rFonts w:ascii="Calibri Light" w:hAnsi="Calibri Light"/>
          <w:b/>
          <w:color w:val="FFFFFF" w:themeColor="background1"/>
          <w:sz w:val="96"/>
          <w:lang w:val="en-US"/>
        </w:rPr>
        <w:t>9</w:t>
      </w:r>
      <w:r w:rsidRPr="007916ED">
        <w:rPr>
          <w:rFonts w:ascii="Calibri Light" w:hAnsi="Calibri Light"/>
          <w:b/>
          <w:color w:val="FFFFFF" w:themeColor="background1"/>
          <w:sz w:val="96"/>
          <w:lang w:val="en-US"/>
        </w:rPr>
        <w:t>-20</w:t>
      </w:r>
      <w:r>
        <w:rPr>
          <w:rFonts w:ascii="Calibri Light" w:hAnsi="Calibri Light"/>
          <w:b/>
          <w:color w:val="FFFFFF" w:themeColor="background1"/>
          <w:sz w:val="96"/>
          <w:lang w:val="en-US"/>
        </w:rPr>
        <w:t>20</w:t>
      </w:r>
      <w:r w:rsidRPr="007916ED">
        <w:rPr>
          <w:rFonts w:ascii="Calibri Light" w:hAnsi="Calibri Light"/>
          <w:b/>
          <w:color w:val="FFFFFF" w:themeColor="background1"/>
          <w:sz w:val="96"/>
          <w:lang w:val="en-US"/>
        </w:rPr>
        <w:t xml:space="preserve"> </w:t>
      </w:r>
    </w:p>
    <w:p w14:paraId="371209FC" w14:textId="77777777" w:rsidR="00922E44" w:rsidRPr="007916ED" w:rsidRDefault="00922E44" w:rsidP="00922E44">
      <w:pPr>
        <w:pStyle w:val="Title"/>
        <w:rPr>
          <w:rFonts w:ascii="Calibri Light" w:hAnsi="Calibri Light"/>
          <w:b/>
          <w:color w:val="FFFFFF" w:themeColor="background1"/>
          <w:sz w:val="96"/>
          <w:lang w:val="en-US"/>
        </w:rPr>
      </w:pPr>
      <w:r w:rsidRPr="007916ED">
        <w:rPr>
          <w:rFonts w:ascii="Calibri Light" w:hAnsi="Calibri Light"/>
          <w:b/>
          <w:color w:val="FFFFFF" w:themeColor="background1"/>
          <w:sz w:val="96"/>
          <w:lang w:val="en-US"/>
        </w:rPr>
        <w:t xml:space="preserve">Federal Budget </w:t>
      </w:r>
    </w:p>
    <w:p w14:paraId="4A15E90E" w14:textId="77777777" w:rsidR="00922E44" w:rsidRPr="007916ED" w:rsidRDefault="00922E44" w:rsidP="00922E44">
      <w:pPr>
        <w:pStyle w:val="Subtitle"/>
        <w:rPr>
          <w:rStyle w:val="SubtleEmphasis"/>
          <w:rFonts w:ascii="Calibri Light" w:hAnsi="Calibri Light"/>
          <w:color w:val="FFFFFF" w:themeColor="background1"/>
          <w:sz w:val="72"/>
        </w:rPr>
      </w:pPr>
    </w:p>
    <w:p w14:paraId="459A9620" w14:textId="4A2C9860" w:rsidR="00922E44" w:rsidRPr="007916ED" w:rsidRDefault="00922E44" w:rsidP="00922E44">
      <w:pPr>
        <w:pStyle w:val="Subtitle"/>
        <w:rPr>
          <w:rStyle w:val="SubtleEmphasis"/>
          <w:rFonts w:ascii="Calibri Light" w:hAnsi="Calibri Light"/>
          <w:color w:val="FFFFFF" w:themeColor="background1"/>
          <w:sz w:val="72"/>
        </w:rPr>
      </w:pPr>
      <w:r w:rsidRPr="007916ED">
        <w:rPr>
          <w:rStyle w:val="SubtleEmphasis"/>
          <w:rFonts w:ascii="Calibri Light" w:hAnsi="Calibri Light"/>
          <w:color w:val="FFFFFF" w:themeColor="background1"/>
          <w:sz w:val="72"/>
        </w:rPr>
        <w:t>Budget measures to address violence against women</w:t>
      </w:r>
      <w:r w:rsidR="00366918">
        <w:rPr>
          <w:rStyle w:val="SubtleEmphasis"/>
          <w:rFonts w:ascii="Calibri Light" w:hAnsi="Calibri Light"/>
          <w:color w:val="FFFFFF" w:themeColor="background1"/>
          <w:sz w:val="72"/>
        </w:rPr>
        <w:t xml:space="preserve"> and their children</w:t>
      </w:r>
    </w:p>
    <w:p w14:paraId="44CC4670" w14:textId="4FDCC432" w:rsidR="00922E44" w:rsidRDefault="00922E44">
      <w:pPr>
        <w:spacing w:after="160" w:line="259" w:lineRule="auto"/>
        <w:jc w:val="left"/>
        <w:rPr>
          <w:rFonts w:eastAsiaTheme="majorEastAsia" w:cstheme="majorBidi"/>
          <w:b/>
          <w:spacing w:val="-10"/>
          <w:kern w:val="28"/>
          <w:sz w:val="36"/>
          <w:szCs w:val="36"/>
          <w:lang w:val="en-AU"/>
        </w:rPr>
      </w:pPr>
      <w:r w:rsidRPr="007916ED">
        <w:rPr>
          <w:rFonts w:ascii="Calibri Light" w:hAnsi="Calibri Light"/>
          <w:noProof/>
          <w:color w:val="FFFFFF" w:themeColor="background1"/>
          <w:sz w:val="180"/>
          <w:szCs w:val="92"/>
          <w:lang w:val="en-AU" w:eastAsia="en-AU"/>
        </w:rPr>
        <w:drawing>
          <wp:anchor distT="0" distB="0" distL="114300" distR="114300" simplePos="0" relativeHeight="251660288" behindDoc="1" locked="0" layoutInCell="0" allowOverlap="1" wp14:anchorId="635F8FAC" wp14:editId="5365B647">
            <wp:simplePos x="0" y="0"/>
            <wp:positionH relativeFrom="page">
              <wp:posOffset>-279400</wp:posOffset>
            </wp:positionH>
            <wp:positionV relativeFrom="page">
              <wp:posOffset>800100</wp:posOffset>
            </wp:positionV>
            <wp:extent cx="7924800" cy="107343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 cover v1-01.jpg"/>
                    <pic:cNvPicPr/>
                  </pic:nvPicPr>
                  <pic:blipFill>
                    <a:blip r:embed="rId8" cstate="print">
                      <a:extLst>
                        <a:ext uri="{28A0092B-C50C-407E-A947-70E740481C1C}">
                          <a14:useLocalDpi xmlns:a14="http://schemas.microsoft.com/office/drawing/2010/main"/>
                        </a:ext>
                      </a:extLst>
                    </a:blip>
                    <a:stretch>
                      <a:fillRect/>
                    </a:stretch>
                  </pic:blipFill>
                  <pic:spPr>
                    <a:xfrm>
                      <a:off x="0" y="0"/>
                      <a:ext cx="7925927" cy="10735863"/>
                    </a:xfrm>
                    <a:prstGeom prst="rect">
                      <a:avLst/>
                    </a:prstGeom>
                  </pic:spPr>
                </pic:pic>
              </a:graphicData>
            </a:graphic>
            <wp14:sizeRelH relativeFrom="margin">
              <wp14:pctWidth>0</wp14:pctWidth>
            </wp14:sizeRelH>
          </wp:anchor>
        </w:drawing>
      </w:r>
      <w:r>
        <w:rPr>
          <w:b/>
          <w:sz w:val="36"/>
          <w:szCs w:val="36"/>
          <w:lang w:val="en-AU"/>
        </w:rPr>
        <w:br w:type="page"/>
      </w:r>
    </w:p>
    <w:p w14:paraId="7ECC8F97" w14:textId="23883368" w:rsidR="00366918" w:rsidRDefault="00C230BB">
      <w:pPr>
        <w:spacing w:after="160" w:line="259" w:lineRule="auto"/>
        <w:jc w:val="left"/>
        <w:rPr>
          <w:b/>
          <w:color w:val="7030A0"/>
          <w:sz w:val="32"/>
          <w:szCs w:val="32"/>
          <w:lang w:val="en-AU"/>
        </w:rPr>
      </w:pPr>
      <w:r w:rsidRPr="00C230BB">
        <w:rPr>
          <w:b/>
          <w:color w:val="7030A0"/>
          <w:sz w:val="32"/>
          <w:szCs w:val="32"/>
          <w:lang w:val="en-AU"/>
        </w:rPr>
        <w:lastRenderedPageBreak/>
        <w:t>Table of Contents</w:t>
      </w:r>
    </w:p>
    <w:p w14:paraId="2759FFD2" w14:textId="4A89C41C" w:rsidR="00F40EF2" w:rsidRDefault="00C230BB">
      <w:pPr>
        <w:pStyle w:val="TOC1"/>
        <w:tabs>
          <w:tab w:val="right" w:leader="dot" w:pos="9016"/>
        </w:tabs>
        <w:rPr>
          <w:rFonts w:asciiTheme="minorHAnsi" w:eastAsiaTheme="minorEastAsia" w:hAnsiTheme="minorHAnsi" w:cstheme="minorBidi"/>
          <w:noProof/>
          <w:color w:val="auto"/>
          <w:sz w:val="24"/>
          <w:szCs w:val="24"/>
          <w:lang w:val="en-AU" w:eastAsia="en-US"/>
        </w:rPr>
      </w:pPr>
      <w:r>
        <w:rPr>
          <w:b/>
          <w:color w:val="7030A0"/>
          <w:sz w:val="32"/>
          <w:szCs w:val="32"/>
          <w:lang w:val="en-AU"/>
        </w:rPr>
        <w:fldChar w:fldCharType="begin"/>
      </w:r>
      <w:r>
        <w:rPr>
          <w:b/>
          <w:color w:val="7030A0"/>
          <w:sz w:val="32"/>
          <w:szCs w:val="32"/>
          <w:lang w:val="en-AU"/>
        </w:rPr>
        <w:instrText xml:space="preserve"> TOC \o "1-2" \h \z \u </w:instrText>
      </w:r>
      <w:r>
        <w:rPr>
          <w:b/>
          <w:color w:val="7030A0"/>
          <w:sz w:val="32"/>
          <w:szCs w:val="32"/>
          <w:lang w:val="en-AU"/>
        </w:rPr>
        <w:fldChar w:fldCharType="separate"/>
      </w:r>
      <w:hyperlink w:anchor="_Toc6218503" w:history="1">
        <w:r w:rsidR="00F40EF2" w:rsidRPr="00E64EA8">
          <w:rPr>
            <w:rStyle w:val="Hyperlink"/>
            <w:noProof/>
            <w:lang w:val="en-US"/>
          </w:rPr>
          <w:t>Acronyms/Glossary</w:t>
        </w:r>
        <w:r w:rsidR="00F40EF2">
          <w:rPr>
            <w:noProof/>
            <w:webHidden/>
          </w:rPr>
          <w:tab/>
        </w:r>
        <w:r w:rsidR="00F40EF2">
          <w:rPr>
            <w:noProof/>
            <w:webHidden/>
          </w:rPr>
          <w:fldChar w:fldCharType="begin"/>
        </w:r>
        <w:r w:rsidR="00F40EF2">
          <w:rPr>
            <w:noProof/>
            <w:webHidden/>
          </w:rPr>
          <w:instrText xml:space="preserve"> PAGEREF _Toc6218503 \h </w:instrText>
        </w:r>
        <w:r w:rsidR="00F40EF2">
          <w:rPr>
            <w:noProof/>
            <w:webHidden/>
          </w:rPr>
        </w:r>
        <w:r w:rsidR="00F40EF2">
          <w:rPr>
            <w:noProof/>
            <w:webHidden/>
          </w:rPr>
          <w:fldChar w:fldCharType="separate"/>
        </w:r>
        <w:r w:rsidR="00F40EF2">
          <w:rPr>
            <w:noProof/>
            <w:webHidden/>
          </w:rPr>
          <w:t>2</w:t>
        </w:r>
        <w:r w:rsidR="00F40EF2">
          <w:rPr>
            <w:noProof/>
            <w:webHidden/>
          </w:rPr>
          <w:fldChar w:fldCharType="end"/>
        </w:r>
      </w:hyperlink>
    </w:p>
    <w:p w14:paraId="42B7D356" w14:textId="5BB69251"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04" w:history="1">
        <w:r w:rsidR="00F40EF2" w:rsidRPr="00E64EA8">
          <w:rPr>
            <w:rStyle w:val="Hyperlink"/>
            <w:noProof/>
            <w:lang w:val="en-AU"/>
          </w:rPr>
          <w:t>Budget overview</w:t>
        </w:r>
        <w:r w:rsidR="00F40EF2">
          <w:rPr>
            <w:noProof/>
            <w:webHidden/>
          </w:rPr>
          <w:tab/>
        </w:r>
        <w:r w:rsidR="00F40EF2">
          <w:rPr>
            <w:noProof/>
            <w:webHidden/>
          </w:rPr>
          <w:fldChar w:fldCharType="begin"/>
        </w:r>
        <w:r w:rsidR="00F40EF2">
          <w:rPr>
            <w:noProof/>
            <w:webHidden/>
          </w:rPr>
          <w:instrText xml:space="preserve"> PAGEREF _Toc6218504 \h </w:instrText>
        </w:r>
        <w:r w:rsidR="00F40EF2">
          <w:rPr>
            <w:noProof/>
            <w:webHidden/>
          </w:rPr>
        </w:r>
        <w:r w:rsidR="00F40EF2">
          <w:rPr>
            <w:noProof/>
            <w:webHidden/>
          </w:rPr>
          <w:fldChar w:fldCharType="separate"/>
        </w:r>
        <w:r w:rsidR="00F40EF2">
          <w:rPr>
            <w:noProof/>
            <w:webHidden/>
          </w:rPr>
          <w:t>3</w:t>
        </w:r>
        <w:r w:rsidR="00F40EF2">
          <w:rPr>
            <w:noProof/>
            <w:webHidden/>
          </w:rPr>
          <w:fldChar w:fldCharType="end"/>
        </w:r>
      </w:hyperlink>
    </w:p>
    <w:p w14:paraId="21335EFD" w14:textId="0A3E5190"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05" w:history="1">
        <w:r w:rsidR="00F40EF2" w:rsidRPr="00E64EA8">
          <w:rPr>
            <w:rStyle w:val="Hyperlink"/>
            <w:noProof/>
            <w:lang w:val="en-AU" w:eastAsia="en-AU"/>
          </w:rPr>
          <w:t>Measures across portfolios</w:t>
        </w:r>
        <w:r w:rsidR="00F40EF2">
          <w:rPr>
            <w:noProof/>
            <w:webHidden/>
          </w:rPr>
          <w:tab/>
        </w:r>
        <w:r w:rsidR="00F40EF2">
          <w:rPr>
            <w:noProof/>
            <w:webHidden/>
          </w:rPr>
          <w:fldChar w:fldCharType="begin"/>
        </w:r>
        <w:r w:rsidR="00F40EF2">
          <w:rPr>
            <w:noProof/>
            <w:webHidden/>
          </w:rPr>
          <w:instrText xml:space="preserve"> PAGEREF _Toc6218505 \h </w:instrText>
        </w:r>
        <w:r w:rsidR="00F40EF2">
          <w:rPr>
            <w:noProof/>
            <w:webHidden/>
          </w:rPr>
        </w:r>
        <w:r w:rsidR="00F40EF2">
          <w:rPr>
            <w:noProof/>
            <w:webHidden/>
          </w:rPr>
          <w:fldChar w:fldCharType="separate"/>
        </w:r>
        <w:r w:rsidR="00F40EF2">
          <w:rPr>
            <w:noProof/>
            <w:webHidden/>
          </w:rPr>
          <w:t>5</w:t>
        </w:r>
        <w:r w:rsidR="00F40EF2">
          <w:rPr>
            <w:noProof/>
            <w:webHidden/>
          </w:rPr>
          <w:fldChar w:fldCharType="end"/>
        </w:r>
      </w:hyperlink>
    </w:p>
    <w:p w14:paraId="4ACFD418" w14:textId="4B85F148"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06" w:history="1">
        <w:r w:rsidR="00F40EF2" w:rsidRPr="00E64EA8">
          <w:rPr>
            <w:rStyle w:val="Hyperlink"/>
            <w:rFonts w:eastAsia="Times New Roman"/>
            <w:noProof/>
            <w:lang w:eastAsia="en-AU"/>
          </w:rPr>
          <w:t>Fourth Action Plan (2019-2022) to reduce violence against women and their children</w:t>
        </w:r>
        <w:r w:rsidR="00F40EF2">
          <w:rPr>
            <w:noProof/>
            <w:webHidden/>
          </w:rPr>
          <w:tab/>
        </w:r>
        <w:r w:rsidR="00F40EF2">
          <w:rPr>
            <w:noProof/>
            <w:webHidden/>
          </w:rPr>
          <w:fldChar w:fldCharType="begin"/>
        </w:r>
        <w:r w:rsidR="00F40EF2">
          <w:rPr>
            <w:noProof/>
            <w:webHidden/>
          </w:rPr>
          <w:instrText xml:space="preserve"> PAGEREF _Toc6218506 \h </w:instrText>
        </w:r>
        <w:r w:rsidR="00F40EF2">
          <w:rPr>
            <w:noProof/>
            <w:webHidden/>
          </w:rPr>
        </w:r>
        <w:r w:rsidR="00F40EF2">
          <w:rPr>
            <w:noProof/>
            <w:webHidden/>
          </w:rPr>
          <w:fldChar w:fldCharType="separate"/>
        </w:r>
        <w:r w:rsidR="00F40EF2">
          <w:rPr>
            <w:noProof/>
            <w:webHidden/>
          </w:rPr>
          <w:t>5</w:t>
        </w:r>
        <w:r w:rsidR="00F40EF2">
          <w:rPr>
            <w:noProof/>
            <w:webHidden/>
          </w:rPr>
          <w:fldChar w:fldCharType="end"/>
        </w:r>
      </w:hyperlink>
    </w:p>
    <w:p w14:paraId="220881CD" w14:textId="67A26AC4"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07" w:history="1">
        <w:r w:rsidR="00F40EF2" w:rsidRPr="00E64EA8">
          <w:rPr>
            <w:rStyle w:val="Hyperlink"/>
            <w:rFonts w:eastAsia="Times New Roman"/>
            <w:noProof/>
            <w:lang w:eastAsia="en-AU"/>
          </w:rPr>
          <w:t>Women’s Economic Security Package</w:t>
        </w:r>
        <w:r w:rsidR="00F40EF2">
          <w:rPr>
            <w:noProof/>
            <w:webHidden/>
          </w:rPr>
          <w:tab/>
        </w:r>
        <w:r w:rsidR="00F40EF2">
          <w:rPr>
            <w:noProof/>
            <w:webHidden/>
          </w:rPr>
          <w:fldChar w:fldCharType="begin"/>
        </w:r>
        <w:r w:rsidR="00F40EF2">
          <w:rPr>
            <w:noProof/>
            <w:webHidden/>
          </w:rPr>
          <w:instrText xml:space="preserve"> PAGEREF _Toc6218507 \h </w:instrText>
        </w:r>
        <w:r w:rsidR="00F40EF2">
          <w:rPr>
            <w:noProof/>
            <w:webHidden/>
          </w:rPr>
        </w:r>
        <w:r w:rsidR="00F40EF2">
          <w:rPr>
            <w:noProof/>
            <w:webHidden/>
          </w:rPr>
          <w:fldChar w:fldCharType="separate"/>
        </w:r>
        <w:r w:rsidR="00F40EF2">
          <w:rPr>
            <w:noProof/>
            <w:webHidden/>
          </w:rPr>
          <w:t>7</w:t>
        </w:r>
        <w:r w:rsidR="00F40EF2">
          <w:rPr>
            <w:noProof/>
            <w:webHidden/>
          </w:rPr>
          <w:fldChar w:fldCharType="end"/>
        </w:r>
      </w:hyperlink>
    </w:p>
    <w:p w14:paraId="3B684A39" w14:textId="0BC4DB58"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08" w:history="1">
        <w:r w:rsidR="00F40EF2" w:rsidRPr="00E64EA8">
          <w:rPr>
            <w:rStyle w:val="Hyperlink"/>
            <w:rFonts w:eastAsia="Times New Roman"/>
            <w:noProof/>
            <w:lang w:val="en-AU" w:eastAsia="en-AU"/>
          </w:rPr>
          <w:t>Women’s Safety Package</w:t>
        </w:r>
        <w:r w:rsidR="00F40EF2">
          <w:rPr>
            <w:noProof/>
            <w:webHidden/>
          </w:rPr>
          <w:tab/>
        </w:r>
        <w:r w:rsidR="00F40EF2">
          <w:rPr>
            <w:noProof/>
            <w:webHidden/>
          </w:rPr>
          <w:fldChar w:fldCharType="begin"/>
        </w:r>
        <w:r w:rsidR="00F40EF2">
          <w:rPr>
            <w:noProof/>
            <w:webHidden/>
          </w:rPr>
          <w:instrText xml:space="preserve"> PAGEREF _Toc6218508 \h </w:instrText>
        </w:r>
        <w:r w:rsidR="00F40EF2">
          <w:rPr>
            <w:noProof/>
            <w:webHidden/>
          </w:rPr>
        </w:r>
        <w:r w:rsidR="00F40EF2">
          <w:rPr>
            <w:noProof/>
            <w:webHidden/>
          </w:rPr>
          <w:fldChar w:fldCharType="separate"/>
        </w:r>
        <w:r w:rsidR="00F40EF2">
          <w:rPr>
            <w:noProof/>
            <w:webHidden/>
          </w:rPr>
          <w:t>8</w:t>
        </w:r>
        <w:r w:rsidR="00F40EF2">
          <w:rPr>
            <w:noProof/>
            <w:webHidden/>
          </w:rPr>
          <w:fldChar w:fldCharType="end"/>
        </w:r>
      </w:hyperlink>
    </w:p>
    <w:p w14:paraId="2AF441C1" w14:textId="4DDFBD68"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09" w:history="1">
        <w:r w:rsidR="00F40EF2" w:rsidRPr="00E64EA8">
          <w:rPr>
            <w:rStyle w:val="Hyperlink"/>
            <w:rFonts w:eastAsia="Times New Roman"/>
            <w:noProof/>
            <w:lang w:val="en-AU" w:eastAsia="en-AU"/>
          </w:rPr>
          <w:t>Other measures related to addressing violence against women</w:t>
        </w:r>
        <w:r w:rsidR="00F40EF2">
          <w:rPr>
            <w:noProof/>
            <w:webHidden/>
          </w:rPr>
          <w:tab/>
        </w:r>
        <w:r w:rsidR="00F40EF2">
          <w:rPr>
            <w:noProof/>
            <w:webHidden/>
          </w:rPr>
          <w:fldChar w:fldCharType="begin"/>
        </w:r>
        <w:r w:rsidR="00F40EF2">
          <w:rPr>
            <w:noProof/>
            <w:webHidden/>
          </w:rPr>
          <w:instrText xml:space="preserve"> PAGEREF _Toc6218509 \h </w:instrText>
        </w:r>
        <w:r w:rsidR="00F40EF2">
          <w:rPr>
            <w:noProof/>
            <w:webHidden/>
          </w:rPr>
        </w:r>
        <w:r w:rsidR="00F40EF2">
          <w:rPr>
            <w:noProof/>
            <w:webHidden/>
          </w:rPr>
          <w:fldChar w:fldCharType="separate"/>
        </w:r>
        <w:r w:rsidR="00F40EF2">
          <w:rPr>
            <w:noProof/>
            <w:webHidden/>
          </w:rPr>
          <w:t>8</w:t>
        </w:r>
        <w:r w:rsidR="00F40EF2">
          <w:rPr>
            <w:noProof/>
            <w:webHidden/>
          </w:rPr>
          <w:fldChar w:fldCharType="end"/>
        </w:r>
      </w:hyperlink>
    </w:p>
    <w:p w14:paraId="778B42CE" w14:textId="38F4BBBC"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10" w:history="1">
        <w:r w:rsidR="00F40EF2" w:rsidRPr="00E64EA8">
          <w:rPr>
            <w:rStyle w:val="Hyperlink"/>
            <w:rFonts w:eastAsia="Times New Roman"/>
            <w:noProof/>
            <w:lang w:eastAsia="en-AU"/>
          </w:rPr>
          <w:t>Attorney General’s Portfolio</w:t>
        </w:r>
        <w:r w:rsidR="00F40EF2">
          <w:rPr>
            <w:noProof/>
            <w:webHidden/>
          </w:rPr>
          <w:tab/>
        </w:r>
        <w:r w:rsidR="00F40EF2">
          <w:rPr>
            <w:noProof/>
            <w:webHidden/>
          </w:rPr>
          <w:fldChar w:fldCharType="begin"/>
        </w:r>
        <w:r w:rsidR="00F40EF2">
          <w:rPr>
            <w:noProof/>
            <w:webHidden/>
          </w:rPr>
          <w:instrText xml:space="preserve"> PAGEREF _Toc6218510 \h </w:instrText>
        </w:r>
        <w:r w:rsidR="00F40EF2">
          <w:rPr>
            <w:noProof/>
            <w:webHidden/>
          </w:rPr>
        </w:r>
        <w:r w:rsidR="00F40EF2">
          <w:rPr>
            <w:noProof/>
            <w:webHidden/>
          </w:rPr>
          <w:fldChar w:fldCharType="separate"/>
        </w:r>
        <w:r w:rsidR="00F40EF2">
          <w:rPr>
            <w:noProof/>
            <w:webHidden/>
          </w:rPr>
          <w:t>8</w:t>
        </w:r>
        <w:r w:rsidR="00F40EF2">
          <w:rPr>
            <w:noProof/>
            <w:webHidden/>
          </w:rPr>
          <w:fldChar w:fldCharType="end"/>
        </w:r>
      </w:hyperlink>
    </w:p>
    <w:p w14:paraId="348ED3CB" w14:textId="7930CE56"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1" w:history="1">
        <w:r w:rsidR="00F40EF2" w:rsidRPr="00E64EA8">
          <w:rPr>
            <w:rStyle w:val="Hyperlink"/>
            <w:rFonts w:eastAsia="Times New Roman"/>
            <w:noProof/>
            <w:lang w:eastAsia="en-AU"/>
          </w:rPr>
          <w:t>Measures 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_Toc6218511 \h </w:instrText>
        </w:r>
        <w:r w:rsidR="00F40EF2">
          <w:rPr>
            <w:noProof/>
            <w:webHidden/>
          </w:rPr>
        </w:r>
        <w:r w:rsidR="00F40EF2">
          <w:rPr>
            <w:noProof/>
            <w:webHidden/>
          </w:rPr>
          <w:fldChar w:fldCharType="separate"/>
        </w:r>
        <w:r w:rsidR="00F40EF2">
          <w:rPr>
            <w:noProof/>
            <w:webHidden/>
          </w:rPr>
          <w:t>9</w:t>
        </w:r>
        <w:r w:rsidR="00F40EF2">
          <w:rPr>
            <w:noProof/>
            <w:webHidden/>
          </w:rPr>
          <w:fldChar w:fldCharType="end"/>
        </w:r>
      </w:hyperlink>
    </w:p>
    <w:p w14:paraId="665FEF6E" w14:textId="663637F9"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2" w:history="1">
        <w:r w:rsidR="00F40EF2" w:rsidRPr="00E64EA8">
          <w:rPr>
            <w:rStyle w:val="Hyperlink"/>
            <w:rFonts w:eastAsia="Times New Roman"/>
            <w:noProof/>
            <w:lang w:eastAsia="en-AU"/>
          </w:rPr>
          <w:t>Measures indirectly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_Toc6218512 \h </w:instrText>
        </w:r>
        <w:r w:rsidR="00F40EF2">
          <w:rPr>
            <w:noProof/>
            <w:webHidden/>
          </w:rPr>
        </w:r>
        <w:r w:rsidR="00F40EF2">
          <w:rPr>
            <w:noProof/>
            <w:webHidden/>
          </w:rPr>
          <w:fldChar w:fldCharType="separate"/>
        </w:r>
        <w:r w:rsidR="00F40EF2">
          <w:rPr>
            <w:noProof/>
            <w:webHidden/>
          </w:rPr>
          <w:t>13</w:t>
        </w:r>
        <w:r w:rsidR="00F40EF2">
          <w:rPr>
            <w:noProof/>
            <w:webHidden/>
          </w:rPr>
          <w:fldChar w:fldCharType="end"/>
        </w:r>
      </w:hyperlink>
    </w:p>
    <w:p w14:paraId="09714341" w14:textId="33005F34"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13" w:history="1">
        <w:r w:rsidR="00F40EF2" w:rsidRPr="00E64EA8">
          <w:rPr>
            <w:rStyle w:val="Hyperlink"/>
            <w:rFonts w:eastAsia="Times New Roman"/>
            <w:noProof/>
            <w:lang w:val="en-AU" w:eastAsia="en-AU"/>
          </w:rPr>
          <w:t>Department of Social Services Portfolio</w:t>
        </w:r>
        <w:r w:rsidR="00F40EF2">
          <w:rPr>
            <w:noProof/>
            <w:webHidden/>
          </w:rPr>
          <w:tab/>
        </w:r>
        <w:r w:rsidR="00F40EF2">
          <w:rPr>
            <w:noProof/>
            <w:webHidden/>
          </w:rPr>
          <w:fldChar w:fldCharType="begin"/>
        </w:r>
        <w:r w:rsidR="00F40EF2">
          <w:rPr>
            <w:noProof/>
            <w:webHidden/>
          </w:rPr>
          <w:instrText xml:space="preserve"> PAGEREF _Toc6218513 \h </w:instrText>
        </w:r>
        <w:r w:rsidR="00F40EF2">
          <w:rPr>
            <w:noProof/>
            <w:webHidden/>
          </w:rPr>
        </w:r>
        <w:r w:rsidR="00F40EF2">
          <w:rPr>
            <w:noProof/>
            <w:webHidden/>
          </w:rPr>
          <w:fldChar w:fldCharType="separate"/>
        </w:r>
        <w:r w:rsidR="00F40EF2">
          <w:rPr>
            <w:noProof/>
            <w:webHidden/>
          </w:rPr>
          <w:t>14</w:t>
        </w:r>
        <w:r w:rsidR="00F40EF2">
          <w:rPr>
            <w:noProof/>
            <w:webHidden/>
          </w:rPr>
          <w:fldChar w:fldCharType="end"/>
        </w:r>
      </w:hyperlink>
    </w:p>
    <w:p w14:paraId="592DC47E" w14:textId="65FC13CB"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4" w:history="1">
        <w:r w:rsidR="00F40EF2" w:rsidRPr="00E64EA8">
          <w:rPr>
            <w:rStyle w:val="Hyperlink"/>
            <w:rFonts w:eastAsia="Times New Roman"/>
            <w:noProof/>
            <w:lang w:eastAsia="en-AU"/>
          </w:rPr>
          <w:t>Measures 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_Toc6218514 \h </w:instrText>
        </w:r>
        <w:r w:rsidR="00F40EF2">
          <w:rPr>
            <w:noProof/>
            <w:webHidden/>
          </w:rPr>
        </w:r>
        <w:r w:rsidR="00F40EF2">
          <w:rPr>
            <w:noProof/>
            <w:webHidden/>
          </w:rPr>
          <w:fldChar w:fldCharType="separate"/>
        </w:r>
        <w:r w:rsidR="00F40EF2">
          <w:rPr>
            <w:noProof/>
            <w:webHidden/>
          </w:rPr>
          <w:t>14</w:t>
        </w:r>
        <w:r w:rsidR="00F40EF2">
          <w:rPr>
            <w:noProof/>
            <w:webHidden/>
          </w:rPr>
          <w:fldChar w:fldCharType="end"/>
        </w:r>
      </w:hyperlink>
    </w:p>
    <w:p w14:paraId="4BD7F23C" w14:textId="47EC58B0"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5" w:history="1">
        <w:r w:rsidR="00F40EF2" w:rsidRPr="00E64EA8">
          <w:rPr>
            <w:rStyle w:val="Hyperlink"/>
            <w:rFonts w:eastAsia="Times New Roman"/>
            <w:noProof/>
            <w:lang w:eastAsia="en-AU"/>
          </w:rPr>
          <w:t>Measures indirectly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_Toc6218515 \h </w:instrText>
        </w:r>
        <w:r w:rsidR="00F40EF2">
          <w:rPr>
            <w:noProof/>
            <w:webHidden/>
          </w:rPr>
        </w:r>
        <w:r w:rsidR="00F40EF2">
          <w:rPr>
            <w:noProof/>
            <w:webHidden/>
          </w:rPr>
          <w:fldChar w:fldCharType="separate"/>
        </w:r>
        <w:r w:rsidR="00F40EF2">
          <w:rPr>
            <w:noProof/>
            <w:webHidden/>
          </w:rPr>
          <w:t>14</w:t>
        </w:r>
        <w:r w:rsidR="00F40EF2">
          <w:rPr>
            <w:noProof/>
            <w:webHidden/>
          </w:rPr>
          <w:fldChar w:fldCharType="end"/>
        </w:r>
      </w:hyperlink>
    </w:p>
    <w:p w14:paraId="3674C72E" w14:textId="77F21CDA"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16" w:history="1">
        <w:r w:rsidR="00F40EF2" w:rsidRPr="00E64EA8">
          <w:rPr>
            <w:rStyle w:val="Hyperlink"/>
            <w:noProof/>
          </w:rPr>
          <w:t>Prime Minister and Cabinet</w:t>
        </w:r>
        <w:r w:rsidR="00F40EF2">
          <w:rPr>
            <w:noProof/>
            <w:webHidden/>
          </w:rPr>
          <w:tab/>
        </w:r>
        <w:r w:rsidR="00F40EF2">
          <w:rPr>
            <w:noProof/>
            <w:webHidden/>
          </w:rPr>
          <w:fldChar w:fldCharType="begin"/>
        </w:r>
        <w:r w:rsidR="00F40EF2">
          <w:rPr>
            <w:noProof/>
            <w:webHidden/>
          </w:rPr>
          <w:instrText xml:space="preserve"> PAGEREF _Toc6218516 \h </w:instrText>
        </w:r>
        <w:r w:rsidR="00F40EF2">
          <w:rPr>
            <w:noProof/>
            <w:webHidden/>
          </w:rPr>
        </w:r>
        <w:r w:rsidR="00F40EF2">
          <w:rPr>
            <w:noProof/>
            <w:webHidden/>
          </w:rPr>
          <w:fldChar w:fldCharType="separate"/>
        </w:r>
        <w:r w:rsidR="00F40EF2">
          <w:rPr>
            <w:noProof/>
            <w:webHidden/>
          </w:rPr>
          <w:t>15</w:t>
        </w:r>
        <w:r w:rsidR="00F40EF2">
          <w:rPr>
            <w:noProof/>
            <w:webHidden/>
          </w:rPr>
          <w:fldChar w:fldCharType="end"/>
        </w:r>
      </w:hyperlink>
    </w:p>
    <w:p w14:paraId="390A1251" w14:textId="4691F46C"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7" w:history="1">
        <w:r w:rsidR="00F40EF2" w:rsidRPr="00E64EA8">
          <w:rPr>
            <w:rStyle w:val="Hyperlink"/>
            <w:rFonts w:eastAsia="Times New Roman"/>
            <w:noProof/>
            <w:lang w:eastAsia="en-AU"/>
          </w:rPr>
          <w:t>Measures 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_Toc6218517 \h </w:instrText>
        </w:r>
        <w:r w:rsidR="00F40EF2">
          <w:rPr>
            <w:noProof/>
            <w:webHidden/>
          </w:rPr>
        </w:r>
        <w:r w:rsidR="00F40EF2">
          <w:rPr>
            <w:noProof/>
            <w:webHidden/>
          </w:rPr>
          <w:fldChar w:fldCharType="separate"/>
        </w:r>
        <w:r w:rsidR="00F40EF2">
          <w:rPr>
            <w:noProof/>
            <w:webHidden/>
          </w:rPr>
          <w:t>15</w:t>
        </w:r>
        <w:r w:rsidR="00F40EF2">
          <w:rPr>
            <w:noProof/>
            <w:webHidden/>
          </w:rPr>
          <w:fldChar w:fldCharType="end"/>
        </w:r>
      </w:hyperlink>
    </w:p>
    <w:p w14:paraId="526D88C3" w14:textId="227D390C"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18" w:history="1">
        <w:r w:rsidR="00F40EF2" w:rsidRPr="00E64EA8">
          <w:rPr>
            <w:rStyle w:val="Hyperlink"/>
            <w:rFonts w:eastAsia="Times New Roman"/>
            <w:noProof/>
            <w:lang w:eastAsia="en-AU"/>
          </w:rPr>
          <w:t>Measures indirectly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_Toc6218518 \h </w:instrText>
        </w:r>
        <w:r w:rsidR="00F40EF2">
          <w:rPr>
            <w:noProof/>
            <w:webHidden/>
          </w:rPr>
        </w:r>
        <w:r w:rsidR="00F40EF2">
          <w:rPr>
            <w:noProof/>
            <w:webHidden/>
          </w:rPr>
          <w:fldChar w:fldCharType="separate"/>
        </w:r>
        <w:r w:rsidR="00F40EF2">
          <w:rPr>
            <w:noProof/>
            <w:webHidden/>
          </w:rPr>
          <w:t>15</w:t>
        </w:r>
        <w:r w:rsidR="00F40EF2">
          <w:rPr>
            <w:noProof/>
            <w:webHidden/>
          </w:rPr>
          <w:fldChar w:fldCharType="end"/>
        </w:r>
      </w:hyperlink>
    </w:p>
    <w:p w14:paraId="4F248ACA" w14:textId="0685B1C8" w:rsidR="00F40EF2" w:rsidRDefault="00B73093">
      <w:pPr>
        <w:pStyle w:val="TOC1"/>
        <w:tabs>
          <w:tab w:val="right" w:leader="dot" w:pos="9016"/>
        </w:tabs>
        <w:rPr>
          <w:rFonts w:asciiTheme="minorHAnsi" w:eastAsiaTheme="minorEastAsia" w:hAnsiTheme="minorHAnsi" w:cstheme="minorBidi"/>
          <w:noProof/>
          <w:color w:val="auto"/>
          <w:sz w:val="24"/>
          <w:szCs w:val="24"/>
          <w:lang w:val="en-AU" w:eastAsia="en-US"/>
        </w:rPr>
      </w:pPr>
      <w:hyperlink w:anchor="_Toc6218519" w:history="1">
        <w:r w:rsidR="00F40EF2" w:rsidRPr="00E64EA8">
          <w:rPr>
            <w:rStyle w:val="Hyperlink"/>
            <w:rFonts w:eastAsia="Times New Roman"/>
            <w:noProof/>
            <w:lang w:val="en-AU" w:eastAsia="en-AU"/>
          </w:rPr>
          <w:t>Department of Communications and Arts Portfolio</w:t>
        </w:r>
        <w:r w:rsidR="00F40EF2">
          <w:rPr>
            <w:noProof/>
            <w:webHidden/>
          </w:rPr>
          <w:tab/>
        </w:r>
        <w:r w:rsidR="00F40EF2">
          <w:rPr>
            <w:noProof/>
            <w:webHidden/>
          </w:rPr>
          <w:fldChar w:fldCharType="begin"/>
        </w:r>
        <w:r w:rsidR="00F40EF2">
          <w:rPr>
            <w:noProof/>
            <w:webHidden/>
          </w:rPr>
          <w:instrText xml:space="preserve"> PAGEREF _Toc6218519 \h </w:instrText>
        </w:r>
        <w:r w:rsidR="00F40EF2">
          <w:rPr>
            <w:noProof/>
            <w:webHidden/>
          </w:rPr>
        </w:r>
        <w:r w:rsidR="00F40EF2">
          <w:rPr>
            <w:noProof/>
            <w:webHidden/>
          </w:rPr>
          <w:fldChar w:fldCharType="separate"/>
        </w:r>
        <w:r w:rsidR="00F40EF2">
          <w:rPr>
            <w:noProof/>
            <w:webHidden/>
          </w:rPr>
          <w:t>16</w:t>
        </w:r>
        <w:r w:rsidR="00F40EF2">
          <w:rPr>
            <w:noProof/>
            <w:webHidden/>
          </w:rPr>
          <w:fldChar w:fldCharType="end"/>
        </w:r>
      </w:hyperlink>
    </w:p>
    <w:p w14:paraId="47ED3B14" w14:textId="2A5ACF88"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20" w:history="1">
        <w:r w:rsidR="00F40EF2" w:rsidRPr="00E64EA8">
          <w:rPr>
            <w:rStyle w:val="Hyperlink"/>
            <w:rFonts w:eastAsia="Times New Roman"/>
            <w:noProof/>
            <w:lang w:eastAsia="en-AU"/>
          </w:rPr>
          <w:t>Measures 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_Toc6218520 \h </w:instrText>
        </w:r>
        <w:r w:rsidR="00F40EF2">
          <w:rPr>
            <w:noProof/>
            <w:webHidden/>
          </w:rPr>
        </w:r>
        <w:r w:rsidR="00F40EF2">
          <w:rPr>
            <w:noProof/>
            <w:webHidden/>
          </w:rPr>
          <w:fldChar w:fldCharType="separate"/>
        </w:r>
        <w:r w:rsidR="00F40EF2">
          <w:rPr>
            <w:noProof/>
            <w:webHidden/>
          </w:rPr>
          <w:t>16</w:t>
        </w:r>
        <w:r w:rsidR="00F40EF2">
          <w:rPr>
            <w:noProof/>
            <w:webHidden/>
          </w:rPr>
          <w:fldChar w:fldCharType="end"/>
        </w:r>
      </w:hyperlink>
    </w:p>
    <w:p w14:paraId="730043FB" w14:textId="14673BA8" w:rsidR="00F40EF2" w:rsidRDefault="00B73093">
      <w:pPr>
        <w:pStyle w:val="TOC2"/>
        <w:tabs>
          <w:tab w:val="right" w:leader="dot" w:pos="9016"/>
        </w:tabs>
        <w:rPr>
          <w:rFonts w:asciiTheme="minorHAnsi" w:eastAsiaTheme="minorEastAsia" w:hAnsiTheme="minorHAnsi" w:cstheme="minorBidi"/>
          <w:noProof/>
          <w:color w:val="auto"/>
          <w:sz w:val="24"/>
          <w:szCs w:val="24"/>
          <w:lang w:val="en-AU" w:eastAsia="en-US"/>
        </w:rPr>
      </w:pPr>
      <w:hyperlink w:anchor="_Toc6218521" w:history="1">
        <w:r w:rsidR="00F40EF2" w:rsidRPr="00E64EA8">
          <w:rPr>
            <w:rStyle w:val="Hyperlink"/>
            <w:rFonts w:eastAsia="Times New Roman"/>
            <w:noProof/>
            <w:lang w:eastAsia="en-AU"/>
          </w:rPr>
          <w:t>Measures indirectly related to addressing violence against women and their children</w:t>
        </w:r>
        <w:r w:rsidR="00F40EF2">
          <w:rPr>
            <w:noProof/>
            <w:webHidden/>
          </w:rPr>
          <w:tab/>
        </w:r>
        <w:r w:rsidR="00F40EF2">
          <w:rPr>
            <w:noProof/>
            <w:webHidden/>
          </w:rPr>
          <w:fldChar w:fldCharType="begin"/>
        </w:r>
        <w:r w:rsidR="00F40EF2">
          <w:rPr>
            <w:noProof/>
            <w:webHidden/>
          </w:rPr>
          <w:instrText xml:space="preserve"> PAGEREF _Toc6218521 \h </w:instrText>
        </w:r>
        <w:r w:rsidR="00F40EF2">
          <w:rPr>
            <w:noProof/>
            <w:webHidden/>
          </w:rPr>
        </w:r>
        <w:r w:rsidR="00F40EF2">
          <w:rPr>
            <w:noProof/>
            <w:webHidden/>
          </w:rPr>
          <w:fldChar w:fldCharType="separate"/>
        </w:r>
        <w:r w:rsidR="00F40EF2">
          <w:rPr>
            <w:noProof/>
            <w:webHidden/>
          </w:rPr>
          <w:t>16</w:t>
        </w:r>
        <w:r w:rsidR="00F40EF2">
          <w:rPr>
            <w:noProof/>
            <w:webHidden/>
          </w:rPr>
          <w:fldChar w:fldCharType="end"/>
        </w:r>
      </w:hyperlink>
    </w:p>
    <w:p w14:paraId="59214F1F" w14:textId="77777777" w:rsidR="00C230BB" w:rsidRDefault="00C230BB" w:rsidP="00C230BB">
      <w:pPr>
        <w:spacing w:after="160" w:line="259" w:lineRule="auto"/>
        <w:jc w:val="left"/>
        <w:rPr>
          <w:b/>
          <w:color w:val="7030A0"/>
          <w:sz w:val="32"/>
          <w:szCs w:val="32"/>
          <w:lang w:val="en-AU"/>
        </w:rPr>
      </w:pPr>
      <w:r>
        <w:rPr>
          <w:b/>
          <w:color w:val="7030A0"/>
          <w:sz w:val="32"/>
          <w:szCs w:val="32"/>
          <w:lang w:val="en-AU"/>
        </w:rPr>
        <w:fldChar w:fldCharType="end"/>
      </w:r>
      <w:bookmarkStart w:id="0" w:name="_Toc516226230"/>
    </w:p>
    <w:p w14:paraId="5E247411" w14:textId="30020908" w:rsidR="00366918" w:rsidRPr="007916ED" w:rsidRDefault="00366918" w:rsidP="00C230BB">
      <w:pPr>
        <w:pStyle w:val="Heading1"/>
        <w:rPr>
          <w:lang w:val="en-US"/>
        </w:rPr>
      </w:pPr>
      <w:bookmarkStart w:id="1" w:name="_Toc6218503"/>
      <w:r w:rsidRPr="007916ED">
        <w:rPr>
          <w:lang w:val="en-US"/>
        </w:rPr>
        <w:t>Acronyms/Glossary</w:t>
      </w:r>
      <w:bookmarkEnd w:id="0"/>
      <w:bookmarkEnd w:id="1"/>
    </w:p>
    <w:p w14:paraId="37858B37" w14:textId="77777777" w:rsidR="00366918" w:rsidRPr="007916ED" w:rsidRDefault="00366918" w:rsidP="00366918">
      <w:pPr>
        <w:rPr>
          <w:rFonts w:ascii="Calibri Light" w:hAnsi="Calibri Light"/>
          <w:lang w:val="en-US"/>
        </w:rPr>
      </w:pPr>
      <w:r w:rsidRPr="007916ED">
        <w:rPr>
          <w:rFonts w:ascii="Calibri Light" w:hAnsi="Calibri Light"/>
          <w:lang w:val="en-US"/>
        </w:rPr>
        <w:t xml:space="preserve">AGD </w:t>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Attorney-General’s Department</w:t>
      </w:r>
    </w:p>
    <w:p w14:paraId="193A8B0F" w14:textId="77777777" w:rsidR="00366918" w:rsidRPr="007916ED" w:rsidRDefault="00366918" w:rsidP="00366918">
      <w:pPr>
        <w:rPr>
          <w:rFonts w:ascii="Calibri Light" w:hAnsi="Calibri Light"/>
          <w:lang w:val="en-US"/>
        </w:rPr>
      </w:pPr>
      <w:r w:rsidRPr="007916ED">
        <w:rPr>
          <w:rFonts w:ascii="Calibri Light" w:hAnsi="Calibri Light"/>
          <w:lang w:val="en-US"/>
        </w:rPr>
        <w:t xml:space="preserve">DSS </w:t>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Department of Social Services</w:t>
      </w:r>
    </w:p>
    <w:p w14:paraId="75F57C43" w14:textId="09CF6CFB" w:rsidR="00366918" w:rsidRDefault="00366918" w:rsidP="00366918">
      <w:pPr>
        <w:rPr>
          <w:rFonts w:ascii="Calibri Light" w:hAnsi="Calibri Light"/>
          <w:lang w:val="en-US"/>
        </w:rPr>
      </w:pPr>
      <w:r w:rsidRPr="007916ED">
        <w:rPr>
          <w:rFonts w:ascii="Calibri Light" w:hAnsi="Calibri Light"/>
          <w:lang w:val="en-US"/>
        </w:rPr>
        <w:t xml:space="preserve">FASS </w:t>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Family Advocacy and Support Services</w:t>
      </w:r>
    </w:p>
    <w:p w14:paraId="65AD10EC" w14:textId="77777777" w:rsidR="00366918" w:rsidRPr="007916ED" w:rsidRDefault="00366918" w:rsidP="00366918">
      <w:pPr>
        <w:rPr>
          <w:rFonts w:ascii="Calibri Light" w:hAnsi="Calibri Light"/>
          <w:b/>
          <w:lang w:val="en-US"/>
        </w:rPr>
      </w:pPr>
      <w:r w:rsidRPr="007916ED">
        <w:rPr>
          <w:rFonts w:ascii="Calibri Light" w:hAnsi="Calibri Light"/>
          <w:lang w:val="en-US"/>
        </w:rPr>
        <w:t>Fourth Action Plan</w:t>
      </w:r>
      <w:r w:rsidRPr="007916ED">
        <w:rPr>
          <w:rFonts w:ascii="Calibri Light" w:hAnsi="Calibri Light"/>
          <w:lang w:val="en-US"/>
        </w:rPr>
        <w:tab/>
      </w:r>
      <w:r w:rsidRPr="007916ED">
        <w:rPr>
          <w:rFonts w:ascii="Calibri Light" w:hAnsi="Calibri Light"/>
          <w:lang w:val="en-US"/>
        </w:rPr>
        <w:tab/>
        <w:t xml:space="preserve">Fourth Action Plan of the National Plan to Reduce Violence Against </w:t>
      </w:r>
      <w:r w:rsidRPr="007916ED">
        <w:rPr>
          <w:rFonts w:ascii="Calibri Light" w:hAnsi="Calibri Light"/>
          <w:lang w:val="en-US"/>
        </w:rPr>
        <w:br/>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Women and their Children</w:t>
      </w:r>
    </w:p>
    <w:p w14:paraId="2E73D936" w14:textId="4D167D9F" w:rsidR="00366918" w:rsidRDefault="00366918" w:rsidP="00366918">
      <w:pPr>
        <w:rPr>
          <w:rFonts w:ascii="Calibri Light" w:hAnsi="Calibri Light"/>
          <w:lang w:val="en-US"/>
        </w:rPr>
      </w:pPr>
      <w:r w:rsidRPr="007916ED">
        <w:rPr>
          <w:rFonts w:ascii="Calibri Light" w:hAnsi="Calibri Light"/>
          <w:lang w:val="en-US"/>
        </w:rPr>
        <w:t>National Plan</w:t>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National Plan to Reduce Violence Against Women and their Children</w:t>
      </w:r>
      <w:r w:rsidRPr="007916ED">
        <w:rPr>
          <w:rFonts w:ascii="Calibri Light" w:hAnsi="Calibri Light"/>
          <w:lang w:val="en-US"/>
        </w:rPr>
        <w:br/>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r>
      <w:r w:rsidRPr="007916ED">
        <w:rPr>
          <w:rFonts w:ascii="Calibri Light" w:hAnsi="Calibri Light"/>
          <w:lang w:val="en-US"/>
        </w:rPr>
        <w:tab/>
        <w:t>2010-2022</w:t>
      </w:r>
    </w:p>
    <w:p w14:paraId="5B989CDD" w14:textId="33523E56" w:rsidR="00C230BB" w:rsidRDefault="00C230BB" w:rsidP="00C230BB">
      <w:pPr>
        <w:rPr>
          <w:rFonts w:ascii="Calibri Light" w:hAnsi="Calibri Light"/>
          <w:lang w:val="en-US"/>
        </w:rPr>
      </w:pPr>
      <w:r>
        <w:rPr>
          <w:rFonts w:ascii="Calibri Light" w:hAnsi="Calibri Light"/>
          <w:lang w:val="en-US"/>
        </w:rPr>
        <w:t xml:space="preserve">OIWS Package </w:t>
      </w:r>
      <w:r>
        <w:rPr>
          <w:rFonts w:ascii="Calibri Light" w:hAnsi="Calibri Light"/>
          <w:lang w:val="en-US"/>
        </w:rPr>
        <w:tab/>
      </w:r>
      <w:r>
        <w:rPr>
          <w:rFonts w:ascii="Calibri Light" w:hAnsi="Calibri Light"/>
          <w:lang w:val="en-US"/>
        </w:rPr>
        <w:tab/>
      </w:r>
      <w:r>
        <w:rPr>
          <w:rFonts w:ascii="Calibri Light" w:hAnsi="Calibri Light"/>
          <w:lang w:val="en-US"/>
        </w:rPr>
        <w:tab/>
        <w:t xml:space="preserve">Our Investment in Women’s Safety Package </w:t>
      </w:r>
    </w:p>
    <w:p w14:paraId="752E27F4" w14:textId="10388624" w:rsidR="00922A8C" w:rsidRPr="007916ED" w:rsidRDefault="00922A8C" w:rsidP="00C230BB">
      <w:pPr>
        <w:rPr>
          <w:rFonts w:ascii="Calibri Light" w:hAnsi="Calibri Light"/>
          <w:lang w:val="en-US"/>
        </w:rPr>
      </w:pPr>
      <w:r>
        <w:rPr>
          <w:rFonts w:ascii="Calibri Light" w:hAnsi="Calibri Light"/>
          <w:lang w:val="en-US"/>
        </w:rPr>
        <w:t>VAW</w:t>
      </w:r>
      <w:r>
        <w:rPr>
          <w:rFonts w:ascii="Calibri Light" w:hAnsi="Calibri Light"/>
          <w:lang w:val="en-US"/>
        </w:rPr>
        <w:tab/>
      </w:r>
      <w:r>
        <w:rPr>
          <w:rFonts w:ascii="Calibri Light" w:hAnsi="Calibri Light"/>
          <w:lang w:val="en-US"/>
        </w:rPr>
        <w:tab/>
      </w:r>
      <w:r>
        <w:rPr>
          <w:rFonts w:ascii="Calibri Light" w:hAnsi="Calibri Light"/>
          <w:lang w:val="en-US"/>
        </w:rPr>
        <w:tab/>
      </w:r>
      <w:r>
        <w:rPr>
          <w:rFonts w:ascii="Calibri Light" w:hAnsi="Calibri Light"/>
          <w:lang w:val="en-US"/>
        </w:rPr>
        <w:tab/>
        <w:t xml:space="preserve">Violence against women </w:t>
      </w:r>
    </w:p>
    <w:p w14:paraId="72DE297B" w14:textId="77777777" w:rsidR="00C230BB" w:rsidRPr="007916ED" w:rsidRDefault="00C230BB" w:rsidP="00366918">
      <w:pPr>
        <w:rPr>
          <w:rFonts w:ascii="Calibri Light" w:hAnsi="Calibri Light"/>
          <w:lang w:val="en-US"/>
        </w:rPr>
      </w:pPr>
    </w:p>
    <w:p w14:paraId="369CE0D7" w14:textId="77777777" w:rsidR="00366918" w:rsidRDefault="00366918">
      <w:pPr>
        <w:spacing w:after="160" w:line="259" w:lineRule="auto"/>
        <w:jc w:val="left"/>
        <w:rPr>
          <w:b/>
          <w:sz w:val="36"/>
          <w:szCs w:val="36"/>
          <w:lang w:val="en-AU"/>
        </w:rPr>
      </w:pPr>
    </w:p>
    <w:p w14:paraId="74EEE3B2" w14:textId="339357D2" w:rsidR="00366918" w:rsidRDefault="00366918">
      <w:pPr>
        <w:spacing w:after="160" w:line="259" w:lineRule="auto"/>
        <w:jc w:val="left"/>
        <w:rPr>
          <w:rFonts w:eastAsiaTheme="majorEastAsia" w:cstheme="majorBidi"/>
          <w:b/>
          <w:spacing w:val="-10"/>
          <w:kern w:val="28"/>
          <w:sz w:val="36"/>
          <w:szCs w:val="36"/>
          <w:lang w:val="en-AU"/>
        </w:rPr>
      </w:pPr>
      <w:r>
        <w:rPr>
          <w:b/>
          <w:sz w:val="36"/>
          <w:szCs w:val="36"/>
          <w:lang w:val="en-AU"/>
        </w:rPr>
        <w:br w:type="page"/>
      </w:r>
    </w:p>
    <w:p w14:paraId="289CDA7B" w14:textId="3D0B3FF4" w:rsidR="00CC43EC" w:rsidRDefault="00CC43EC" w:rsidP="00492FB4">
      <w:pPr>
        <w:pStyle w:val="Heading1"/>
        <w:rPr>
          <w:lang w:val="en-AU"/>
        </w:rPr>
      </w:pPr>
      <w:bookmarkStart w:id="2" w:name="_Toc6218504"/>
      <w:r>
        <w:rPr>
          <w:lang w:val="en-AU"/>
        </w:rPr>
        <w:lastRenderedPageBreak/>
        <w:t>Budget overview</w:t>
      </w:r>
      <w:bookmarkEnd w:id="2"/>
      <w:r>
        <w:rPr>
          <w:lang w:val="en-AU"/>
        </w:rPr>
        <w:t xml:space="preserve"> </w:t>
      </w:r>
    </w:p>
    <w:p w14:paraId="6ADD0C61" w14:textId="0644E5A2" w:rsidR="00154E0E" w:rsidRDefault="00FB7D09" w:rsidP="00437D46">
      <w:pPr>
        <w:spacing w:before="120" w:after="120"/>
        <w:rPr>
          <w:rFonts w:cstheme="majorHAnsi"/>
          <w:lang w:val="en-AU"/>
        </w:rPr>
      </w:pPr>
      <w:r>
        <w:rPr>
          <w:rFonts w:cstheme="majorHAnsi"/>
          <w:lang w:val="en-AU"/>
        </w:rPr>
        <w:t>The 2019-202</w:t>
      </w:r>
      <w:r w:rsidR="00154E0E" w:rsidRPr="001A0E13">
        <w:rPr>
          <w:rFonts w:cstheme="majorHAnsi"/>
          <w:lang w:val="en-AU"/>
        </w:rPr>
        <w:t xml:space="preserve">0 Federal Budget has restated </w:t>
      </w:r>
      <w:r w:rsidR="009D52F3">
        <w:rPr>
          <w:rFonts w:cstheme="majorHAnsi"/>
          <w:lang w:val="en-AU"/>
        </w:rPr>
        <w:t>its previously</w:t>
      </w:r>
      <w:r w:rsidR="00922A8C">
        <w:rPr>
          <w:rFonts w:cstheme="majorHAnsi"/>
          <w:lang w:val="en-AU"/>
        </w:rPr>
        <w:t xml:space="preserve"> made</w:t>
      </w:r>
      <w:r w:rsidR="009D52F3">
        <w:rPr>
          <w:rFonts w:cstheme="majorHAnsi"/>
          <w:lang w:val="en-AU"/>
        </w:rPr>
        <w:t xml:space="preserve"> </w:t>
      </w:r>
      <w:r w:rsidR="00154E0E" w:rsidRPr="001A0E13">
        <w:rPr>
          <w:rFonts w:cstheme="majorHAnsi"/>
          <w:lang w:val="en-AU"/>
        </w:rPr>
        <w:t xml:space="preserve">commitment to </w:t>
      </w:r>
      <w:r w:rsidR="009D52F3">
        <w:rPr>
          <w:rFonts w:cstheme="majorHAnsi"/>
          <w:lang w:val="en-AU"/>
        </w:rPr>
        <w:t>fund</w:t>
      </w:r>
      <w:r w:rsidR="00154E0E" w:rsidRPr="001A0E13">
        <w:rPr>
          <w:rFonts w:cstheme="majorHAnsi"/>
          <w:lang w:val="en-AU"/>
        </w:rPr>
        <w:t xml:space="preserve"> prevention and responses to domest</w:t>
      </w:r>
      <w:r w:rsidR="009D52F3">
        <w:rPr>
          <w:rFonts w:cstheme="majorHAnsi"/>
          <w:lang w:val="en-AU"/>
        </w:rPr>
        <w:t xml:space="preserve">ic, family and sexual violence. </w:t>
      </w:r>
      <w:r w:rsidR="00154E0E" w:rsidRPr="001A0E13">
        <w:rPr>
          <w:rFonts w:cstheme="majorHAnsi"/>
          <w:lang w:val="en-AU"/>
        </w:rPr>
        <w:t>Announced at the beginning of March 2019</w:t>
      </w:r>
      <w:r w:rsidR="00154E0E">
        <w:rPr>
          <w:rFonts w:cstheme="majorHAnsi"/>
          <w:lang w:val="en-AU"/>
        </w:rPr>
        <w:t>,</w:t>
      </w:r>
      <w:r w:rsidR="00154E0E" w:rsidRPr="001A0E13">
        <w:rPr>
          <w:rFonts w:cstheme="majorHAnsi"/>
          <w:lang w:val="en-AU"/>
        </w:rPr>
        <w:t xml:space="preserve"> the $328 million</w:t>
      </w:r>
      <w:r w:rsidR="00922A8C">
        <w:rPr>
          <w:rFonts w:cstheme="majorHAnsi"/>
          <w:lang w:val="en-AU"/>
        </w:rPr>
        <w:t xml:space="preserve"> as the Our Investment in Women’s Safety (OIWS)</w:t>
      </w:r>
      <w:r w:rsidR="00154E0E" w:rsidRPr="001A0E13">
        <w:rPr>
          <w:rFonts w:cstheme="majorHAnsi"/>
          <w:lang w:val="en-AU"/>
        </w:rPr>
        <w:t xml:space="preserve"> package constitutes the Commonwealth contribution towards the Fourth Action Plan of the National Plan to Reduce Violence Against Women and their Children. This package will be spread acros</w:t>
      </w:r>
      <w:r w:rsidR="009D52F3">
        <w:rPr>
          <w:rFonts w:cstheme="majorHAnsi"/>
          <w:lang w:val="en-AU"/>
        </w:rPr>
        <w:t>s 8 portfolios and compri</w:t>
      </w:r>
      <w:r w:rsidR="00D65133">
        <w:rPr>
          <w:rFonts w:cstheme="majorHAnsi"/>
          <w:lang w:val="en-AU"/>
        </w:rPr>
        <w:t xml:space="preserve">se of a broad range of measures. </w:t>
      </w:r>
    </w:p>
    <w:p w14:paraId="1E8CD08C" w14:textId="431ADD9A" w:rsidR="00D65133" w:rsidRDefault="00D65133" w:rsidP="00D65133">
      <w:pPr>
        <w:spacing w:before="120" w:after="120"/>
        <w:rPr>
          <w:rFonts w:cstheme="majorHAnsi"/>
          <w:lang w:val="en-AU"/>
        </w:rPr>
      </w:pPr>
      <w:r>
        <w:rPr>
          <w:rFonts w:cstheme="majorHAnsi"/>
          <w:lang w:val="en-AU"/>
        </w:rPr>
        <w:t xml:space="preserve">The 2019-2020 Federal budget remains a document that is complicated to read due to its </w:t>
      </w:r>
      <w:r w:rsidR="00074929">
        <w:rPr>
          <w:rFonts w:cstheme="majorHAnsi"/>
          <w:lang w:val="en-AU"/>
        </w:rPr>
        <w:t xml:space="preserve">lack of </w:t>
      </w:r>
      <w:r>
        <w:rPr>
          <w:rFonts w:cstheme="majorHAnsi"/>
          <w:lang w:val="en-AU"/>
        </w:rPr>
        <w:t xml:space="preserve">transparency. It is hard if not impossible to track measures in relation to responding to violence against women (VAW). For instance, in addition to the announced OIWS Package, there are other measures aimed at funding responses to VAW. This includes either ongoing funding to particular Departments (eg. Grants within DSS) or other measures that fall outside the National Plan (eg. Legal assistance). Often they are hidden under names such as </w:t>
      </w:r>
      <w:r w:rsidR="00B6229F">
        <w:rPr>
          <w:rFonts w:cstheme="majorHAnsi"/>
          <w:lang w:val="en-AU"/>
        </w:rPr>
        <w:t>‘</w:t>
      </w:r>
      <w:r>
        <w:rPr>
          <w:rFonts w:cstheme="majorHAnsi"/>
          <w:lang w:val="en-AU"/>
        </w:rPr>
        <w:t>special accounts</w:t>
      </w:r>
      <w:r w:rsidR="00B6229F">
        <w:rPr>
          <w:rFonts w:cstheme="majorHAnsi"/>
          <w:lang w:val="en-AU"/>
        </w:rPr>
        <w:t>’</w:t>
      </w:r>
      <w:r>
        <w:rPr>
          <w:rFonts w:cstheme="majorHAnsi"/>
          <w:lang w:val="en-AU"/>
        </w:rPr>
        <w:t xml:space="preserve"> or subsumed within the Departmental funding in the following years after the announcements are made. This makes it difficult to measure and track the commitment to reduce VAW across the whole of government, </w:t>
      </w:r>
      <w:r w:rsidR="00B6229F">
        <w:rPr>
          <w:rFonts w:cstheme="majorHAnsi"/>
          <w:lang w:val="en-AU"/>
        </w:rPr>
        <w:t xml:space="preserve">which </w:t>
      </w:r>
      <w:r>
        <w:rPr>
          <w:rFonts w:cstheme="majorHAnsi"/>
          <w:lang w:val="en-AU"/>
        </w:rPr>
        <w:t xml:space="preserve">appears to be greater than publicly made announcements. </w:t>
      </w:r>
      <w:r w:rsidR="00EA628D">
        <w:rPr>
          <w:rFonts w:cstheme="majorHAnsi"/>
          <w:lang w:val="en-AU"/>
        </w:rPr>
        <w:t>We need a comprehensive budget statement tracking spending across all portfolios in a way that enables year-on-year comparisons and states clearly where spending is going.</w:t>
      </w:r>
    </w:p>
    <w:p w14:paraId="5706A507" w14:textId="5F5F2A1C" w:rsidR="00D65133" w:rsidRPr="00D65133" w:rsidRDefault="00D65133" w:rsidP="00922A8C">
      <w:pPr>
        <w:spacing w:before="120" w:after="120"/>
        <w:rPr>
          <w:rFonts w:cstheme="majorHAnsi"/>
          <w:lang w:val="en-AU"/>
        </w:rPr>
      </w:pPr>
      <w:r>
        <w:rPr>
          <w:rFonts w:cstheme="majorHAnsi"/>
          <w:lang w:val="en-AU"/>
        </w:rPr>
        <w:t xml:space="preserve">Overall, </w:t>
      </w:r>
      <w:r w:rsidR="00154E0E" w:rsidRPr="001A0E13">
        <w:rPr>
          <w:rFonts w:cstheme="majorHAnsi"/>
          <w:lang w:val="en-AU"/>
        </w:rPr>
        <w:t xml:space="preserve">AWAVA </w:t>
      </w:r>
      <w:hyperlink r:id="rId9" w:history="1">
        <w:r w:rsidR="00154E0E" w:rsidRPr="001A0E13">
          <w:rPr>
            <w:rStyle w:val="Hyperlink"/>
            <w:rFonts w:cstheme="majorHAnsi"/>
            <w:lang w:val="en-AU"/>
          </w:rPr>
          <w:t>has welcomed</w:t>
        </w:r>
      </w:hyperlink>
      <w:r w:rsidR="00154E0E" w:rsidRPr="001A0E13">
        <w:rPr>
          <w:rFonts w:cstheme="majorHAnsi"/>
          <w:lang w:val="en-AU"/>
        </w:rPr>
        <w:t xml:space="preserve"> th</w:t>
      </w:r>
      <w:r w:rsidR="00B6229F">
        <w:rPr>
          <w:rFonts w:cstheme="majorHAnsi"/>
          <w:lang w:val="en-AU"/>
        </w:rPr>
        <w:t>e OIWS</w:t>
      </w:r>
      <w:r w:rsidR="00154E0E" w:rsidRPr="001A0E13">
        <w:rPr>
          <w:rFonts w:cstheme="majorHAnsi"/>
          <w:lang w:val="en-AU"/>
        </w:rPr>
        <w:t xml:space="preserve"> package, in particular the investment into primary prevention. Yet, </w:t>
      </w:r>
      <w:hyperlink r:id="rId10" w:history="1">
        <w:r w:rsidR="00154E0E" w:rsidRPr="009D52F3">
          <w:rPr>
            <w:rStyle w:val="Hyperlink"/>
            <w:rFonts w:cstheme="majorHAnsi"/>
            <w:lang w:val="en-AU"/>
          </w:rPr>
          <w:t>we reiterate recommendations</w:t>
        </w:r>
      </w:hyperlink>
      <w:r w:rsidR="00154E0E" w:rsidRPr="001A0E13">
        <w:rPr>
          <w:rFonts w:cstheme="majorHAnsi"/>
          <w:lang w:val="en-AU"/>
        </w:rPr>
        <w:t xml:space="preserve"> that the efforts to address violence against women need to be holistic in their nature. </w:t>
      </w:r>
      <w:r w:rsidR="00F40EF2">
        <w:rPr>
          <w:rFonts w:cstheme="majorHAnsi"/>
          <w:lang w:val="en-AU"/>
        </w:rPr>
        <w:t>An i</w:t>
      </w:r>
      <w:r w:rsidR="00154E0E" w:rsidRPr="001A0E13">
        <w:rPr>
          <w:rFonts w:cstheme="majorHAnsi"/>
          <w:lang w:val="en-AU"/>
        </w:rPr>
        <w:t>ntersectional approach need</w:t>
      </w:r>
      <w:r w:rsidR="00F40EF2">
        <w:rPr>
          <w:rFonts w:cstheme="majorHAnsi"/>
          <w:lang w:val="en-AU"/>
        </w:rPr>
        <w:t>s</w:t>
      </w:r>
      <w:r w:rsidR="00154E0E" w:rsidRPr="001A0E13">
        <w:rPr>
          <w:rFonts w:cstheme="majorHAnsi"/>
          <w:lang w:val="en-AU"/>
        </w:rPr>
        <w:t xml:space="preserve"> to be embedded within the forthcoming Fourth </w:t>
      </w:r>
      <w:r w:rsidR="00154E0E" w:rsidRPr="00D65133">
        <w:rPr>
          <w:rFonts w:cstheme="majorHAnsi"/>
          <w:lang w:val="en-AU"/>
        </w:rPr>
        <w:t>Action Plan as well as the Fourth Action Plan needs to address different forms violence can take</w:t>
      </w:r>
      <w:r w:rsidR="00922A8C" w:rsidRPr="00D65133">
        <w:rPr>
          <w:rFonts w:cstheme="majorHAnsi"/>
          <w:lang w:val="en-AU"/>
        </w:rPr>
        <w:t>,</w:t>
      </w:r>
      <w:r w:rsidR="00154E0E" w:rsidRPr="00D65133">
        <w:rPr>
          <w:rFonts w:cstheme="majorHAnsi"/>
          <w:lang w:val="en-AU"/>
        </w:rPr>
        <w:t xml:space="preserve"> respond to the increasing service demand and prioritise the unique role special women’s services are playing in reducing violence against women. </w:t>
      </w:r>
    </w:p>
    <w:p w14:paraId="775FD837" w14:textId="41393AA4" w:rsidR="00D65133" w:rsidRDefault="00922A8C" w:rsidP="00212BBF">
      <w:pPr>
        <w:spacing w:before="120" w:after="120"/>
        <w:rPr>
          <w:rFonts w:cstheme="majorHAnsi"/>
          <w:lang w:val="en-AU"/>
        </w:rPr>
      </w:pPr>
      <w:r w:rsidRPr="00D65133">
        <w:rPr>
          <w:rFonts w:cstheme="majorHAnsi"/>
          <w:lang w:val="en-AU"/>
        </w:rPr>
        <w:t>We welcome the commitment to address technology-facilitated and financial abuse, however other forms of violence against women such as reproductive coercion, dowry abuse, forced sterilization of women with disability remained unaddressed.</w:t>
      </w:r>
      <w:r w:rsidR="00D65133" w:rsidRPr="00D65133">
        <w:rPr>
          <w:rFonts w:cstheme="majorHAnsi"/>
          <w:lang w:val="en-AU"/>
        </w:rPr>
        <w:t xml:space="preserve"> Similarly, there must be a more nuanced engagement with the diversity of women in Australia. AWAVA’s position paper on the development of the Fourth Action Plan outlines </w:t>
      </w:r>
      <w:r w:rsidR="00D65133">
        <w:rPr>
          <w:rFonts w:cstheme="majorHAnsi"/>
          <w:lang w:val="en-AU"/>
        </w:rPr>
        <w:t>how to embed intersectionality within prevention and response to VAW in a greater detail.</w:t>
      </w:r>
      <w:r w:rsidR="00662B89">
        <w:rPr>
          <w:rStyle w:val="FootnoteReference"/>
          <w:rFonts w:cstheme="majorHAnsi"/>
          <w:lang w:val="en-AU"/>
        </w:rPr>
        <w:footnoteReference w:id="1"/>
      </w:r>
    </w:p>
    <w:p w14:paraId="0FF02628" w14:textId="75F22192" w:rsidR="00F17E81" w:rsidRDefault="00D65133" w:rsidP="00212BBF">
      <w:pPr>
        <w:spacing w:before="120" w:after="120"/>
        <w:rPr>
          <w:rFonts w:cstheme="majorHAnsi"/>
          <w:lang w:val="en-AU"/>
        </w:rPr>
      </w:pPr>
      <w:r w:rsidRPr="00D65133">
        <w:rPr>
          <w:rFonts w:cstheme="majorHAnsi"/>
          <w:lang w:val="en-AU"/>
        </w:rPr>
        <w:t>W</w:t>
      </w:r>
      <w:r w:rsidR="00212BBF" w:rsidRPr="00D65133">
        <w:rPr>
          <w:rFonts w:cstheme="majorHAnsi"/>
          <w:lang w:val="en-AU"/>
        </w:rPr>
        <w:t xml:space="preserve">hile this has been the biggest investment </w:t>
      </w:r>
      <w:r w:rsidR="00B6229F">
        <w:rPr>
          <w:rFonts w:cstheme="majorHAnsi"/>
          <w:lang w:val="en-AU"/>
        </w:rPr>
        <w:t xml:space="preserve">to date from the Commonwealth </w:t>
      </w:r>
      <w:r w:rsidR="00212BBF" w:rsidRPr="00D65133">
        <w:rPr>
          <w:rFonts w:cstheme="majorHAnsi"/>
          <w:lang w:val="en-AU"/>
        </w:rPr>
        <w:t>in measures to respond to violence against women in Australia, the Budget provide</w:t>
      </w:r>
      <w:r w:rsidR="00786BCA">
        <w:rPr>
          <w:rFonts w:cstheme="majorHAnsi"/>
          <w:lang w:val="en-AU"/>
        </w:rPr>
        <w:t>s little if</w:t>
      </w:r>
      <w:r w:rsidR="00212BBF" w:rsidRPr="00D65133">
        <w:rPr>
          <w:rFonts w:cstheme="majorHAnsi"/>
          <w:lang w:val="en-AU"/>
        </w:rPr>
        <w:t xml:space="preserve"> any funding directly to providing specialist women’s </w:t>
      </w:r>
      <w:r w:rsidR="00786BCA">
        <w:rPr>
          <w:rFonts w:cstheme="majorHAnsi"/>
          <w:lang w:val="en-AU"/>
        </w:rPr>
        <w:t xml:space="preserve">domestic and family violence </w:t>
      </w:r>
      <w:r w:rsidR="00212BBF" w:rsidRPr="00D65133">
        <w:rPr>
          <w:rFonts w:cstheme="majorHAnsi"/>
          <w:lang w:val="en-AU"/>
        </w:rPr>
        <w:t>services on the ground</w:t>
      </w:r>
      <w:r w:rsidR="00B6229F">
        <w:rPr>
          <w:rFonts w:cstheme="majorHAnsi"/>
          <w:lang w:val="en-AU"/>
        </w:rPr>
        <w:t>, setting aside the $10 million to Specialised Family Violence Services delivered through family and relationship centres</w:t>
      </w:r>
      <w:r w:rsidR="00786BCA">
        <w:rPr>
          <w:rFonts w:cstheme="majorHAnsi"/>
          <w:lang w:val="en-AU"/>
        </w:rPr>
        <w:t>, the DV units</w:t>
      </w:r>
      <w:r w:rsidR="00B6229F">
        <w:rPr>
          <w:rFonts w:cstheme="majorHAnsi"/>
          <w:lang w:val="en-AU"/>
        </w:rPr>
        <w:t xml:space="preserve"> and the ongoing funding to the National Plan Partners such as 1800RESPECT</w:t>
      </w:r>
      <w:r w:rsidR="00212BBF" w:rsidRPr="00D65133">
        <w:rPr>
          <w:rFonts w:ascii="Calibri" w:hAnsi="Calibri" w:cs="Calibri"/>
          <w:shd w:val="clear" w:color="auto" w:fill="FFFFFF"/>
        </w:rPr>
        <w:t>.</w:t>
      </w:r>
      <w:r w:rsidR="005A5D9E" w:rsidRPr="00D65133">
        <w:rPr>
          <w:rFonts w:ascii="Calibri" w:hAnsi="Calibri" w:cs="Calibri"/>
          <w:shd w:val="clear" w:color="auto" w:fill="FFFFFF"/>
        </w:rPr>
        <w:t xml:space="preserve"> </w:t>
      </w:r>
      <w:r w:rsidR="005A5D9E" w:rsidRPr="00D65133">
        <w:rPr>
          <w:rFonts w:cstheme="majorHAnsi"/>
          <w:lang w:val="en-AU"/>
        </w:rPr>
        <w:t>The prevalence of domestic and family violence remains high, and there has been an increase in women’s experiences of sexual violence.</w:t>
      </w:r>
      <w:r w:rsidR="005A5D9E" w:rsidRPr="00D65133">
        <w:rPr>
          <w:rFonts w:cstheme="majorHAnsi"/>
          <w:vertAlign w:val="superscript"/>
          <w:lang w:val="en-AU"/>
        </w:rPr>
        <w:footnoteReference w:id="2"/>
      </w:r>
      <w:r w:rsidR="005A5D9E" w:rsidRPr="00D65133">
        <w:rPr>
          <w:rFonts w:cstheme="majorHAnsi"/>
          <w:vertAlign w:val="superscript"/>
          <w:lang w:val="en-AU"/>
        </w:rPr>
        <w:t xml:space="preserve"> </w:t>
      </w:r>
      <w:r w:rsidR="005A5D9E" w:rsidRPr="00D65133">
        <w:rPr>
          <w:rFonts w:cstheme="majorHAnsi"/>
          <w:lang w:val="en-AU"/>
        </w:rPr>
        <w:t>Domestic and family violence remains the single largest cause of homeless</w:t>
      </w:r>
      <w:r w:rsidR="00B6229F">
        <w:rPr>
          <w:rFonts w:cstheme="majorHAnsi"/>
          <w:lang w:val="en-AU"/>
        </w:rPr>
        <w:t>ness</w:t>
      </w:r>
      <w:r w:rsidR="005A5D9E" w:rsidRPr="00D65133">
        <w:rPr>
          <w:rFonts w:cstheme="majorHAnsi"/>
          <w:lang w:val="en-AU"/>
        </w:rPr>
        <w:t xml:space="preserve"> for women. With more work done in prevention, more women are seeking services</w:t>
      </w:r>
      <w:r w:rsidR="00B6229F">
        <w:rPr>
          <w:rFonts w:cstheme="majorHAnsi"/>
          <w:lang w:val="en-AU"/>
        </w:rPr>
        <w:t xml:space="preserve">, as predicted by Our Watch’s Counting on Change </w:t>
      </w:r>
      <w:r w:rsidR="0032497B">
        <w:rPr>
          <w:rFonts w:cstheme="majorHAnsi"/>
          <w:lang w:val="en-AU"/>
        </w:rPr>
        <w:t>guide to prevention monitoring</w:t>
      </w:r>
      <w:r w:rsidR="005A5D9E" w:rsidRPr="00D65133">
        <w:rPr>
          <w:rFonts w:cstheme="majorHAnsi"/>
          <w:lang w:val="en-AU"/>
        </w:rPr>
        <w:t>.</w:t>
      </w:r>
      <w:r w:rsidR="0032497B">
        <w:rPr>
          <w:rStyle w:val="FootnoteReference"/>
          <w:rFonts w:cstheme="majorHAnsi"/>
          <w:lang w:val="en-AU"/>
        </w:rPr>
        <w:footnoteReference w:id="3"/>
      </w:r>
      <w:r w:rsidR="005A5D9E" w:rsidRPr="00D65133">
        <w:rPr>
          <w:rFonts w:cstheme="majorHAnsi"/>
          <w:lang w:val="en-AU"/>
        </w:rPr>
        <w:t xml:space="preserve"> The funding to the specialist women’s services must meet the </w:t>
      </w:r>
      <w:r w:rsidR="0032497B">
        <w:rPr>
          <w:rFonts w:cstheme="majorHAnsi"/>
          <w:lang w:val="en-AU"/>
        </w:rPr>
        <w:t>increasing</w:t>
      </w:r>
      <w:r w:rsidR="0032497B" w:rsidRPr="00D65133">
        <w:rPr>
          <w:rFonts w:cstheme="majorHAnsi"/>
          <w:lang w:val="en-AU"/>
        </w:rPr>
        <w:t xml:space="preserve"> </w:t>
      </w:r>
      <w:r w:rsidR="005A5D9E" w:rsidRPr="00D65133">
        <w:rPr>
          <w:rFonts w:cstheme="majorHAnsi"/>
          <w:lang w:val="en-AU"/>
        </w:rPr>
        <w:t xml:space="preserve">demand. </w:t>
      </w:r>
    </w:p>
    <w:p w14:paraId="0040506F" w14:textId="74475DA9" w:rsidR="00754702" w:rsidRDefault="006E0342" w:rsidP="00F40EF2">
      <w:pPr>
        <w:spacing w:before="120" w:after="120"/>
        <w:rPr>
          <w:rFonts w:cstheme="majorHAnsi"/>
          <w:lang w:val="en-AU"/>
        </w:rPr>
      </w:pPr>
      <w:r>
        <w:rPr>
          <w:rFonts w:cstheme="majorHAnsi"/>
          <w:lang w:val="en-AU"/>
        </w:rPr>
        <w:t xml:space="preserve">There are also several broader changes needed in the areas of migration and social security, including </w:t>
      </w:r>
      <w:r w:rsidR="00041209">
        <w:rPr>
          <w:rFonts w:cstheme="majorHAnsi"/>
          <w:lang w:val="en-AU"/>
        </w:rPr>
        <w:t xml:space="preserve">abolishing </w:t>
      </w:r>
      <w:r>
        <w:rPr>
          <w:rFonts w:cstheme="majorHAnsi"/>
          <w:lang w:val="en-AU"/>
        </w:rPr>
        <w:t>the</w:t>
      </w:r>
      <w:r w:rsidR="00041209">
        <w:rPr>
          <w:rFonts w:cstheme="majorHAnsi"/>
          <w:lang w:val="en-AU"/>
        </w:rPr>
        <w:t xml:space="preserve"> punitive ParentsNext program, increasing the rate of Newstart payments, and addressing </w:t>
      </w:r>
      <w:r w:rsidR="00041209">
        <w:rPr>
          <w:rFonts w:cstheme="majorHAnsi"/>
          <w:lang w:val="en-AU"/>
        </w:rPr>
        <w:lastRenderedPageBreak/>
        <w:t>the critical need for essential services to be provided to women on temporary visas who are facing domestic and family violence.</w:t>
      </w:r>
      <w:r w:rsidR="000C6218">
        <w:rPr>
          <w:rStyle w:val="FootnoteReference"/>
          <w:rFonts w:cstheme="majorHAnsi"/>
          <w:lang w:val="en-AU"/>
        </w:rPr>
        <w:footnoteReference w:id="4"/>
      </w:r>
      <w:r w:rsidR="00041209">
        <w:rPr>
          <w:rFonts w:cstheme="majorHAnsi"/>
          <w:lang w:val="en-AU"/>
        </w:rPr>
        <w:t xml:space="preserve"> </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8"/>
        <w:gridCol w:w="993"/>
        <w:gridCol w:w="1842"/>
        <w:gridCol w:w="18"/>
        <w:gridCol w:w="408"/>
        <w:gridCol w:w="2268"/>
        <w:gridCol w:w="2268"/>
      </w:tblGrid>
      <w:tr w:rsidR="00754702" w:rsidRPr="00F40EF2" w14:paraId="04794B70" w14:textId="77777777" w:rsidTr="0050080D">
        <w:tc>
          <w:tcPr>
            <w:tcW w:w="4531" w:type="dxa"/>
            <w:gridSpan w:val="4"/>
            <w:tc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tcBorders>
            <w:shd w:val="clear" w:color="auto" w:fill="00B050"/>
            <w:vAlign w:val="center"/>
          </w:tcPr>
          <w:p w14:paraId="27B9E2E5" w14:textId="77777777" w:rsidR="00754702" w:rsidRPr="00F40EF2" w:rsidRDefault="00754702" w:rsidP="0050080D">
            <w:pPr>
              <w:jc w:val="center"/>
              <w:rPr>
                <w:rFonts w:ascii="Calibri Light" w:hAnsi="Calibri Light"/>
                <w:b/>
                <w:sz w:val="28"/>
                <w:lang w:val="en-US"/>
              </w:rPr>
            </w:pPr>
            <w:r w:rsidRPr="00F40EF2">
              <w:rPr>
                <w:rFonts w:ascii="Calibri Light" w:hAnsi="Calibri Light"/>
                <w:b/>
                <w:sz w:val="28"/>
                <w:lang w:val="en-US"/>
              </w:rPr>
              <w:t>NEW</w:t>
            </w:r>
          </w:p>
        </w:tc>
        <w:tc>
          <w:tcPr>
            <w:tcW w:w="408" w:type="dxa"/>
            <w:vMerge w:val="restart"/>
            <w:tcBorders>
              <w:left w:val="single" w:sz="18" w:space="0" w:color="AEAAAA" w:themeColor="background2" w:themeShade="BF"/>
              <w:right w:val="single" w:sz="18" w:space="0" w:color="AEAAAA" w:themeColor="background2" w:themeShade="BF"/>
            </w:tcBorders>
            <w:shd w:val="clear" w:color="auto" w:fill="auto"/>
            <w:vAlign w:val="center"/>
          </w:tcPr>
          <w:p w14:paraId="19F39178" w14:textId="77777777" w:rsidR="00754702" w:rsidRPr="00F40EF2" w:rsidRDefault="00754702" w:rsidP="0050080D">
            <w:pPr>
              <w:jc w:val="center"/>
              <w:rPr>
                <w:rFonts w:ascii="Calibri Light" w:hAnsi="Calibri Light"/>
                <w:b/>
                <w:sz w:val="28"/>
                <w:lang w:val="en-US"/>
              </w:rPr>
            </w:pPr>
          </w:p>
        </w:tc>
        <w:tc>
          <w:tcPr>
            <w:tcW w:w="4536" w:type="dxa"/>
            <w:gridSpan w:val="2"/>
            <w:tcBorders>
              <w:top w:val="single" w:sz="18" w:space="0" w:color="AEAAAA" w:themeColor="background2" w:themeShade="BF"/>
              <w:left w:val="single" w:sz="18" w:space="0" w:color="AEAAAA" w:themeColor="background2" w:themeShade="BF"/>
              <w:bottom w:val="single" w:sz="18" w:space="0" w:color="AEAAAA" w:themeColor="background2" w:themeShade="BF"/>
              <w:right w:val="single" w:sz="18" w:space="0" w:color="AEAAAA" w:themeColor="background2" w:themeShade="BF"/>
            </w:tcBorders>
            <w:shd w:val="clear" w:color="auto" w:fill="FF0000"/>
            <w:vAlign w:val="center"/>
          </w:tcPr>
          <w:p w14:paraId="2142385F" w14:textId="0E10149D" w:rsidR="00754702" w:rsidRPr="00F40EF2" w:rsidRDefault="00754702" w:rsidP="0050080D">
            <w:pPr>
              <w:jc w:val="center"/>
              <w:rPr>
                <w:rFonts w:ascii="Calibri Light" w:hAnsi="Calibri Light"/>
                <w:b/>
                <w:sz w:val="28"/>
                <w:lang w:val="en-US"/>
              </w:rPr>
            </w:pPr>
            <w:r w:rsidRPr="00F40EF2">
              <w:rPr>
                <w:rFonts w:ascii="Calibri Light" w:hAnsi="Calibri Light"/>
                <w:b/>
                <w:sz w:val="28"/>
                <w:lang w:val="en-US"/>
              </w:rPr>
              <w:t>GAPS</w:t>
            </w:r>
          </w:p>
        </w:tc>
      </w:tr>
      <w:tr w:rsidR="00754702" w:rsidRPr="00F40EF2" w14:paraId="7606B4DE" w14:textId="77777777" w:rsidTr="0050080D">
        <w:tc>
          <w:tcPr>
            <w:tcW w:w="4531" w:type="dxa"/>
            <w:gridSpan w:val="4"/>
            <w:tcBorders>
              <w:top w:val="single" w:sz="18" w:space="0" w:color="AEAAAA" w:themeColor="background2" w:themeShade="BF"/>
              <w:left w:val="single" w:sz="18" w:space="0" w:color="AEAAAA" w:themeColor="background2" w:themeShade="BF"/>
              <w:bottom w:val="single" w:sz="4" w:space="0" w:color="FFFFFF" w:themeColor="background1"/>
              <w:right w:val="single" w:sz="18" w:space="0" w:color="AEAAAA" w:themeColor="background2" w:themeShade="BF"/>
            </w:tcBorders>
            <w:shd w:val="clear" w:color="auto" w:fill="99FF99"/>
            <w:vAlign w:val="center"/>
          </w:tcPr>
          <w:p w14:paraId="3C4FC0A2" w14:textId="4761B9CA" w:rsidR="00754702" w:rsidRPr="00F40EF2" w:rsidRDefault="0032497B" w:rsidP="0050080D">
            <w:pPr>
              <w:jc w:val="center"/>
              <w:rPr>
                <w:rFonts w:ascii="Calibri Light" w:hAnsi="Calibri Light"/>
                <w:sz w:val="28"/>
                <w:lang w:val="en-US"/>
              </w:rPr>
            </w:pPr>
            <w:r w:rsidRPr="00F40EF2">
              <w:rPr>
                <w:rFonts w:ascii="Calibri Light" w:hAnsi="Calibri Light"/>
                <w:sz w:val="28"/>
                <w:lang w:val="en-US"/>
              </w:rPr>
              <w:t xml:space="preserve">Commonwealth contribution to </w:t>
            </w:r>
            <w:r w:rsidR="00360069" w:rsidRPr="00F40EF2">
              <w:rPr>
                <w:rFonts w:ascii="Calibri Light" w:hAnsi="Calibri Light"/>
                <w:sz w:val="28"/>
                <w:lang w:val="en-US"/>
              </w:rPr>
              <w:t>the</w:t>
            </w:r>
            <w:r w:rsidRPr="00F40EF2">
              <w:rPr>
                <w:rFonts w:ascii="Calibri Light" w:hAnsi="Calibri Light"/>
                <w:sz w:val="28"/>
                <w:lang w:val="en-US"/>
              </w:rPr>
              <w:t xml:space="preserve"> </w:t>
            </w:r>
            <w:r w:rsidR="00754702" w:rsidRPr="00F40EF2">
              <w:rPr>
                <w:rFonts w:ascii="Calibri Light" w:hAnsi="Calibri Light"/>
                <w:b/>
                <w:sz w:val="28"/>
                <w:lang w:val="en-US"/>
              </w:rPr>
              <w:t>Fourth Action Plan</w:t>
            </w:r>
            <w:r w:rsidR="00754702" w:rsidRPr="00F40EF2">
              <w:rPr>
                <w:rFonts w:ascii="Calibri Light" w:hAnsi="Calibri Light"/>
                <w:sz w:val="28"/>
                <w:lang w:val="en-US"/>
              </w:rPr>
              <w:t xml:space="preserve"> of the National Plan to Reduce Violence Against Women and their Children</w:t>
            </w:r>
            <w:r w:rsidRPr="00F40EF2">
              <w:rPr>
                <w:rFonts w:ascii="Calibri Light" w:hAnsi="Calibri Light"/>
                <w:sz w:val="28"/>
                <w:lang w:val="en-US"/>
              </w:rPr>
              <w:t xml:space="preserve"> (new but expected)</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68BD3F11" w14:textId="77777777" w:rsidR="00754702" w:rsidRPr="00F40EF2" w:rsidRDefault="00754702" w:rsidP="0050080D">
            <w:pPr>
              <w:jc w:val="center"/>
              <w:rPr>
                <w:rFonts w:ascii="Calibri Light" w:hAnsi="Calibri Light"/>
                <w:sz w:val="28"/>
                <w:lang w:val="en-US"/>
              </w:rPr>
            </w:pPr>
          </w:p>
        </w:tc>
        <w:tc>
          <w:tcPr>
            <w:tcW w:w="4536" w:type="dxa"/>
            <w:gridSpan w:val="2"/>
            <w:tcBorders>
              <w:top w:val="single" w:sz="18" w:space="0" w:color="AEAAAA" w:themeColor="background2" w:themeShade="BF"/>
              <w:left w:val="single" w:sz="18" w:space="0" w:color="AEAAAA" w:themeColor="background2" w:themeShade="BF"/>
              <w:bottom w:val="single" w:sz="4" w:space="0" w:color="FFFFFF" w:themeColor="background1"/>
              <w:right w:val="single" w:sz="18" w:space="0" w:color="AEAAAA" w:themeColor="background2" w:themeShade="BF"/>
            </w:tcBorders>
            <w:shd w:val="clear" w:color="auto" w:fill="FF7C80"/>
            <w:vAlign w:val="center"/>
          </w:tcPr>
          <w:p w14:paraId="5A9DE27D" w14:textId="3020788B" w:rsidR="00754702" w:rsidRPr="00F40EF2" w:rsidRDefault="00754702" w:rsidP="0050080D">
            <w:pPr>
              <w:jc w:val="center"/>
              <w:rPr>
                <w:rFonts w:ascii="Calibri Light" w:hAnsi="Calibri Light"/>
                <w:sz w:val="28"/>
                <w:lang w:val="en-US"/>
              </w:rPr>
            </w:pPr>
            <w:r w:rsidRPr="00F40EF2">
              <w:rPr>
                <w:rFonts w:ascii="Calibri Light" w:hAnsi="Calibri Light"/>
                <w:sz w:val="28"/>
                <w:lang w:val="en-US"/>
              </w:rPr>
              <w:t xml:space="preserve">Adequate funding to </w:t>
            </w:r>
            <w:r w:rsidRPr="00F40EF2">
              <w:rPr>
                <w:rFonts w:ascii="Calibri Light" w:hAnsi="Calibri Light"/>
                <w:b/>
                <w:sz w:val="28"/>
                <w:lang w:val="en-US"/>
              </w:rPr>
              <w:t>meet the rising demand for specialist women’s services</w:t>
            </w:r>
          </w:p>
        </w:tc>
      </w:tr>
      <w:tr w:rsidR="00F7403A" w:rsidRPr="00F40EF2" w14:paraId="02AAA18A" w14:textId="77777777" w:rsidTr="0050080D">
        <w:tc>
          <w:tcPr>
            <w:tcW w:w="4531" w:type="dxa"/>
            <w:gridSpan w:val="4"/>
            <w:tcBorders>
              <w:top w:val="single" w:sz="4" w:space="0" w:color="FFFFFF" w:themeColor="background1"/>
              <w:left w:val="single" w:sz="18" w:space="0" w:color="AEAAAA" w:themeColor="background2" w:themeShade="BF"/>
              <w:bottom w:val="single" w:sz="4" w:space="0" w:color="FFFFFF" w:themeColor="background1"/>
              <w:right w:val="single" w:sz="18" w:space="0" w:color="AEAAAA" w:themeColor="background2" w:themeShade="BF"/>
            </w:tcBorders>
            <w:shd w:val="clear" w:color="auto" w:fill="99FF99"/>
            <w:vAlign w:val="center"/>
          </w:tcPr>
          <w:p w14:paraId="75AB7AB8" w14:textId="1A4A7073" w:rsidR="00F7403A" w:rsidRPr="00F40EF2" w:rsidRDefault="00F7403A" w:rsidP="0050080D">
            <w:pPr>
              <w:jc w:val="center"/>
              <w:rPr>
                <w:rFonts w:ascii="Calibri Light" w:hAnsi="Calibri Light"/>
                <w:b/>
                <w:sz w:val="28"/>
                <w:lang w:val="en-US"/>
              </w:rPr>
            </w:pPr>
            <w:r w:rsidRPr="00F40EF2">
              <w:rPr>
                <w:rFonts w:ascii="Calibri Light" w:hAnsi="Calibri Light"/>
                <w:b/>
                <w:sz w:val="28"/>
                <w:lang w:val="en-US"/>
              </w:rPr>
              <w:t>Royal Commission into Violence, Abuse, Neglect and Exploitation of People with Disability</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4E8FD875" w14:textId="77777777" w:rsidR="00F7403A" w:rsidRPr="00F40EF2" w:rsidRDefault="00F7403A" w:rsidP="0050080D">
            <w:pPr>
              <w:jc w:val="center"/>
              <w:rPr>
                <w:rFonts w:ascii="Calibri Light" w:hAnsi="Calibri Light"/>
                <w:sz w:val="28"/>
                <w:lang w:val="en-US"/>
              </w:rPr>
            </w:pPr>
          </w:p>
        </w:tc>
        <w:tc>
          <w:tcPr>
            <w:tcW w:w="4536" w:type="dxa"/>
            <w:gridSpan w:val="2"/>
            <w:tcBorders>
              <w:top w:val="single" w:sz="4" w:space="0" w:color="FFFFFF" w:themeColor="background1"/>
              <w:left w:val="single" w:sz="18" w:space="0" w:color="AEAAAA" w:themeColor="background2" w:themeShade="BF"/>
              <w:bottom w:val="single" w:sz="4" w:space="0" w:color="FFFFFF" w:themeColor="background1"/>
              <w:right w:val="single" w:sz="18" w:space="0" w:color="AEAAAA" w:themeColor="background2" w:themeShade="BF"/>
            </w:tcBorders>
            <w:shd w:val="clear" w:color="auto" w:fill="FF7C80"/>
            <w:vAlign w:val="center"/>
          </w:tcPr>
          <w:p w14:paraId="7F6FE4D4" w14:textId="3A9E6A16" w:rsidR="00F7403A" w:rsidRPr="00F40EF2" w:rsidRDefault="00F7403A" w:rsidP="0050080D">
            <w:pPr>
              <w:jc w:val="center"/>
              <w:rPr>
                <w:rFonts w:ascii="Calibri Light" w:hAnsi="Calibri Light"/>
                <w:sz w:val="28"/>
                <w:lang w:val="en-US"/>
              </w:rPr>
            </w:pPr>
            <w:r w:rsidRPr="00F40EF2">
              <w:rPr>
                <w:rFonts w:ascii="Calibri Light" w:hAnsi="Calibri Light"/>
                <w:sz w:val="28"/>
                <w:lang w:val="en-US"/>
              </w:rPr>
              <w:t xml:space="preserve">Adequate indexation for </w:t>
            </w:r>
            <w:r w:rsidRPr="00F40EF2">
              <w:rPr>
                <w:rFonts w:ascii="Calibri Light" w:hAnsi="Calibri Light"/>
                <w:b/>
                <w:sz w:val="28"/>
                <w:lang w:val="en-US"/>
              </w:rPr>
              <w:t>National Women’s Alliances</w:t>
            </w:r>
          </w:p>
        </w:tc>
      </w:tr>
      <w:tr w:rsidR="00754702" w:rsidRPr="00F40EF2" w14:paraId="0F478756" w14:textId="77777777" w:rsidTr="0050080D">
        <w:tc>
          <w:tcPr>
            <w:tcW w:w="2671" w:type="dxa"/>
            <w:gridSpan w:val="2"/>
            <w:tcBorders>
              <w:top w:val="single" w:sz="4" w:space="0" w:color="FFFFFF" w:themeColor="background1"/>
              <w:left w:val="single" w:sz="18" w:space="0" w:color="AEAAAA" w:themeColor="background2" w:themeShade="BF"/>
              <w:bottom w:val="single" w:sz="4" w:space="0" w:color="FFFFFF" w:themeColor="background1"/>
              <w:right w:val="single" w:sz="4" w:space="0" w:color="FFFFFF" w:themeColor="background1"/>
            </w:tcBorders>
            <w:shd w:val="clear" w:color="auto" w:fill="99FF99"/>
            <w:vAlign w:val="center"/>
          </w:tcPr>
          <w:p w14:paraId="7A559238" w14:textId="0E97814E" w:rsidR="00754702" w:rsidRPr="00F40EF2" w:rsidRDefault="0050080D" w:rsidP="0050080D">
            <w:pPr>
              <w:jc w:val="center"/>
              <w:rPr>
                <w:rFonts w:ascii="Calibri Light" w:hAnsi="Calibri Light"/>
                <w:sz w:val="28"/>
                <w:lang w:val="en-US"/>
              </w:rPr>
            </w:pPr>
            <w:r w:rsidRPr="00F40EF2">
              <w:rPr>
                <w:rFonts w:eastAsia="Times New Roman" w:cstheme="majorHAnsi"/>
                <w:b/>
                <w:sz w:val="28"/>
                <w:lang w:val="en-AU" w:eastAsia="en-AU"/>
              </w:rPr>
              <w:t>Single National Mechanism for Commonwealth Legal Assistance</w:t>
            </w:r>
            <w:r w:rsidRPr="00F40EF2">
              <w:rPr>
                <w:rFonts w:ascii="Calibri Light" w:hAnsi="Calibri Light"/>
                <w:sz w:val="28"/>
                <w:lang w:val="en-US"/>
              </w:rPr>
              <w:t xml:space="preserve"> </w:t>
            </w:r>
          </w:p>
        </w:tc>
        <w:tc>
          <w:tcPr>
            <w:tcW w:w="1860" w:type="dxa"/>
            <w:gridSpan w:val="2"/>
            <w:tcBorders>
              <w:top w:val="single" w:sz="4" w:space="0" w:color="FFFFFF" w:themeColor="background1"/>
              <w:left w:val="single" w:sz="4" w:space="0" w:color="FFFFFF" w:themeColor="background1"/>
              <w:bottom w:val="single" w:sz="4" w:space="0" w:color="FFFFFF" w:themeColor="background1"/>
              <w:right w:val="single" w:sz="18" w:space="0" w:color="AEAAAA" w:themeColor="background2" w:themeShade="BF"/>
            </w:tcBorders>
            <w:shd w:val="clear" w:color="auto" w:fill="99FF99"/>
            <w:vAlign w:val="center"/>
          </w:tcPr>
          <w:p w14:paraId="3FD76C00" w14:textId="67AC7A84" w:rsidR="00754702" w:rsidRPr="00F40EF2" w:rsidRDefault="0050080D" w:rsidP="0050080D">
            <w:pPr>
              <w:jc w:val="center"/>
              <w:rPr>
                <w:rFonts w:ascii="Calibri Light" w:hAnsi="Calibri Light"/>
                <w:sz w:val="28"/>
                <w:lang w:val="en-US"/>
              </w:rPr>
            </w:pPr>
            <w:r w:rsidRPr="00F40EF2">
              <w:rPr>
                <w:rFonts w:ascii="Calibri Light" w:hAnsi="Calibri Light"/>
                <w:sz w:val="28"/>
                <w:lang w:val="en-US"/>
              </w:rPr>
              <w:t>Expansion of</w:t>
            </w:r>
            <w:r w:rsidRPr="00F40EF2">
              <w:rPr>
                <w:rFonts w:ascii="Calibri Light" w:hAnsi="Calibri Light"/>
                <w:b/>
                <w:sz w:val="28"/>
                <w:lang w:val="en-US"/>
              </w:rPr>
              <w:t xml:space="preserve"> Family Advocacy and Support Services </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2EDA2501" w14:textId="77777777" w:rsidR="00754702" w:rsidRPr="00F40EF2" w:rsidRDefault="00754702" w:rsidP="0050080D">
            <w:pPr>
              <w:jc w:val="center"/>
              <w:rPr>
                <w:rFonts w:ascii="Calibri Light" w:hAnsi="Calibri Light"/>
                <w:sz w:val="28"/>
                <w:lang w:val="en-US"/>
              </w:rPr>
            </w:pPr>
          </w:p>
        </w:tc>
        <w:tc>
          <w:tcPr>
            <w:tcW w:w="4536" w:type="dxa"/>
            <w:gridSpan w:val="2"/>
            <w:tcBorders>
              <w:top w:val="single" w:sz="4" w:space="0" w:color="FFFFFF" w:themeColor="background1"/>
              <w:left w:val="single" w:sz="18" w:space="0" w:color="AEAAAA" w:themeColor="background2" w:themeShade="BF"/>
              <w:bottom w:val="single" w:sz="4" w:space="0" w:color="FFFFFF" w:themeColor="background1"/>
              <w:right w:val="single" w:sz="18" w:space="0" w:color="AEAAAA" w:themeColor="background2" w:themeShade="BF"/>
            </w:tcBorders>
            <w:shd w:val="clear" w:color="auto" w:fill="FF7C80"/>
            <w:vAlign w:val="center"/>
          </w:tcPr>
          <w:p w14:paraId="13B48463" w14:textId="0780EEF0" w:rsidR="00754702" w:rsidRPr="00F40EF2" w:rsidRDefault="00754702" w:rsidP="0050080D">
            <w:pPr>
              <w:jc w:val="center"/>
              <w:rPr>
                <w:rFonts w:ascii="Calibri Light" w:hAnsi="Calibri Light"/>
                <w:b/>
                <w:sz w:val="28"/>
                <w:lang w:val="en-US"/>
              </w:rPr>
            </w:pPr>
            <w:r w:rsidRPr="00F40EF2">
              <w:rPr>
                <w:rFonts w:ascii="Calibri Light" w:hAnsi="Calibri Light"/>
                <w:sz w:val="28"/>
                <w:lang w:val="en-US"/>
              </w:rPr>
              <w:t xml:space="preserve">Adequate funding to </w:t>
            </w:r>
            <w:r w:rsidRPr="00F40EF2">
              <w:rPr>
                <w:rFonts w:ascii="Calibri Light" w:hAnsi="Calibri Light"/>
                <w:b/>
                <w:sz w:val="28"/>
                <w:lang w:val="en-US"/>
              </w:rPr>
              <w:t>meet the rising demand for specialist homelessness services</w:t>
            </w:r>
          </w:p>
        </w:tc>
      </w:tr>
      <w:tr w:rsidR="00F7403A" w:rsidRPr="00F40EF2" w14:paraId="4B329245" w14:textId="77777777" w:rsidTr="0050080D">
        <w:tc>
          <w:tcPr>
            <w:tcW w:w="2671" w:type="dxa"/>
            <w:gridSpan w:val="2"/>
            <w:vMerge w:val="restart"/>
            <w:tcBorders>
              <w:top w:val="single" w:sz="4" w:space="0" w:color="FFFFFF" w:themeColor="background1"/>
              <w:left w:val="single" w:sz="18" w:space="0" w:color="AEAAAA" w:themeColor="background2" w:themeShade="BF"/>
              <w:right w:val="single" w:sz="4" w:space="0" w:color="FFFFFF" w:themeColor="background1"/>
            </w:tcBorders>
            <w:shd w:val="clear" w:color="auto" w:fill="99FF99"/>
            <w:vAlign w:val="center"/>
          </w:tcPr>
          <w:p w14:paraId="461F98A7" w14:textId="65483738" w:rsidR="00F7403A" w:rsidRPr="00F40EF2" w:rsidRDefault="0050080D" w:rsidP="0050080D">
            <w:pPr>
              <w:jc w:val="center"/>
              <w:rPr>
                <w:rFonts w:ascii="Calibri Light" w:hAnsi="Calibri Light"/>
                <w:b/>
                <w:sz w:val="28"/>
                <w:lang w:val="en-US"/>
              </w:rPr>
            </w:pPr>
            <w:r w:rsidRPr="00F40EF2">
              <w:rPr>
                <w:rFonts w:ascii="Calibri Light" w:hAnsi="Calibri Light"/>
                <w:sz w:val="28"/>
                <w:lang w:val="en-US"/>
              </w:rPr>
              <w:t xml:space="preserve">Additional Funding for the </w:t>
            </w:r>
            <w:r w:rsidRPr="00F40EF2">
              <w:rPr>
                <w:rFonts w:ascii="Calibri Light" w:hAnsi="Calibri Light"/>
                <w:b/>
                <w:sz w:val="28"/>
                <w:lang w:val="en-US"/>
              </w:rPr>
              <w:t>eSafety Commissioner</w:t>
            </w:r>
          </w:p>
        </w:tc>
        <w:tc>
          <w:tcPr>
            <w:tcW w:w="1860" w:type="dxa"/>
            <w:gridSpan w:val="2"/>
            <w:vMerge w:val="restart"/>
            <w:tcBorders>
              <w:top w:val="single" w:sz="4" w:space="0" w:color="FFFFFF" w:themeColor="background1"/>
              <w:left w:val="single" w:sz="4" w:space="0" w:color="FFFFFF" w:themeColor="background1"/>
              <w:right w:val="single" w:sz="18" w:space="0" w:color="AEAAAA" w:themeColor="background2" w:themeShade="BF"/>
            </w:tcBorders>
            <w:shd w:val="clear" w:color="auto" w:fill="99FF99"/>
            <w:vAlign w:val="center"/>
          </w:tcPr>
          <w:p w14:paraId="4530112A" w14:textId="499621CF" w:rsidR="00F7403A" w:rsidRPr="00F40EF2" w:rsidRDefault="0050080D" w:rsidP="0050080D">
            <w:pPr>
              <w:jc w:val="center"/>
              <w:rPr>
                <w:rFonts w:ascii="Calibri Light" w:hAnsi="Calibri Light"/>
                <w:b/>
                <w:sz w:val="28"/>
                <w:lang w:val="en-US"/>
              </w:rPr>
            </w:pPr>
            <w:r w:rsidRPr="00F40EF2">
              <w:rPr>
                <w:rFonts w:ascii="Calibri Light" w:hAnsi="Calibri Light"/>
                <w:b/>
                <w:sz w:val="28"/>
                <w:lang w:val="en-US"/>
              </w:rPr>
              <w:t>Elder Abuse</w:t>
            </w:r>
            <w:r w:rsidRPr="00F40EF2">
              <w:rPr>
                <w:rFonts w:ascii="Calibri Light" w:hAnsi="Calibri Light"/>
                <w:sz w:val="28"/>
                <w:lang w:val="en-US"/>
              </w:rPr>
              <w:t xml:space="preserve"> package</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4CF5BA1E" w14:textId="77777777" w:rsidR="00F7403A" w:rsidRPr="00F40EF2" w:rsidRDefault="00F7403A" w:rsidP="0050080D">
            <w:pPr>
              <w:jc w:val="center"/>
              <w:rPr>
                <w:rFonts w:ascii="Calibri Light" w:hAnsi="Calibri Light"/>
                <w:sz w:val="28"/>
                <w:lang w:val="en-US"/>
              </w:rPr>
            </w:pPr>
          </w:p>
        </w:tc>
        <w:tc>
          <w:tcPr>
            <w:tcW w:w="4536" w:type="dxa"/>
            <w:gridSpan w:val="2"/>
            <w:tcBorders>
              <w:top w:val="single" w:sz="4" w:space="0" w:color="FFFFFF" w:themeColor="background1"/>
              <w:left w:val="single" w:sz="18" w:space="0" w:color="AEAAAA" w:themeColor="background2" w:themeShade="BF"/>
              <w:bottom w:val="single" w:sz="4" w:space="0" w:color="FFFFFF"/>
              <w:right w:val="single" w:sz="18" w:space="0" w:color="AEAAAA" w:themeColor="background2" w:themeShade="BF"/>
            </w:tcBorders>
            <w:shd w:val="clear" w:color="auto" w:fill="FF7C80"/>
            <w:vAlign w:val="center"/>
          </w:tcPr>
          <w:p w14:paraId="46B93BA9" w14:textId="61862C11" w:rsidR="00F7403A" w:rsidRPr="00F40EF2" w:rsidRDefault="00F7403A" w:rsidP="0050080D">
            <w:pPr>
              <w:jc w:val="center"/>
              <w:rPr>
                <w:rFonts w:ascii="Calibri Light" w:hAnsi="Calibri Light"/>
                <w:sz w:val="28"/>
                <w:lang w:val="en-US"/>
              </w:rPr>
            </w:pPr>
            <w:r w:rsidRPr="00F40EF2">
              <w:rPr>
                <w:rFonts w:ascii="Calibri Light" w:hAnsi="Calibri Light"/>
                <w:sz w:val="28"/>
                <w:lang w:val="en-US"/>
              </w:rPr>
              <w:t>Funding for the implementation of the</w:t>
            </w:r>
            <w:r w:rsidRPr="00F40EF2">
              <w:rPr>
                <w:rFonts w:ascii="Calibri Light" w:hAnsi="Calibri Light"/>
                <w:b/>
                <w:sz w:val="28"/>
                <w:lang w:val="en-US"/>
              </w:rPr>
              <w:t xml:space="preserve"> ALRC family law review</w:t>
            </w:r>
          </w:p>
        </w:tc>
      </w:tr>
      <w:tr w:rsidR="00754702" w:rsidRPr="00F40EF2" w14:paraId="2C193590" w14:textId="77777777" w:rsidTr="0050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1" w:type="dxa"/>
            <w:gridSpan w:val="2"/>
            <w:vMerge/>
            <w:tcBorders>
              <w:left w:val="single" w:sz="18" w:space="0" w:color="AEAAAA" w:themeColor="background2" w:themeShade="BF"/>
              <w:bottom w:val="single" w:sz="18" w:space="0" w:color="AEAAAA" w:themeColor="background2" w:themeShade="BF"/>
              <w:right w:val="single" w:sz="4" w:space="0" w:color="FFFFFF" w:themeColor="background1"/>
            </w:tcBorders>
            <w:shd w:val="clear" w:color="auto" w:fill="99FF99"/>
            <w:vAlign w:val="center"/>
          </w:tcPr>
          <w:p w14:paraId="6E222CAB" w14:textId="77777777" w:rsidR="00754702" w:rsidRPr="00F40EF2" w:rsidRDefault="00754702" w:rsidP="0050080D">
            <w:pPr>
              <w:jc w:val="center"/>
              <w:rPr>
                <w:rFonts w:ascii="Calibri Light" w:hAnsi="Calibri Light"/>
                <w:b/>
                <w:sz w:val="28"/>
                <w:lang w:val="en-US"/>
              </w:rPr>
            </w:pPr>
          </w:p>
        </w:tc>
        <w:tc>
          <w:tcPr>
            <w:tcW w:w="1860" w:type="dxa"/>
            <w:gridSpan w:val="2"/>
            <w:vMerge/>
            <w:tcBorders>
              <w:left w:val="single" w:sz="4" w:space="0" w:color="FFFFFF" w:themeColor="background1"/>
              <w:bottom w:val="single" w:sz="18" w:space="0" w:color="AEAAAA" w:themeColor="background2" w:themeShade="BF"/>
              <w:right w:val="single" w:sz="18" w:space="0" w:color="AEAAAA" w:themeColor="background2" w:themeShade="BF"/>
            </w:tcBorders>
            <w:shd w:val="clear" w:color="auto" w:fill="99FF99"/>
            <w:vAlign w:val="center"/>
          </w:tcPr>
          <w:p w14:paraId="30188087" w14:textId="77777777" w:rsidR="00754702" w:rsidRPr="00F40EF2" w:rsidRDefault="00754702" w:rsidP="0050080D">
            <w:pPr>
              <w:jc w:val="center"/>
              <w:rPr>
                <w:rFonts w:ascii="Calibri Light" w:hAnsi="Calibri Light"/>
                <w:b/>
                <w:sz w:val="28"/>
                <w:lang w:val="en-US"/>
              </w:rPr>
            </w:pPr>
          </w:p>
        </w:tc>
        <w:tc>
          <w:tcPr>
            <w:tcW w:w="408" w:type="dxa"/>
            <w:vMerge/>
            <w:tcBorders>
              <w:top w:val="nil"/>
              <w:left w:val="single" w:sz="18" w:space="0" w:color="AEAAAA" w:themeColor="background2" w:themeShade="BF"/>
              <w:bottom w:val="nil"/>
              <w:right w:val="single" w:sz="18" w:space="0" w:color="AEAAAA" w:themeColor="background2" w:themeShade="BF"/>
            </w:tcBorders>
            <w:shd w:val="clear" w:color="auto" w:fill="auto"/>
            <w:vAlign w:val="center"/>
          </w:tcPr>
          <w:p w14:paraId="1F460EAB" w14:textId="77777777" w:rsidR="00754702" w:rsidRPr="00F40EF2" w:rsidRDefault="00754702" w:rsidP="0050080D">
            <w:pPr>
              <w:jc w:val="center"/>
              <w:rPr>
                <w:rFonts w:ascii="Calibri Light" w:hAnsi="Calibri Light"/>
                <w:sz w:val="28"/>
                <w:lang w:val="en-US"/>
              </w:rPr>
            </w:pPr>
          </w:p>
        </w:tc>
        <w:tc>
          <w:tcPr>
            <w:tcW w:w="2268" w:type="dxa"/>
            <w:tcBorders>
              <w:top w:val="single" w:sz="4" w:space="0" w:color="FFFFFF"/>
              <w:left w:val="single" w:sz="18" w:space="0" w:color="AEAAAA" w:themeColor="background2" w:themeShade="BF"/>
              <w:bottom w:val="single" w:sz="18" w:space="0" w:color="AEAAAA" w:themeColor="background2" w:themeShade="BF"/>
              <w:right w:val="single" w:sz="4" w:space="0" w:color="FFFFFF" w:themeColor="background1"/>
            </w:tcBorders>
            <w:shd w:val="clear" w:color="auto" w:fill="FF7C80"/>
            <w:vAlign w:val="center"/>
          </w:tcPr>
          <w:p w14:paraId="37077DCE" w14:textId="09F1E0B4" w:rsidR="00754702" w:rsidRPr="00F40EF2" w:rsidRDefault="00754702" w:rsidP="0050080D">
            <w:pPr>
              <w:jc w:val="center"/>
              <w:rPr>
                <w:rFonts w:ascii="Calibri Light" w:hAnsi="Calibri Light"/>
                <w:b/>
                <w:sz w:val="28"/>
                <w:lang w:val="en-US"/>
              </w:rPr>
            </w:pPr>
            <w:r w:rsidRPr="00F40EF2">
              <w:rPr>
                <w:rFonts w:ascii="Calibri Light" w:hAnsi="Calibri Light"/>
                <w:sz w:val="28"/>
                <w:lang w:val="en-US"/>
              </w:rPr>
              <w:t xml:space="preserve">Focus on keeping </w:t>
            </w:r>
            <w:r w:rsidRPr="00F40EF2">
              <w:rPr>
                <w:rFonts w:ascii="Calibri Light" w:hAnsi="Calibri Light"/>
                <w:b/>
                <w:sz w:val="28"/>
                <w:lang w:val="en-US"/>
              </w:rPr>
              <w:t>perpetrators accountable</w:t>
            </w:r>
          </w:p>
        </w:tc>
        <w:tc>
          <w:tcPr>
            <w:tcW w:w="2268" w:type="dxa"/>
            <w:tcBorders>
              <w:top w:val="single" w:sz="4" w:space="0" w:color="FFFFFF"/>
              <w:left w:val="single" w:sz="4" w:space="0" w:color="FFFFFF" w:themeColor="background1"/>
              <w:bottom w:val="single" w:sz="4" w:space="0" w:color="FFFFFF" w:themeColor="background1"/>
              <w:right w:val="single" w:sz="18" w:space="0" w:color="AEAAAA" w:themeColor="background2" w:themeShade="BF"/>
            </w:tcBorders>
            <w:shd w:val="clear" w:color="auto" w:fill="FF7C80"/>
            <w:vAlign w:val="center"/>
          </w:tcPr>
          <w:p w14:paraId="7599E5FE" w14:textId="1A9C34D5" w:rsidR="00754702" w:rsidRPr="00F40EF2" w:rsidRDefault="00360069" w:rsidP="0050080D">
            <w:pPr>
              <w:jc w:val="center"/>
              <w:rPr>
                <w:rFonts w:ascii="Calibri Light" w:hAnsi="Calibri Light"/>
                <w:b/>
                <w:sz w:val="28"/>
                <w:lang w:val="en-US"/>
              </w:rPr>
            </w:pPr>
            <w:r w:rsidRPr="00F40EF2">
              <w:rPr>
                <w:rFonts w:ascii="Calibri Light" w:hAnsi="Calibri Light"/>
                <w:sz w:val="28"/>
                <w:szCs w:val="32"/>
                <w:lang w:val="en-US"/>
              </w:rPr>
              <w:t xml:space="preserve">Adequate funding to </w:t>
            </w:r>
            <w:r w:rsidRPr="00F40EF2">
              <w:rPr>
                <w:rFonts w:ascii="Calibri Light" w:hAnsi="Calibri Light"/>
                <w:b/>
                <w:sz w:val="28"/>
                <w:szCs w:val="32"/>
                <w:lang w:val="en-US"/>
              </w:rPr>
              <w:t>Family Violence Prevention Legal Services</w:t>
            </w:r>
            <w:r w:rsidRPr="00F40EF2">
              <w:rPr>
                <w:rFonts w:ascii="Calibri Light" w:hAnsi="Calibri Light"/>
                <w:sz w:val="28"/>
                <w:lang w:val="en-US"/>
              </w:rPr>
              <w:t xml:space="preserve"> </w:t>
            </w:r>
          </w:p>
        </w:tc>
      </w:tr>
      <w:tr w:rsidR="00754702" w:rsidRPr="00F40EF2" w14:paraId="04053677" w14:textId="77777777" w:rsidTr="0050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3" w:type="dxa"/>
            <w:gridSpan w:val="3"/>
            <w:tcBorders>
              <w:top w:val="single" w:sz="18" w:space="0" w:color="AEAAAA" w:themeColor="background2" w:themeShade="BF"/>
              <w:left w:val="nil"/>
              <w:bottom w:val="single" w:sz="18" w:space="0" w:color="AEAAAA" w:themeColor="background2" w:themeShade="BF"/>
              <w:right w:val="nil"/>
            </w:tcBorders>
            <w:shd w:val="clear" w:color="auto" w:fill="auto"/>
            <w:vAlign w:val="center"/>
          </w:tcPr>
          <w:p w14:paraId="47114F49" w14:textId="77777777" w:rsidR="00754702" w:rsidRPr="00F40EF2" w:rsidRDefault="00754702" w:rsidP="0050080D">
            <w:pPr>
              <w:jc w:val="center"/>
              <w:rPr>
                <w:rFonts w:ascii="Calibri Light" w:hAnsi="Calibri Light"/>
                <w:b/>
                <w:sz w:val="28"/>
                <w:lang w:val="en-US"/>
              </w:rPr>
            </w:pPr>
          </w:p>
        </w:tc>
        <w:tc>
          <w:tcPr>
            <w:tcW w:w="426" w:type="dxa"/>
            <w:gridSpan w:val="2"/>
            <w:tcBorders>
              <w:top w:val="nil"/>
              <w:left w:val="nil"/>
              <w:bottom w:val="nil"/>
              <w:right w:val="nil"/>
            </w:tcBorders>
            <w:shd w:val="clear" w:color="auto" w:fill="auto"/>
            <w:vAlign w:val="center"/>
          </w:tcPr>
          <w:p w14:paraId="7E1B78C9" w14:textId="77777777" w:rsidR="00754702" w:rsidRPr="00F40EF2" w:rsidRDefault="00754702" w:rsidP="0050080D">
            <w:pPr>
              <w:jc w:val="center"/>
              <w:rPr>
                <w:rFonts w:ascii="Calibri Light" w:hAnsi="Calibri Light"/>
                <w:b/>
                <w:sz w:val="28"/>
                <w:lang w:val="en-US"/>
              </w:rPr>
            </w:pPr>
          </w:p>
        </w:tc>
        <w:tc>
          <w:tcPr>
            <w:tcW w:w="4536" w:type="dxa"/>
            <w:gridSpan w:val="2"/>
            <w:tcBorders>
              <w:top w:val="single" w:sz="18" w:space="0" w:color="AEAAAA" w:themeColor="background2" w:themeShade="BF"/>
              <w:left w:val="nil"/>
              <w:bottom w:val="single" w:sz="18" w:space="0" w:color="AEAAAA" w:themeColor="background2" w:themeShade="BF"/>
              <w:right w:val="nil"/>
            </w:tcBorders>
            <w:shd w:val="clear" w:color="auto" w:fill="auto"/>
            <w:vAlign w:val="center"/>
          </w:tcPr>
          <w:p w14:paraId="400B13D9" w14:textId="40B6FCE9" w:rsidR="00754702" w:rsidRPr="00F40EF2" w:rsidRDefault="00754702" w:rsidP="0050080D">
            <w:pPr>
              <w:jc w:val="center"/>
              <w:rPr>
                <w:rFonts w:ascii="Calibri Light" w:hAnsi="Calibri Light"/>
                <w:b/>
                <w:sz w:val="28"/>
                <w:lang w:val="en-US"/>
              </w:rPr>
            </w:pPr>
          </w:p>
        </w:tc>
      </w:tr>
      <w:tr w:rsidR="00754702" w:rsidRPr="00F40EF2" w14:paraId="10FB02BF" w14:textId="77777777" w:rsidTr="0050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4"/>
            <w:tcBorders>
              <w:top w:val="nil"/>
              <w:left w:val="single" w:sz="18" w:space="0" w:color="AEAAAA" w:themeColor="background2" w:themeShade="BF"/>
              <w:bottom w:val="single" w:sz="18" w:space="0" w:color="AEAAAA" w:themeColor="background2" w:themeShade="BF"/>
              <w:right w:val="single" w:sz="18" w:space="0" w:color="AEAAAA" w:themeColor="background2" w:themeShade="BF"/>
            </w:tcBorders>
            <w:shd w:val="clear" w:color="auto" w:fill="CC00CC"/>
            <w:vAlign w:val="center"/>
          </w:tcPr>
          <w:p w14:paraId="5E28AB8E" w14:textId="77777777" w:rsidR="00754702" w:rsidRPr="00F40EF2" w:rsidRDefault="00754702" w:rsidP="0050080D">
            <w:pPr>
              <w:jc w:val="center"/>
              <w:rPr>
                <w:rFonts w:ascii="Calibri Light" w:hAnsi="Calibri Light"/>
                <w:sz w:val="28"/>
                <w:lang w:val="en-US"/>
              </w:rPr>
            </w:pPr>
            <w:r w:rsidRPr="00F40EF2">
              <w:rPr>
                <w:rFonts w:ascii="Calibri Light" w:hAnsi="Calibri Light"/>
                <w:b/>
                <w:sz w:val="28"/>
                <w:lang w:val="en-US"/>
              </w:rPr>
              <w:t>ONGOING</w:t>
            </w:r>
          </w:p>
        </w:tc>
        <w:tc>
          <w:tcPr>
            <w:tcW w:w="408" w:type="dxa"/>
            <w:vMerge w:val="restart"/>
            <w:tcBorders>
              <w:top w:val="nil"/>
              <w:left w:val="single" w:sz="18" w:space="0" w:color="AEAAAA" w:themeColor="background2" w:themeShade="BF"/>
              <w:bottom w:val="nil"/>
              <w:right w:val="single" w:sz="18" w:space="0" w:color="AEAAAA" w:themeColor="background2" w:themeShade="BF"/>
            </w:tcBorders>
            <w:shd w:val="clear" w:color="auto" w:fill="auto"/>
            <w:vAlign w:val="center"/>
          </w:tcPr>
          <w:p w14:paraId="61907A8D" w14:textId="77777777" w:rsidR="00754702" w:rsidRPr="00F40EF2" w:rsidRDefault="00754702" w:rsidP="0050080D">
            <w:pPr>
              <w:jc w:val="center"/>
              <w:rPr>
                <w:rFonts w:ascii="Calibri Light" w:hAnsi="Calibri Light"/>
                <w:b/>
                <w:sz w:val="28"/>
                <w:lang w:val="en-US"/>
              </w:rPr>
            </w:pPr>
          </w:p>
        </w:tc>
        <w:tc>
          <w:tcPr>
            <w:tcW w:w="4536" w:type="dxa"/>
            <w:gridSpan w:val="2"/>
            <w:tcBorders>
              <w:top w:val="single" w:sz="18" w:space="0" w:color="AEAAAA" w:themeColor="background2" w:themeShade="BF"/>
              <w:left w:val="single" w:sz="18" w:space="0" w:color="AEAAAA" w:themeColor="background2" w:themeShade="BF"/>
              <w:bottom w:val="single" w:sz="18" w:space="0" w:color="D0CECE" w:themeColor="background2" w:themeShade="E6"/>
              <w:right w:val="single" w:sz="18" w:space="0" w:color="AEAAAA" w:themeColor="background2" w:themeShade="BF"/>
            </w:tcBorders>
            <w:shd w:val="clear" w:color="auto" w:fill="FF9900"/>
            <w:vAlign w:val="center"/>
          </w:tcPr>
          <w:p w14:paraId="594A430C" w14:textId="5DAD6F37" w:rsidR="00754702" w:rsidRPr="00F40EF2" w:rsidRDefault="00754702" w:rsidP="0050080D">
            <w:pPr>
              <w:jc w:val="center"/>
              <w:rPr>
                <w:rFonts w:ascii="Calibri Light" w:hAnsi="Calibri Light"/>
                <w:sz w:val="28"/>
                <w:lang w:val="en-US"/>
              </w:rPr>
            </w:pPr>
            <w:r w:rsidRPr="00F40EF2">
              <w:rPr>
                <w:rFonts w:ascii="Calibri Light" w:hAnsi="Calibri Light"/>
                <w:b/>
                <w:sz w:val="28"/>
                <w:lang w:val="en-US"/>
              </w:rPr>
              <w:t>CONCERNS</w:t>
            </w:r>
          </w:p>
        </w:tc>
      </w:tr>
      <w:tr w:rsidR="00754702" w:rsidRPr="00F40EF2" w14:paraId="49FC349A" w14:textId="77777777" w:rsidTr="0050080D">
        <w:trPr>
          <w:trHeight w:val="597"/>
        </w:trPr>
        <w:tc>
          <w:tcPr>
            <w:tcW w:w="4531" w:type="dxa"/>
            <w:gridSpan w:val="4"/>
            <w:tcBorders>
              <w:top w:val="single" w:sz="18" w:space="0" w:color="AEAAAA" w:themeColor="background2" w:themeShade="BF"/>
              <w:left w:val="single" w:sz="18" w:space="0" w:color="AEAAAA" w:themeColor="background2" w:themeShade="BF"/>
              <w:right w:val="single" w:sz="18" w:space="0" w:color="AEAAAA" w:themeColor="background2" w:themeShade="BF"/>
            </w:tcBorders>
            <w:shd w:val="clear" w:color="auto" w:fill="CC99FF"/>
            <w:vAlign w:val="center"/>
          </w:tcPr>
          <w:p w14:paraId="08A515A2" w14:textId="77777777" w:rsidR="00754702" w:rsidRPr="00F40EF2" w:rsidRDefault="00754702" w:rsidP="0050080D">
            <w:pPr>
              <w:jc w:val="center"/>
              <w:rPr>
                <w:rFonts w:ascii="Calibri Light" w:hAnsi="Calibri Light"/>
                <w:b/>
                <w:sz w:val="28"/>
                <w:lang w:val="en-US"/>
              </w:rPr>
            </w:pPr>
            <w:r w:rsidRPr="00F40EF2">
              <w:rPr>
                <w:rFonts w:ascii="Calibri Light" w:hAnsi="Calibri Light"/>
                <w:b/>
                <w:sz w:val="28"/>
                <w:lang w:val="en-US"/>
              </w:rPr>
              <w:t>Baseline National Plan funding</w:t>
            </w:r>
            <w:r w:rsidRPr="00F40EF2">
              <w:rPr>
                <w:rFonts w:ascii="Calibri Light" w:hAnsi="Calibri Light"/>
                <w:sz w:val="28"/>
                <w:lang w:val="en-US"/>
              </w:rPr>
              <w:t xml:space="preserve"> (DSS)</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518652CC" w14:textId="77777777" w:rsidR="00754702" w:rsidRPr="00F40EF2" w:rsidRDefault="00754702" w:rsidP="0050080D">
            <w:pPr>
              <w:jc w:val="center"/>
              <w:rPr>
                <w:rFonts w:ascii="Calibri Light" w:hAnsi="Calibri Light"/>
                <w:b/>
                <w:sz w:val="28"/>
                <w:lang w:val="en-US"/>
              </w:rPr>
            </w:pPr>
          </w:p>
        </w:tc>
        <w:tc>
          <w:tcPr>
            <w:tcW w:w="4536" w:type="dxa"/>
            <w:gridSpan w:val="2"/>
            <w:tcBorders>
              <w:top w:val="single" w:sz="18" w:space="0" w:color="D0CECE" w:themeColor="background2" w:themeShade="E6"/>
              <w:left w:val="single" w:sz="18" w:space="0" w:color="AEAAAA" w:themeColor="background2" w:themeShade="BF"/>
              <w:right w:val="single" w:sz="18" w:space="0" w:color="AEAAAA" w:themeColor="background2" w:themeShade="BF"/>
            </w:tcBorders>
            <w:shd w:val="clear" w:color="auto" w:fill="FFCC66"/>
            <w:vAlign w:val="center"/>
          </w:tcPr>
          <w:p w14:paraId="403B9CD4" w14:textId="75A3A146" w:rsidR="00754702" w:rsidRPr="00F40EF2" w:rsidRDefault="00754702" w:rsidP="0050080D">
            <w:pPr>
              <w:jc w:val="center"/>
              <w:rPr>
                <w:rFonts w:ascii="Calibri Light" w:hAnsi="Calibri Light"/>
                <w:b/>
                <w:sz w:val="28"/>
                <w:lang w:val="en-US"/>
              </w:rPr>
            </w:pPr>
            <w:r w:rsidRPr="00F40EF2">
              <w:rPr>
                <w:rFonts w:ascii="Calibri Light" w:hAnsi="Calibri Light"/>
                <w:b/>
                <w:sz w:val="28"/>
                <w:lang w:val="en-US"/>
              </w:rPr>
              <w:t xml:space="preserve">Funding to family violence service that </w:t>
            </w:r>
            <w:r w:rsidR="0032497B" w:rsidRPr="00F40EF2">
              <w:rPr>
                <w:rFonts w:ascii="Calibri Light" w:hAnsi="Calibri Light"/>
                <w:b/>
                <w:sz w:val="28"/>
                <w:lang w:val="en-US"/>
              </w:rPr>
              <w:t xml:space="preserve">may </w:t>
            </w:r>
            <w:r w:rsidRPr="00F40EF2">
              <w:rPr>
                <w:rFonts w:ascii="Calibri Light" w:hAnsi="Calibri Light"/>
                <w:b/>
                <w:sz w:val="28"/>
                <w:lang w:val="en-US"/>
              </w:rPr>
              <w:t>not have gender expertise</w:t>
            </w:r>
          </w:p>
        </w:tc>
      </w:tr>
      <w:tr w:rsidR="00754702" w:rsidRPr="00F40EF2" w14:paraId="058DBDA9" w14:textId="77777777" w:rsidTr="0050080D">
        <w:trPr>
          <w:trHeight w:val="366"/>
        </w:trPr>
        <w:tc>
          <w:tcPr>
            <w:tcW w:w="4531" w:type="dxa"/>
            <w:gridSpan w:val="4"/>
            <w:tcBorders>
              <w:top w:val="single" w:sz="4" w:space="0" w:color="FFFFFF" w:themeColor="background1"/>
              <w:left w:val="single" w:sz="18" w:space="0" w:color="AEAAAA" w:themeColor="background2" w:themeShade="BF"/>
              <w:bottom w:val="single" w:sz="4" w:space="0" w:color="F2F2F2" w:themeColor="background1" w:themeShade="F2"/>
              <w:right w:val="single" w:sz="18" w:space="0" w:color="AEAAAA" w:themeColor="background2" w:themeShade="BF"/>
            </w:tcBorders>
            <w:shd w:val="clear" w:color="auto" w:fill="CC99FF"/>
            <w:vAlign w:val="center"/>
          </w:tcPr>
          <w:p w14:paraId="6B7ACBA3" w14:textId="77777777" w:rsidR="00754702" w:rsidRPr="00F40EF2" w:rsidRDefault="00754702" w:rsidP="0050080D">
            <w:pPr>
              <w:jc w:val="center"/>
              <w:rPr>
                <w:rFonts w:ascii="Calibri Light" w:hAnsi="Calibri Light"/>
                <w:b/>
                <w:sz w:val="28"/>
                <w:lang w:val="en-US"/>
              </w:rPr>
            </w:pPr>
            <w:r w:rsidRPr="00F40EF2">
              <w:rPr>
                <w:rFonts w:ascii="Calibri Light" w:hAnsi="Calibri Light"/>
                <w:b/>
                <w:sz w:val="28"/>
                <w:lang w:val="en-US"/>
              </w:rPr>
              <w:t xml:space="preserve">Family law system funding </w:t>
            </w:r>
            <w:r w:rsidRPr="00F40EF2">
              <w:rPr>
                <w:rFonts w:ascii="Calibri Light" w:hAnsi="Calibri Light"/>
                <w:sz w:val="28"/>
                <w:lang w:val="en-US"/>
              </w:rPr>
              <w:t>(AGD)</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45698D81" w14:textId="77777777" w:rsidR="00754702" w:rsidRPr="00F40EF2" w:rsidRDefault="00754702" w:rsidP="0050080D">
            <w:pPr>
              <w:jc w:val="center"/>
              <w:rPr>
                <w:rFonts w:ascii="Calibri Light" w:hAnsi="Calibri Light"/>
                <w:sz w:val="28"/>
                <w:lang w:val="en-US"/>
              </w:rPr>
            </w:pPr>
          </w:p>
        </w:tc>
        <w:tc>
          <w:tcPr>
            <w:tcW w:w="4536" w:type="dxa"/>
            <w:gridSpan w:val="2"/>
            <w:tcBorders>
              <w:top w:val="single" w:sz="4" w:space="0" w:color="FFFFFF" w:themeColor="background1"/>
              <w:left w:val="single" w:sz="18" w:space="0" w:color="AEAAAA" w:themeColor="background2" w:themeShade="BF"/>
              <w:bottom w:val="single" w:sz="4" w:space="0" w:color="F2F2F2" w:themeColor="background1" w:themeShade="F2"/>
              <w:right w:val="single" w:sz="18" w:space="0" w:color="AEAAAA" w:themeColor="background2" w:themeShade="BF"/>
            </w:tcBorders>
            <w:shd w:val="clear" w:color="auto" w:fill="FFCC66"/>
            <w:vAlign w:val="center"/>
          </w:tcPr>
          <w:p w14:paraId="60E3284B" w14:textId="29232C5C" w:rsidR="00754702" w:rsidRPr="00F40EF2" w:rsidRDefault="00754702" w:rsidP="0050080D">
            <w:pPr>
              <w:jc w:val="center"/>
              <w:rPr>
                <w:rFonts w:ascii="Calibri Light" w:hAnsi="Calibri Light"/>
                <w:b/>
                <w:sz w:val="28"/>
                <w:lang w:val="en-AU"/>
              </w:rPr>
            </w:pPr>
            <w:r w:rsidRPr="00F40EF2">
              <w:rPr>
                <w:rFonts w:ascii="Calibri Light" w:hAnsi="Calibri Light"/>
                <w:sz w:val="28"/>
                <w:lang w:val="en-US"/>
              </w:rPr>
              <w:t>Extension of</w:t>
            </w:r>
            <w:r w:rsidRPr="00F40EF2">
              <w:rPr>
                <w:rFonts w:ascii="Calibri Light" w:hAnsi="Calibri Light"/>
                <w:b/>
                <w:sz w:val="28"/>
                <w:lang w:val="en-US"/>
              </w:rPr>
              <w:t xml:space="preserve"> Cashless debit cards</w:t>
            </w:r>
            <w:r w:rsidRPr="00F40EF2">
              <w:rPr>
                <w:rFonts w:ascii="Calibri Light" w:hAnsi="Calibri Light"/>
                <w:sz w:val="28"/>
                <w:lang w:val="en-US"/>
              </w:rPr>
              <w:t xml:space="preserve"> trial</w:t>
            </w:r>
          </w:p>
        </w:tc>
      </w:tr>
      <w:tr w:rsidR="00754702" w:rsidRPr="00F40EF2" w14:paraId="320C4836" w14:textId="77777777" w:rsidTr="0050080D">
        <w:tc>
          <w:tcPr>
            <w:tcW w:w="1678" w:type="dxa"/>
            <w:tcBorders>
              <w:top w:val="single" w:sz="4" w:space="0" w:color="F2F2F2" w:themeColor="background1" w:themeShade="F2"/>
              <w:left w:val="single" w:sz="18" w:space="0" w:color="AEAAAA" w:themeColor="background2" w:themeShade="BF"/>
              <w:bottom w:val="single" w:sz="18" w:space="0" w:color="AEAAAA" w:themeColor="background2" w:themeShade="BF"/>
              <w:right w:val="single" w:sz="4" w:space="0" w:color="F2F2F2" w:themeColor="background1" w:themeShade="F2"/>
            </w:tcBorders>
            <w:shd w:val="clear" w:color="auto" w:fill="CC99FF"/>
            <w:vAlign w:val="center"/>
          </w:tcPr>
          <w:p w14:paraId="29B1ABE7" w14:textId="77777777" w:rsidR="00754702" w:rsidRPr="00F40EF2" w:rsidRDefault="00754702" w:rsidP="0050080D">
            <w:pPr>
              <w:jc w:val="center"/>
              <w:rPr>
                <w:rFonts w:ascii="Calibri Light" w:hAnsi="Calibri Light"/>
                <w:sz w:val="28"/>
                <w:lang w:val="en-US"/>
              </w:rPr>
            </w:pPr>
            <w:r w:rsidRPr="00F40EF2">
              <w:rPr>
                <w:rFonts w:ascii="Calibri Light" w:hAnsi="Calibri Light"/>
                <w:b/>
                <w:sz w:val="28"/>
                <w:lang w:val="en-US"/>
              </w:rPr>
              <w:t xml:space="preserve">Legal Assistance Funding </w:t>
            </w:r>
            <w:r w:rsidRPr="00F40EF2">
              <w:rPr>
                <w:rFonts w:ascii="Calibri Light" w:hAnsi="Calibri Light"/>
                <w:sz w:val="28"/>
                <w:lang w:val="en-US"/>
              </w:rPr>
              <w:t>(AGD)</w:t>
            </w:r>
          </w:p>
        </w:tc>
        <w:tc>
          <w:tcPr>
            <w:tcW w:w="2853" w:type="dxa"/>
            <w:gridSpan w:val="3"/>
            <w:tcBorders>
              <w:top w:val="single" w:sz="4" w:space="0" w:color="F2F2F2" w:themeColor="background1" w:themeShade="F2"/>
              <w:left w:val="single" w:sz="4" w:space="0" w:color="F2F2F2" w:themeColor="background1" w:themeShade="F2"/>
              <w:bottom w:val="single" w:sz="18" w:space="0" w:color="AEAAAA" w:themeColor="background2" w:themeShade="BF"/>
              <w:right w:val="single" w:sz="18" w:space="0" w:color="AEAAAA" w:themeColor="background2" w:themeShade="BF"/>
            </w:tcBorders>
            <w:shd w:val="clear" w:color="auto" w:fill="CC99FF"/>
            <w:vAlign w:val="center"/>
          </w:tcPr>
          <w:p w14:paraId="201C768A" w14:textId="77777777" w:rsidR="00754702" w:rsidRPr="00F40EF2" w:rsidRDefault="00754702" w:rsidP="0050080D">
            <w:pPr>
              <w:jc w:val="center"/>
              <w:rPr>
                <w:rFonts w:ascii="Calibri Light" w:hAnsi="Calibri Light"/>
                <w:sz w:val="28"/>
                <w:lang w:val="en-US"/>
              </w:rPr>
            </w:pPr>
            <w:r w:rsidRPr="00F40EF2">
              <w:rPr>
                <w:rFonts w:ascii="Calibri Light" w:hAnsi="Calibri Light"/>
                <w:sz w:val="28"/>
                <w:lang w:val="en-US"/>
              </w:rPr>
              <w:t xml:space="preserve">Funding for </w:t>
            </w:r>
            <w:r w:rsidRPr="00F40EF2">
              <w:rPr>
                <w:rFonts w:ascii="Calibri Light" w:hAnsi="Calibri Light"/>
                <w:b/>
                <w:sz w:val="28"/>
                <w:lang w:val="en-US"/>
              </w:rPr>
              <w:t>National Housing and Homelessness Agreement</w:t>
            </w:r>
          </w:p>
        </w:tc>
        <w:tc>
          <w:tcPr>
            <w:tcW w:w="408" w:type="dxa"/>
            <w:vMerge/>
            <w:tcBorders>
              <w:left w:val="single" w:sz="18" w:space="0" w:color="AEAAAA" w:themeColor="background2" w:themeShade="BF"/>
              <w:right w:val="single" w:sz="18" w:space="0" w:color="AEAAAA" w:themeColor="background2" w:themeShade="BF"/>
            </w:tcBorders>
            <w:shd w:val="clear" w:color="auto" w:fill="auto"/>
            <w:vAlign w:val="center"/>
          </w:tcPr>
          <w:p w14:paraId="5B240764" w14:textId="77777777" w:rsidR="00754702" w:rsidRPr="00F40EF2" w:rsidRDefault="00754702" w:rsidP="0050080D">
            <w:pPr>
              <w:jc w:val="center"/>
              <w:rPr>
                <w:rFonts w:ascii="Calibri Light" w:hAnsi="Calibri Light"/>
                <w:b/>
                <w:sz w:val="28"/>
                <w:lang w:val="en-AU"/>
              </w:rPr>
            </w:pPr>
          </w:p>
        </w:tc>
        <w:tc>
          <w:tcPr>
            <w:tcW w:w="4536" w:type="dxa"/>
            <w:gridSpan w:val="2"/>
            <w:tcBorders>
              <w:top w:val="single" w:sz="4" w:space="0" w:color="F2F2F2" w:themeColor="background1" w:themeShade="F2"/>
              <w:left w:val="single" w:sz="18" w:space="0" w:color="AEAAAA" w:themeColor="background2" w:themeShade="BF"/>
              <w:bottom w:val="single" w:sz="18" w:space="0" w:color="AEAAAA" w:themeColor="background2" w:themeShade="BF"/>
              <w:right w:val="single" w:sz="18" w:space="0" w:color="AEAAAA" w:themeColor="background2" w:themeShade="BF"/>
            </w:tcBorders>
            <w:shd w:val="clear" w:color="auto" w:fill="FFCC66"/>
            <w:vAlign w:val="center"/>
          </w:tcPr>
          <w:p w14:paraId="7EFC59C1" w14:textId="216EE8BA" w:rsidR="00754702" w:rsidRPr="00F40EF2" w:rsidRDefault="00754702" w:rsidP="0050080D">
            <w:pPr>
              <w:jc w:val="center"/>
              <w:rPr>
                <w:rFonts w:ascii="Calibri Light" w:hAnsi="Calibri Light"/>
                <w:sz w:val="28"/>
                <w:lang w:val="en-AU"/>
              </w:rPr>
            </w:pPr>
            <w:r w:rsidRPr="00F40EF2">
              <w:rPr>
                <w:rFonts w:eastAsia="Times New Roman" w:cstheme="majorHAnsi"/>
                <w:b/>
                <w:sz w:val="28"/>
                <w:lang w:val="en-AU" w:eastAsia="en-AU"/>
              </w:rPr>
              <w:t>Aboriginal and Torres Strait Islander Legal Services</w:t>
            </w:r>
            <w:r w:rsidRPr="00F40EF2">
              <w:rPr>
                <w:rFonts w:eastAsia="Times New Roman" w:cstheme="majorHAnsi"/>
                <w:sz w:val="28"/>
                <w:lang w:val="en-AU" w:eastAsia="en-AU"/>
              </w:rPr>
              <w:t xml:space="preserve"> </w:t>
            </w:r>
            <w:r w:rsidR="00EA628D" w:rsidRPr="00F40EF2">
              <w:rPr>
                <w:rFonts w:eastAsia="Times New Roman" w:cstheme="majorHAnsi"/>
                <w:b/>
                <w:sz w:val="28"/>
                <w:lang w:val="en-AU" w:eastAsia="en-AU"/>
              </w:rPr>
              <w:t>to be subsumed</w:t>
            </w:r>
            <w:r w:rsidR="00EA628D" w:rsidRPr="00F40EF2">
              <w:rPr>
                <w:rFonts w:eastAsia="Times New Roman" w:cstheme="majorHAnsi"/>
                <w:sz w:val="28"/>
                <w:lang w:val="en-AU" w:eastAsia="en-AU"/>
              </w:rPr>
              <w:t xml:space="preserve"> </w:t>
            </w:r>
            <w:r w:rsidRPr="00F40EF2">
              <w:rPr>
                <w:rFonts w:eastAsia="Times New Roman" w:cstheme="majorHAnsi"/>
                <w:sz w:val="28"/>
                <w:lang w:val="en-AU" w:eastAsia="en-AU"/>
              </w:rPr>
              <w:t>under the Single National Mechanism for Commonwealth Legal Assistance</w:t>
            </w:r>
          </w:p>
        </w:tc>
      </w:tr>
    </w:tbl>
    <w:p w14:paraId="71B6D528" w14:textId="77777777" w:rsidR="00E25207" w:rsidRDefault="00E25207" w:rsidP="00437D46">
      <w:pPr>
        <w:spacing w:before="120" w:after="120" w:line="259" w:lineRule="auto"/>
        <w:rPr>
          <w:rFonts w:cstheme="majorHAnsi"/>
          <w:lang w:val="en-AU"/>
        </w:rPr>
      </w:pPr>
    </w:p>
    <w:p w14:paraId="167D42CC" w14:textId="7838BE48" w:rsidR="00E25207" w:rsidRPr="00E25207" w:rsidRDefault="00786BCA" w:rsidP="00492FB4">
      <w:pPr>
        <w:pStyle w:val="Heading1"/>
        <w:rPr>
          <w:lang w:val="en-AU" w:eastAsia="en-AU"/>
        </w:rPr>
      </w:pPr>
      <w:bookmarkStart w:id="3" w:name="_Toc6218505"/>
      <w:r>
        <w:rPr>
          <w:lang w:val="en-AU" w:eastAsia="en-AU"/>
        </w:rPr>
        <w:lastRenderedPageBreak/>
        <w:t>Measures across portfolios</w:t>
      </w:r>
      <w:bookmarkEnd w:id="3"/>
    </w:p>
    <w:p w14:paraId="5E785A68" w14:textId="77777777" w:rsidR="00E25207" w:rsidRDefault="00E25207" w:rsidP="00492FB4">
      <w:pPr>
        <w:pStyle w:val="Heading2"/>
        <w:rPr>
          <w:rFonts w:eastAsia="Times New Roman"/>
          <w:lang w:eastAsia="en-AU"/>
        </w:rPr>
      </w:pPr>
      <w:bookmarkStart w:id="4" w:name="_Fourth_Action_Plan"/>
      <w:bookmarkStart w:id="5" w:name="_Toc6218506"/>
      <w:bookmarkEnd w:id="4"/>
      <w:r w:rsidRPr="00A85A3F">
        <w:rPr>
          <w:noProof/>
          <w:lang w:val="en-AU" w:eastAsia="en-AU"/>
        </w:rPr>
        <w:drawing>
          <wp:anchor distT="0" distB="0" distL="114300" distR="114300" simplePos="0" relativeHeight="251658240" behindDoc="0" locked="0" layoutInCell="1" allowOverlap="1" wp14:anchorId="313C6541" wp14:editId="75052A41">
            <wp:simplePos x="0" y="0"/>
            <wp:positionH relativeFrom="column">
              <wp:posOffset>-53340</wp:posOffset>
            </wp:positionH>
            <wp:positionV relativeFrom="paragraph">
              <wp:posOffset>388620</wp:posOffset>
            </wp:positionV>
            <wp:extent cx="5731510" cy="3009265"/>
            <wp:effectExtent l="0" t="0" r="2540" b="635"/>
            <wp:wrapThrough wrapText="bothSides">
              <wp:wrapPolygon edited="0">
                <wp:start x="0" y="0"/>
                <wp:lineTo x="0" y="21468"/>
                <wp:lineTo x="21538" y="21468"/>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300926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lang w:eastAsia="en-AU"/>
        </w:rPr>
        <w:t>Fourth Action Plan (2019-2022) to reduce violence against women and their children</w:t>
      </w:r>
      <w:bookmarkEnd w:id="5"/>
      <w:r>
        <w:rPr>
          <w:rFonts w:eastAsia="Times New Roman"/>
          <w:lang w:eastAsia="en-AU"/>
        </w:rPr>
        <w:t xml:space="preserve"> </w:t>
      </w:r>
    </w:p>
    <w:p w14:paraId="4A3140DD" w14:textId="2D5C8F4A" w:rsidR="009D7CE0" w:rsidRPr="00E25207" w:rsidRDefault="00C71AA6" w:rsidP="00437D46">
      <w:pPr>
        <w:spacing w:before="120" w:after="120"/>
        <w:rPr>
          <w:rFonts w:eastAsia="Times New Roman" w:cstheme="majorHAnsi"/>
          <w:color w:val="222222"/>
          <w:lang w:val="en-AU" w:eastAsia="en-AU"/>
        </w:rPr>
      </w:pPr>
      <w:r w:rsidRPr="00E25207">
        <w:rPr>
          <w:i/>
          <w:sz w:val="20"/>
          <w:lang w:val="en-AU" w:eastAsia="en-AU"/>
        </w:rPr>
        <w:t>B</w:t>
      </w:r>
      <w:r w:rsidR="00E25207" w:rsidRPr="00E25207">
        <w:rPr>
          <w:i/>
          <w:sz w:val="20"/>
          <w:lang w:val="en-AU" w:eastAsia="en-AU"/>
        </w:rPr>
        <w:t xml:space="preserve">UDGET PAPER 2, page 160 </w:t>
      </w:r>
    </w:p>
    <w:p w14:paraId="5E924C81" w14:textId="5AF18F5F" w:rsidR="009D7CE0" w:rsidRPr="006C3DB5" w:rsidRDefault="00E25207" w:rsidP="00437D46">
      <w:pPr>
        <w:shd w:val="clear" w:color="auto" w:fill="FFFFFF"/>
        <w:spacing w:before="120" w:after="120"/>
        <w:rPr>
          <w:rFonts w:eastAsia="Times New Roman" w:cstheme="majorHAnsi"/>
          <w:lang w:val="en-AU" w:eastAsia="en-AU"/>
        </w:rPr>
      </w:pPr>
      <w:r w:rsidRPr="006C3DB5">
        <w:rPr>
          <w:rFonts w:eastAsia="Times New Roman" w:cstheme="majorHAnsi"/>
          <w:lang w:val="en-AU" w:eastAsia="en-AU"/>
        </w:rPr>
        <w:t>The main budget measure to addre</w:t>
      </w:r>
      <w:r w:rsidR="00737D33" w:rsidRPr="006C3DB5">
        <w:rPr>
          <w:rFonts w:eastAsia="Times New Roman" w:cstheme="majorHAnsi"/>
          <w:lang w:val="en-AU" w:eastAsia="en-AU"/>
        </w:rPr>
        <w:t xml:space="preserve">ss violence against women is a previously </w:t>
      </w:r>
      <w:r w:rsidRPr="006C3DB5">
        <w:rPr>
          <w:rFonts w:eastAsia="Times New Roman" w:cstheme="majorHAnsi"/>
          <w:lang w:val="en-AU" w:eastAsia="en-AU"/>
        </w:rPr>
        <w:t xml:space="preserve">announced $328 million package that constitutes a contribution of the Commonwealth towards the Fourth Action Plan. This budget measure has also been spread across eight portfolios and signals a whole of government approach to ending violence against women and their children. </w:t>
      </w:r>
    </w:p>
    <w:p w14:paraId="30D475A9" w14:textId="40B5264E" w:rsidR="00262EA2" w:rsidRPr="006C3DB5" w:rsidRDefault="00262EA2" w:rsidP="00437D46">
      <w:pPr>
        <w:shd w:val="clear" w:color="auto" w:fill="FFFFFF"/>
        <w:spacing w:before="120" w:after="120"/>
        <w:rPr>
          <w:rFonts w:eastAsia="Times New Roman" w:cstheme="majorHAnsi"/>
          <w:lang w:val="en-AU" w:eastAsia="en-AU"/>
        </w:rPr>
      </w:pPr>
      <w:r w:rsidRPr="006C3DB5">
        <w:rPr>
          <w:rFonts w:eastAsia="Times New Roman" w:cstheme="majorHAnsi"/>
          <w:lang w:val="en-AU" w:eastAsia="en-AU"/>
        </w:rPr>
        <w:t xml:space="preserve">Below is a detailed breakdown of the funding measures: </w:t>
      </w:r>
    </w:p>
    <w:p w14:paraId="6B4CD330" w14:textId="43D54124" w:rsidR="00737D33" w:rsidRPr="00262EA2" w:rsidRDefault="00262EA2" w:rsidP="00262EA2">
      <w:pPr>
        <w:pStyle w:val="ListParagraph"/>
        <w:numPr>
          <w:ilvl w:val="0"/>
          <w:numId w:val="16"/>
        </w:numPr>
        <w:shd w:val="clear" w:color="auto" w:fill="FFFFFF"/>
        <w:tabs>
          <w:tab w:val="left" w:pos="426"/>
        </w:tabs>
        <w:spacing w:before="120" w:after="120"/>
        <w:ind w:left="0" w:firstLine="0"/>
        <w:rPr>
          <w:rFonts w:eastAsia="Times New Roman" w:cstheme="majorHAnsi"/>
          <w:color w:val="222222"/>
          <w:lang w:val="en-AU" w:eastAsia="en-AU"/>
        </w:rPr>
      </w:pPr>
      <w:r w:rsidRPr="00262EA2">
        <w:rPr>
          <w:rFonts w:eastAsia="Times New Roman" w:cstheme="majorHAnsi"/>
          <w:b/>
          <w:color w:val="222222"/>
          <w:lang w:val="en-AU" w:eastAsia="en-AU"/>
        </w:rPr>
        <w:t>F</w:t>
      </w:r>
      <w:r w:rsidR="00737D33" w:rsidRPr="00262EA2">
        <w:rPr>
          <w:rFonts w:eastAsia="Times New Roman" w:cstheme="majorHAnsi"/>
          <w:b/>
          <w:color w:val="222222"/>
          <w:lang w:val="en-AU" w:eastAsia="en-AU"/>
        </w:rPr>
        <w:t>unding for the National Plan partners</w:t>
      </w:r>
      <w:r w:rsidR="00737D33" w:rsidRPr="00262EA2">
        <w:rPr>
          <w:rFonts w:eastAsia="Times New Roman" w:cstheme="majorHAnsi"/>
          <w:color w:val="222222"/>
          <w:lang w:val="en-AU" w:eastAsia="en-AU"/>
        </w:rPr>
        <w:t xml:space="preserve"> </w:t>
      </w:r>
    </w:p>
    <w:p w14:paraId="3A7DA0E6" w14:textId="7590E8F2" w:rsidR="008D591D" w:rsidRDefault="008D591D" w:rsidP="005A2EC9">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$64.0 million in additional funding over two years to ensure that </w:t>
      </w:r>
      <w:r w:rsidRPr="00737D33">
        <w:rPr>
          <w:rFonts w:asciiTheme="majorHAnsi" w:hAnsiTheme="majorHAnsi" w:cstheme="majorHAnsi"/>
          <w:b/>
          <w:sz w:val="22"/>
          <w:szCs w:val="22"/>
        </w:rPr>
        <w:t>1800RESPECT</w:t>
      </w:r>
      <w:r w:rsidRPr="00A85A3F">
        <w:rPr>
          <w:rFonts w:asciiTheme="majorHAnsi" w:hAnsiTheme="majorHAnsi" w:cstheme="majorHAnsi"/>
          <w:sz w:val="22"/>
          <w:szCs w:val="22"/>
        </w:rPr>
        <w:t xml:space="preserve"> is able to meet forecast increases in demand, update its online services and increase access</w:t>
      </w:r>
      <w:r w:rsidR="008955B3">
        <w:rPr>
          <w:rFonts w:asciiTheme="majorHAnsi" w:hAnsiTheme="majorHAnsi" w:cstheme="majorHAnsi"/>
          <w:sz w:val="22"/>
          <w:szCs w:val="22"/>
        </w:rPr>
        <w:t xml:space="preserve">ibility for vulnerable cohorts. This funding is until 2021. It is expected that 575000 service contacts will be made. </w:t>
      </w:r>
    </w:p>
    <w:p w14:paraId="419968A6" w14:textId="7E9958A6" w:rsidR="00737D33" w:rsidRDefault="00737D33"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$26 million to continue </w:t>
      </w:r>
      <w:r w:rsidRPr="00C50D95">
        <w:rPr>
          <w:rFonts w:asciiTheme="majorHAnsi" w:hAnsiTheme="majorHAnsi" w:cstheme="majorHAnsi"/>
          <w:b/>
          <w:sz w:val="22"/>
          <w:szCs w:val="22"/>
        </w:rPr>
        <w:t>DV Alert</w:t>
      </w:r>
      <w:r>
        <w:rPr>
          <w:rFonts w:asciiTheme="majorHAnsi" w:hAnsiTheme="majorHAnsi" w:cstheme="majorHAnsi"/>
          <w:sz w:val="22"/>
          <w:szCs w:val="22"/>
        </w:rPr>
        <w:t xml:space="preserve"> training program. DV Alert will train </w:t>
      </w:r>
      <w:r w:rsidR="00EA628D">
        <w:rPr>
          <w:rFonts w:asciiTheme="majorHAnsi" w:hAnsiTheme="majorHAnsi" w:cstheme="majorHAnsi"/>
          <w:sz w:val="22"/>
          <w:szCs w:val="22"/>
        </w:rPr>
        <w:t xml:space="preserve">a </w:t>
      </w:r>
      <w:r>
        <w:rPr>
          <w:rFonts w:asciiTheme="majorHAnsi" w:hAnsiTheme="majorHAnsi" w:cstheme="majorHAnsi"/>
          <w:sz w:val="22"/>
          <w:szCs w:val="22"/>
        </w:rPr>
        <w:t>further 18500 workers.</w:t>
      </w:r>
    </w:p>
    <w:p w14:paraId="0A9D688D" w14:textId="53457E67" w:rsidR="00737D33" w:rsidRDefault="00C50D95"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$7.6 million to further research and developing evidence base through funding </w:t>
      </w:r>
      <w:r w:rsidRPr="007833B8">
        <w:rPr>
          <w:rFonts w:asciiTheme="majorHAnsi" w:hAnsiTheme="majorHAnsi" w:cstheme="majorHAnsi"/>
          <w:b/>
          <w:sz w:val="22"/>
          <w:szCs w:val="22"/>
        </w:rPr>
        <w:t>ANROWS</w:t>
      </w:r>
      <w:r>
        <w:rPr>
          <w:rFonts w:asciiTheme="majorHAnsi" w:hAnsiTheme="majorHAnsi" w:cstheme="majorHAnsi"/>
          <w:sz w:val="22"/>
          <w:szCs w:val="22"/>
        </w:rPr>
        <w:t xml:space="preserve"> and Australian Institute of Health and Welfare. This includes further research about the experiences of violence against Aboriginal and Torres Strait Islander women, women from culturally and linguistically diverse backgrounds and women with disability. </w:t>
      </w:r>
    </w:p>
    <w:p w14:paraId="2C0F243D" w14:textId="7DB49413" w:rsidR="008955B3" w:rsidRDefault="008955B3"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$3.4 million to </w:t>
      </w:r>
      <w:r w:rsidRPr="008955B3">
        <w:rPr>
          <w:rFonts w:asciiTheme="majorHAnsi" w:hAnsiTheme="majorHAnsi" w:cstheme="majorHAnsi"/>
          <w:b/>
          <w:sz w:val="22"/>
          <w:szCs w:val="22"/>
        </w:rPr>
        <w:t>Our Watch</w:t>
      </w:r>
      <w:r>
        <w:rPr>
          <w:rFonts w:asciiTheme="majorHAnsi" w:hAnsiTheme="majorHAnsi" w:cstheme="majorHAnsi"/>
          <w:sz w:val="22"/>
          <w:szCs w:val="22"/>
        </w:rPr>
        <w:t xml:space="preserve"> to continue The Line and $0.357 for the evaluation of Our Watch as funding is due to finish in 2022. </w:t>
      </w:r>
    </w:p>
    <w:p w14:paraId="1440F681" w14:textId="36E2E96F" w:rsidR="0071084E" w:rsidRDefault="0071084E" w:rsidP="00737D33">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These measures are </w:t>
      </w:r>
      <w:r w:rsidR="005A2EC9">
        <w:rPr>
          <w:rFonts w:asciiTheme="majorHAnsi" w:hAnsiTheme="majorHAnsi" w:cstheme="majorHAnsi"/>
          <w:sz w:val="22"/>
          <w:szCs w:val="22"/>
        </w:rPr>
        <w:t xml:space="preserve">to be </w:t>
      </w:r>
      <w:r>
        <w:rPr>
          <w:rFonts w:asciiTheme="majorHAnsi" w:hAnsiTheme="majorHAnsi" w:cstheme="majorHAnsi"/>
          <w:sz w:val="22"/>
          <w:szCs w:val="22"/>
        </w:rPr>
        <w:t xml:space="preserve">administered by DSS. </w:t>
      </w:r>
    </w:p>
    <w:p w14:paraId="1BB61FF6" w14:textId="23621F3B" w:rsidR="0071084E" w:rsidRPr="00262EA2" w:rsidRDefault="00262EA2" w:rsidP="00262EA2">
      <w:pPr>
        <w:pStyle w:val="Default"/>
        <w:numPr>
          <w:ilvl w:val="0"/>
          <w:numId w:val="16"/>
        </w:numPr>
        <w:spacing w:before="120" w:after="120"/>
        <w:ind w:left="0" w:firstLine="0"/>
        <w:jc w:val="both"/>
        <w:rPr>
          <w:rFonts w:asciiTheme="majorHAnsi" w:hAnsiTheme="majorHAnsi" w:cstheme="majorHAnsi"/>
          <w:b/>
          <w:sz w:val="22"/>
          <w:szCs w:val="22"/>
        </w:rPr>
      </w:pPr>
      <w:r w:rsidRPr="00262EA2">
        <w:rPr>
          <w:rFonts w:asciiTheme="majorHAnsi" w:hAnsiTheme="majorHAnsi" w:cstheme="majorHAnsi"/>
          <w:b/>
          <w:sz w:val="22"/>
          <w:szCs w:val="22"/>
        </w:rPr>
        <w:t xml:space="preserve">Safe Places funding </w:t>
      </w:r>
    </w:p>
    <w:p w14:paraId="6A2CBE51" w14:textId="3A221434" w:rsidR="0074294B" w:rsidRDefault="008D591D" w:rsidP="005A2EC9">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$75.4 million to provide emergency accommodation for women and children escaping domestic and family violence and to continue the </w:t>
      </w:r>
      <w:r w:rsidRPr="0071084E">
        <w:rPr>
          <w:rFonts w:asciiTheme="majorHAnsi" w:hAnsiTheme="majorHAnsi" w:cstheme="majorHAnsi"/>
          <w:sz w:val="22"/>
          <w:szCs w:val="22"/>
        </w:rPr>
        <w:t xml:space="preserve">Keeping Women Safe in their Homes </w:t>
      </w:r>
      <w:r w:rsidR="008955B3">
        <w:rPr>
          <w:rFonts w:asciiTheme="majorHAnsi" w:hAnsiTheme="majorHAnsi" w:cstheme="majorHAnsi"/>
          <w:sz w:val="22"/>
          <w:szCs w:val="22"/>
        </w:rPr>
        <w:t xml:space="preserve">program. </w:t>
      </w:r>
      <w:r w:rsidR="0074294B">
        <w:rPr>
          <w:rFonts w:asciiTheme="majorHAnsi" w:hAnsiTheme="majorHAnsi" w:cstheme="majorHAnsi"/>
          <w:sz w:val="22"/>
          <w:szCs w:val="22"/>
        </w:rPr>
        <w:t>These measures are administered by DSS.</w:t>
      </w:r>
    </w:p>
    <w:p w14:paraId="620083D8" w14:textId="37DD09C4" w:rsidR="0074294B" w:rsidRDefault="008955B3" w:rsidP="0074294B">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This includes $60 million to build new emergency accommodation </w:t>
      </w:r>
      <w:r w:rsidR="0074294B">
        <w:rPr>
          <w:rFonts w:asciiTheme="majorHAnsi" w:hAnsiTheme="majorHAnsi" w:cstheme="majorHAnsi"/>
          <w:sz w:val="22"/>
          <w:szCs w:val="22"/>
        </w:rPr>
        <w:t xml:space="preserve">(capital funding) </w:t>
      </w:r>
      <w:r>
        <w:rPr>
          <w:rFonts w:asciiTheme="majorHAnsi" w:hAnsiTheme="majorHAnsi" w:cstheme="majorHAnsi"/>
          <w:sz w:val="22"/>
          <w:szCs w:val="22"/>
        </w:rPr>
        <w:t xml:space="preserve">and $18 million for Keeping Women Safe in their Homes Program. </w:t>
      </w:r>
      <w:r w:rsidR="00EA628D">
        <w:rPr>
          <w:rFonts w:asciiTheme="majorHAnsi" w:hAnsiTheme="majorHAnsi" w:cstheme="majorHAnsi"/>
          <w:sz w:val="22"/>
          <w:szCs w:val="22"/>
        </w:rPr>
        <w:t xml:space="preserve">DSS’s modelling assumes that </w:t>
      </w:r>
      <w:r w:rsidR="0074294B">
        <w:rPr>
          <w:rFonts w:asciiTheme="majorHAnsi" w:hAnsiTheme="majorHAnsi" w:cstheme="majorHAnsi"/>
          <w:sz w:val="22"/>
          <w:szCs w:val="22"/>
        </w:rPr>
        <w:t xml:space="preserve">the $60 million in capital </w:t>
      </w:r>
      <w:r w:rsidR="0074294B">
        <w:rPr>
          <w:rFonts w:asciiTheme="majorHAnsi" w:hAnsiTheme="majorHAnsi" w:cstheme="majorHAnsi"/>
          <w:sz w:val="22"/>
          <w:szCs w:val="22"/>
        </w:rPr>
        <w:lastRenderedPageBreak/>
        <w:t xml:space="preserve">funding will need to be matched by another $60 million investment from philanthropists, state and territory and local governments. Applicants will need to have this matching funding secured upon application. AWAVA expressed our concerns in this regard, as this may create additional barriers for smaller organisations to apply. AWAVA has also participated in the consultations held by DSS and reiterated our position that the eligibility criteria need to include gender expertise and specialisation in provision of services to victims/survivors of violence. </w:t>
      </w:r>
      <w:r w:rsidR="00060354">
        <w:rPr>
          <w:rFonts w:asciiTheme="majorHAnsi" w:hAnsiTheme="majorHAnsi" w:cstheme="majorHAnsi"/>
          <w:sz w:val="22"/>
          <w:szCs w:val="22"/>
        </w:rPr>
        <w:t xml:space="preserve">You can find our media release in response to this announcement </w:t>
      </w:r>
      <w:hyperlink r:id="rId12" w:history="1">
        <w:r w:rsidR="00060354" w:rsidRPr="00060354">
          <w:rPr>
            <w:rStyle w:val="Hyperlink"/>
            <w:rFonts w:asciiTheme="majorHAnsi" w:hAnsiTheme="majorHAnsi" w:cstheme="majorHAnsi"/>
            <w:sz w:val="22"/>
            <w:szCs w:val="22"/>
          </w:rPr>
          <w:t>here</w:t>
        </w:r>
      </w:hyperlink>
      <w:r w:rsidR="00060354">
        <w:rPr>
          <w:rFonts w:asciiTheme="majorHAnsi" w:hAnsiTheme="majorHAnsi" w:cstheme="majorHAnsi"/>
          <w:sz w:val="22"/>
          <w:szCs w:val="22"/>
        </w:rPr>
        <w:t xml:space="preserve">. </w:t>
      </w:r>
    </w:p>
    <w:p w14:paraId="696C0BD0" w14:textId="4462E560" w:rsidR="00262EA2" w:rsidRPr="00262EA2" w:rsidRDefault="00262EA2" w:rsidP="00262EA2">
      <w:pPr>
        <w:pStyle w:val="Default"/>
        <w:numPr>
          <w:ilvl w:val="0"/>
          <w:numId w:val="16"/>
        </w:numPr>
        <w:spacing w:before="120" w:after="120"/>
        <w:ind w:left="0" w:firstLine="0"/>
        <w:jc w:val="both"/>
        <w:rPr>
          <w:rFonts w:asciiTheme="majorHAnsi" w:hAnsiTheme="majorHAnsi" w:cstheme="majorHAnsi"/>
          <w:b/>
          <w:sz w:val="22"/>
          <w:szCs w:val="22"/>
        </w:rPr>
      </w:pPr>
      <w:r w:rsidRPr="00262EA2">
        <w:rPr>
          <w:rFonts w:asciiTheme="majorHAnsi" w:hAnsiTheme="majorHAnsi" w:cstheme="majorHAnsi"/>
          <w:b/>
          <w:sz w:val="22"/>
          <w:szCs w:val="22"/>
        </w:rPr>
        <w:t xml:space="preserve">Primary prevention funding </w:t>
      </w:r>
    </w:p>
    <w:p w14:paraId="09CD3E18" w14:textId="46F431F6" w:rsidR="0074294B" w:rsidRDefault="00AC039C"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$68.3 million in prevention activities that includes:</w:t>
      </w:r>
    </w:p>
    <w:p w14:paraId="212D893B" w14:textId="5B35BCCB" w:rsidR="00AC039C" w:rsidRDefault="00AC039C" w:rsidP="00262EA2">
      <w:pPr>
        <w:pStyle w:val="Default"/>
        <w:numPr>
          <w:ilvl w:val="1"/>
          <w:numId w:val="4"/>
        </w:numPr>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Establishment of Australia’s first prevention hub; </w:t>
      </w:r>
    </w:p>
    <w:p w14:paraId="3798ADC2" w14:textId="3503D953" w:rsidR="00AC039C" w:rsidRPr="00262EA2" w:rsidRDefault="00262EA2" w:rsidP="00262EA2">
      <w:pPr>
        <w:pStyle w:val="Default"/>
        <w:numPr>
          <w:ilvl w:val="1"/>
          <w:numId w:val="4"/>
        </w:numPr>
        <w:spacing w:before="120" w:after="120"/>
        <w:jc w:val="both"/>
        <w:rPr>
          <w:rFonts w:asciiTheme="majorHAnsi" w:hAnsiTheme="majorHAnsi" w:cstheme="majorHAnsi"/>
          <w:sz w:val="22"/>
          <w:szCs w:val="22"/>
        </w:rPr>
      </w:pPr>
      <w:r w:rsidRPr="00262EA2">
        <w:rPr>
          <w:rFonts w:asciiTheme="majorHAnsi" w:hAnsiTheme="majorHAnsi" w:cstheme="majorHAnsi"/>
          <w:sz w:val="22"/>
          <w:szCs w:val="22"/>
        </w:rPr>
        <w:t>$25.4 million for a range of community programs, information campaigns, resources, and awareness-raising initiatives focused on addressing the social behaviours and attitudes that lead to violence against women and children.</w:t>
      </w:r>
    </w:p>
    <w:p w14:paraId="73F51631" w14:textId="77777777" w:rsidR="00262EA2" w:rsidRDefault="00262EA2" w:rsidP="00262EA2">
      <w:pPr>
        <w:pStyle w:val="Default"/>
        <w:numPr>
          <w:ilvl w:val="1"/>
          <w:numId w:val="4"/>
        </w:numPr>
        <w:spacing w:before="120" w:after="120"/>
        <w:jc w:val="both"/>
        <w:rPr>
          <w:rFonts w:asciiTheme="majorHAnsi" w:hAnsiTheme="majorHAnsi" w:cstheme="majorHAnsi"/>
          <w:sz w:val="22"/>
          <w:szCs w:val="22"/>
        </w:rPr>
      </w:pPr>
      <w:r w:rsidRPr="00262EA2">
        <w:rPr>
          <w:rFonts w:asciiTheme="majorHAnsi" w:hAnsiTheme="majorHAnsi" w:cstheme="majorHAnsi"/>
          <w:sz w:val="22"/>
          <w:szCs w:val="22"/>
        </w:rPr>
        <w:t xml:space="preserve">$12.1 million will fund prevention programs for vulnerable or at risk groups, including Aboriginal and Torres Strait Islander and culturally and linguistically diverse communities. </w:t>
      </w:r>
    </w:p>
    <w:p w14:paraId="5333D563" w14:textId="4E722312" w:rsidR="00262EA2" w:rsidRDefault="00262EA2" w:rsidP="00262EA2">
      <w:pPr>
        <w:pStyle w:val="Default"/>
        <w:numPr>
          <w:ilvl w:val="1"/>
          <w:numId w:val="4"/>
        </w:numPr>
        <w:spacing w:before="120" w:after="120"/>
        <w:jc w:val="both"/>
        <w:rPr>
          <w:rFonts w:asciiTheme="majorHAnsi" w:hAnsiTheme="majorHAnsi" w:cstheme="majorHAnsi"/>
          <w:sz w:val="22"/>
          <w:szCs w:val="22"/>
        </w:rPr>
      </w:pPr>
      <w:r w:rsidRPr="00262EA2">
        <w:rPr>
          <w:rFonts w:asciiTheme="majorHAnsi" w:hAnsiTheme="majorHAnsi" w:cstheme="majorHAnsi"/>
          <w:sz w:val="22"/>
          <w:szCs w:val="22"/>
        </w:rPr>
        <w:t>$16.7 million to continue the national Stop it at the Start campaign. To date, the campaign has been delivered in partnership with states and territories contributing matched funding. The Commonwealth looks forward to state and territory governments</w:t>
      </w:r>
      <w:r w:rsidR="00EA628D">
        <w:rPr>
          <w:rFonts w:asciiTheme="majorHAnsi" w:hAnsiTheme="majorHAnsi" w:cstheme="majorHAnsi"/>
          <w:sz w:val="22"/>
          <w:szCs w:val="22"/>
        </w:rPr>
        <w:t>’</w:t>
      </w:r>
      <w:r w:rsidRPr="00262EA2">
        <w:rPr>
          <w:rFonts w:asciiTheme="majorHAnsi" w:hAnsiTheme="majorHAnsi" w:cstheme="majorHAnsi"/>
          <w:sz w:val="22"/>
          <w:szCs w:val="22"/>
        </w:rPr>
        <w:t xml:space="preserve"> continued investment in this flagship national prevention initiative.</w:t>
      </w:r>
    </w:p>
    <w:p w14:paraId="7A9921F5" w14:textId="49456F99" w:rsidR="005A2EC9" w:rsidRDefault="00262EA2" w:rsidP="00262EA2">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This measure also includes funding to Our Watch stated above</w:t>
      </w:r>
      <w:r w:rsidR="005A2EC9">
        <w:rPr>
          <w:rFonts w:asciiTheme="majorHAnsi" w:hAnsiTheme="majorHAnsi" w:cstheme="majorHAnsi"/>
          <w:sz w:val="22"/>
          <w:szCs w:val="22"/>
        </w:rPr>
        <w:t xml:space="preserve"> in the National Plan Partners’ section. </w:t>
      </w:r>
    </w:p>
    <w:p w14:paraId="2FDDB491" w14:textId="77777777" w:rsidR="005A2EC9" w:rsidRDefault="005A2EC9"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Other funding included here is: </w:t>
      </w:r>
    </w:p>
    <w:p w14:paraId="56F2F34A" w14:textId="22764FBC" w:rsidR="005A2EC9" w:rsidRDefault="005A2EC9" w:rsidP="005A2EC9">
      <w:pPr>
        <w:pStyle w:val="Default"/>
        <w:numPr>
          <w:ilvl w:val="1"/>
          <w:numId w:val="4"/>
        </w:numPr>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$2.0 million for the Office for Women to support the development of strategies for the</w:t>
      </w:r>
      <w:r>
        <w:rPr>
          <w:rFonts w:asciiTheme="majorHAnsi" w:hAnsiTheme="majorHAnsi" w:cstheme="majorHAnsi"/>
          <w:sz w:val="22"/>
          <w:szCs w:val="22"/>
        </w:rPr>
        <w:t xml:space="preserve"> prevention of financial abuse.</w:t>
      </w:r>
    </w:p>
    <w:p w14:paraId="099BAC37" w14:textId="77777777" w:rsidR="005A2EC9" w:rsidRPr="00A85A3F" w:rsidRDefault="005A2EC9" w:rsidP="005A2EC9">
      <w:pPr>
        <w:pStyle w:val="Default"/>
        <w:numPr>
          <w:ilvl w:val="1"/>
          <w:numId w:val="4"/>
        </w:numPr>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$2.8 million to encourage respectful relationships and support student safety and wellbeing under the </w:t>
      </w:r>
      <w:r w:rsidRPr="005A2EC9">
        <w:rPr>
          <w:rFonts w:asciiTheme="majorHAnsi" w:hAnsiTheme="majorHAnsi" w:cstheme="majorHAnsi"/>
          <w:sz w:val="22"/>
          <w:szCs w:val="22"/>
        </w:rPr>
        <w:t xml:space="preserve">Respect Matters </w:t>
      </w:r>
      <w:r>
        <w:rPr>
          <w:rFonts w:asciiTheme="majorHAnsi" w:hAnsiTheme="majorHAnsi" w:cstheme="majorHAnsi"/>
          <w:sz w:val="22"/>
          <w:szCs w:val="22"/>
        </w:rPr>
        <w:t xml:space="preserve">initiative. This measure is to be administered by the Department of Education and Training. </w:t>
      </w:r>
    </w:p>
    <w:p w14:paraId="74E83540" w14:textId="318E1A2E" w:rsidR="005A2EC9" w:rsidRPr="005A2EC9" w:rsidRDefault="005A2EC9" w:rsidP="005A2EC9">
      <w:pPr>
        <w:pStyle w:val="Default"/>
        <w:numPr>
          <w:ilvl w:val="0"/>
          <w:numId w:val="16"/>
        </w:numPr>
        <w:spacing w:before="120" w:after="120"/>
        <w:ind w:left="0" w:firstLine="0"/>
        <w:jc w:val="both"/>
        <w:rPr>
          <w:rFonts w:asciiTheme="majorHAnsi" w:hAnsiTheme="majorHAnsi" w:cstheme="majorHAnsi"/>
          <w:b/>
          <w:sz w:val="22"/>
          <w:szCs w:val="22"/>
        </w:rPr>
      </w:pPr>
      <w:r w:rsidRPr="005A2EC9">
        <w:rPr>
          <w:rFonts w:asciiTheme="majorHAnsi" w:hAnsiTheme="majorHAnsi" w:cstheme="majorHAnsi"/>
          <w:b/>
          <w:sz w:val="22"/>
          <w:szCs w:val="22"/>
        </w:rPr>
        <w:t xml:space="preserve">Support and prevention strategies for Aboriginal and Torres Strait Islander communities </w:t>
      </w:r>
    </w:p>
    <w:p w14:paraId="2BE86331" w14:textId="36E4ED20" w:rsidR="00A85A3F" w:rsidRDefault="00A85A3F" w:rsidP="005A2EC9">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$35.0 million to address the specific needs of Aboriginal and Torres Strait Islander people affected by violence, including providing greater support for Indigenous women and children in remote areas and supporting practical intervention programs to work with Indigenous young people and adults at risk of experiencing</w:t>
      </w:r>
      <w:r w:rsidR="005A2EC9">
        <w:rPr>
          <w:rFonts w:asciiTheme="majorHAnsi" w:hAnsiTheme="majorHAnsi" w:cstheme="majorHAnsi"/>
          <w:sz w:val="22"/>
          <w:szCs w:val="22"/>
        </w:rPr>
        <w:t xml:space="preserve"> or committing family violence. </w:t>
      </w:r>
    </w:p>
    <w:p w14:paraId="0769A8E3" w14:textId="4BE25620" w:rsidR="005A2EC9" w:rsidRDefault="005A2EC9" w:rsidP="005A2EC9">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AWAVA supports the concerns of Family Violence Prevention Legal Service that there was no commitment made for their funding beyond 2020 as well as no CPI increase accounted for</w:t>
      </w:r>
      <w:r w:rsidR="00EA628D">
        <w:rPr>
          <w:rFonts w:asciiTheme="majorHAnsi" w:hAnsiTheme="majorHAnsi" w:cstheme="majorHAnsi"/>
          <w:sz w:val="22"/>
          <w:szCs w:val="22"/>
        </w:rPr>
        <w:t>, or measures to expand FVPLS services beyond their current geographic reach</w:t>
      </w:r>
      <w:r>
        <w:rPr>
          <w:rFonts w:asciiTheme="majorHAnsi" w:hAnsiTheme="majorHAnsi" w:cstheme="majorHAnsi"/>
          <w:sz w:val="22"/>
          <w:szCs w:val="22"/>
        </w:rPr>
        <w:t>.</w:t>
      </w:r>
      <w:r>
        <w:rPr>
          <w:rStyle w:val="FootnoteReference"/>
          <w:rFonts w:asciiTheme="majorHAnsi" w:hAnsiTheme="majorHAnsi" w:cstheme="majorHAnsi"/>
          <w:sz w:val="22"/>
          <w:szCs w:val="22"/>
        </w:rPr>
        <w:footnoteReference w:id="5"/>
      </w:r>
    </w:p>
    <w:p w14:paraId="02E463DE" w14:textId="66BC7ABE" w:rsidR="005A2EC9" w:rsidRDefault="00D719A5" w:rsidP="00D719A5">
      <w:pPr>
        <w:pStyle w:val="Default"/>
        <w:numPr>
          <w:ilvl w:val="0"/>
          <w:numId w:val="16"/>
        </w:numPr>
        <w:spacing w:before="120" w:after="120"/>
        <w:ind w:left="0" w:firstLine="0"/>
        <w:jc w:val="both"/>
        <w:rPr>
          <w:rFonts w:asciiTheme="majorHAnsi" w:hAnsiTheme="majorHAnsi" w:cstheme="majorHAnsi"/>
          <w:b/>
          <w:sz w:val="22"/>
          <w:szCs w:val="22"/>
        </w:rPr>
      </w:pPr>
      <w:r w:rsidRPr="00D719A5">
        <w:rPr>
          <w:rFonts w:asciiTheme="majorHAnsi" w:hAnsiTheme="majorHAnsi" w:cstheme="majorHAnsi"/>
          <w:b/>
          <w:sz w:val="22"/>
          <w:szCs w:val="22"/>
        </w:rPr>
        <w:t>Other measures</w:t>
      </w:r>
    </w:p>
    <w:p w14:paraId="67BDAB74" w14:textId="63B92DCA" w:rsidR="00D719A5" w:rsidRPr="00D719A5" w:rsidRDefault="00D719A5" w:rsidP="00D719A5">
      <w:pPr>
        <w:pStyle w:val="Default"/>
        <w:spacing w:before="120" w:after="120"/>
        <w:jc w:val="both"/>
        <w:rPr>
          <w:rFonts w:asciiTheme="majorHAnsi" w:hAnsiTheme="majorHAnsi" w:cstheme="majorHAnsi"/>
          <w:sz w:val="22"/>
          <w:szCs w:val="22"/>
        </w:rPr>
      </w:pPr>
      <w:r w:rsidRPr="00D719A5">
        <w:rPr>
          <w:rFonts w:asciiTheme="majorHAnsi" w:hAnsiTheme="majorHAnsi" w:cstheme="majorHAnsi"/>
          <w:sz w:val="22"/>
          <w:szCs w:val="22"/>
        </w:rPr>
        <w:t xml:space="preserve">We note </w:t>
      </w:r>
      <w:r>
        <w:rPr>
          <w:rFonts w:asciiTheme="majorHAnsi" w:hAnsiTheme="majorHAnsi" w:cstheme="majorHAnsi"/>
          <w:sz w:val="22"/>
          <w:szCs w:val="22"/>
        </w:rPr>
        <w:t xml:space="preserve">that the OIWS Package lists other funding measure under the heading of </w:t>
      </w:r>
      <w:r w:rsidRPr="00D719A5">
        <w:rPr>
          <w:rFonts w:asciiTheme="majorHAnsi" w:hAnsiTheme="majorHAnsi" w:cstheme="majorHAnsi"/>
          <w:i/>
          <w:sz w:val="22"/>
          <w:szCs w:val="22"/>
        </w:rPr>
        <w:t xml:space="preserve">“Improving frontline services” </w:t>
      </w:r>
      <w:r>
        <w:rPr>
          <w:rFonts w:asciiTheme="majorHAnsi" w:hAnsiTheme="majorHAnsi" w:cstheme="majorHAnsi"/>
          <w:sz w:val="22"/>
          <w:szCs w:val="22"/>
        </w:rPr>
        <w:t xml:space="preserve">with a total investment of$82.2 million. However, </w:t>
      </w:r>
      <w:r w:rsidR="00EA628D">
        <w:rPr>
          <w:rFonts w:asciiTheme="majorHAnsi" w:hAnsiTheme="majorHAnsi" w:cstheme="majorHAnsi"/>
          <w:sz w:val="22"/>
          <w:szCs w:val="22"/>
        </w:rPr>
        <w:t xml:space="preserve">the </w:t>
      </w:r>
      <w:r>
        <w:rPr>
          <w:rFonts w:asciiTheme="majorHAnsi" w:hAnsiTheme="majorHAnsi" w:cstheme="majorHAnsi"/>
          <w:sz w:val="22"/>
          <w:szCs w:val="22"/>
        </w:rPr>
        <w:t xml:space="preserve">listed measure include a variety of activities not necessarily related to the direct service provision. Below are some of the publicly listed measures. </w:t>
      </w:r>
    </w:p>
    <w:p w14:paraId="0D32196F" w14:textId="5F76EE36" w:rsidR="00A85A3F" w:rsidRPr="00A85A3F" w:rsidRDefault="00A85A3F" w:rsidP="00D719A5">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$7.5 million to expand the </w:t>
      </w:r>
      <w:r w:rsidRPr="00A85A3F">
        <w:rPr>
          <w:rFonts w:asciiTheme="majorHAnsi" w:hAnsiTheme="majorHAnsi" w:cstheme="majorHAnsi"/>
          <w:i/>
          <w:iCs/>
          <w:sz w:val="22"/>
          <w:szCs w:val="22"/>
        </w:rPr>
        <w:t xml:space="preserve">Recognise, Respond, Refer </w:t>
      </w:r>
      <w:r w:rsidRPr="00A85A3F">
        <w:rPr>
          <w:rFonts w:asciiTheme="majorHAnsi" w:hAnsiTheme="majorHAnsi" w:cstheme="majorHAnsi"/>
          <w:sz w:val="22"/>
          <w:szCs w:val="22"/>
        </w:rPr>
        <w:t xml:space="preserve">pilot program, which includes referral pathways for people at risk of domestic and family violence and the delivery of training to general practice staff </w:t>
      </w:r>
      <w:r w:rsidRPr="00A85A3F">
        <w:rPr>
          <w:rFonts w:asciiTheme="majorHAnsi" w:hAnsiTheme="majorHAnsi" w:cstheme="majorHAnsi"/>
          <w:sz w:val="22"/>
          <w:szCs w:val="22"/>
        </w:rPr>
        <w:lastRenderedPageBreak/>
        <w:t>to recognise the signs of do</w:t>
      </w:r>
      <w:r w:rsidR="0071084E">
        <w:rPr>
          <w:rFonts w:asciiTheme="majorHAnsi" w:hAnsiTheme="majorHAnsi" w:cstheme="majorHAnsi"/>
          <w:sz w:val="22"/>
          <w:szCs w:val="22"/>
        </w:rPr>
        <w:t>mestic and family violence. This measure is to be administered by the Department of Health.</w:t>
      </w:r>
    </w:p>
    <w:p w14:paraId="56066781" w14:textId="287A3104" w:rsidR="00A85A3F" w:rsidRPr="005A2EC9" w:rsidRDefault="00D719A5" w:rsidP="00D719A5">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I</w:t>
      </w:r>
      <w:r w:rsidR="00A85A3F" w:rsidRPr="005A2EC9">
        <w:rPr>
          <w:rFonts w:asciiTheme="majorHAnsi" w:hAnsiTheme="majorHAnsi" w:cstheme="majorHAnsi"/>
          <w:sz w:val="22"/>
          <w:szCs w:val="22"/>
        </w:rPr>
        <w:t xml:space="preserve">mproving service delivery for people affected by domestic and family violence with the Department of Human Services to provide streamlined services from within its existing resources. </w:t>
      </w:r>
    </w:p>
    <w:p w14:paraId="4EBD91D6" w14:textId="2EDF533B" w:rsidR="00A85A3F" w:rsidRPr="00A85A3F" w:rsidRDefault="00A85A3F" w:rsidP="00D719A5">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$11.0 million to improve collaboration and information sharing between the Federal Family Law system and state family violence and child protection agencies to help prevent instances where courts are not advised of family violence ris</w:t>
      </w:r>
      <w:r w:rsidR="00C36606">
        <w:rPr>
          <w:rFonts w:asciiTheme="majorHAnsi" w:hAnsiTheme="majorHAnsi" w:cstheme="majorHAnsi"/>
          <w:sz w:val="22"/>
          <w:szCs w:val="22"/>
        </w:rPr>
        <w:t xml:space="preserve">ks documented in state systems. This measure is to be administered by the Attorney General’s Department. </w:t>
      </w:r>
    </w:p>
    <w:p w14:paraId="1996B0AF" w14:textId="018891E4" w:rsidR="00A85A3F" w:rsidRPr="00A85A3F" w:rsidRDefault="00A85A3F" w:rsidP="00D719A5">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$2.1 million to provide national training for the primary care workforce to improve the family violence response capabilities of medical staff</w:t>
      </w:r>
      <w:r w:rsidR="00C36606">
        <w:rPr>
          <w:rFonts w:asciiTheme="majorHAnsi" w:hAnsiTheme="majorHAnsi" w:cstheme="majorHAnsi"/>
          <w:sz w:val="22"/>
          <w:szCs w:val="22"/>
        </w:rPr>
        <w:t xml:space="preserve">. </w:t>
      </w:r>
    </w:p>
    <w:p w14:paraId="6A7DE0E7" w14:textId="77777777" w:rsidR="00A85A3F" w:rsidRPr="00A85A3F" w:rsidRDefault="00A85A3F" w:rsidP="00D719A5">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$4.0 million for the Australian Communications Media Authority to identify, report and support victims of technology facilitated abuse in high-risk Aboriginal and Torres Strait Islander communities and women who have intellectual disabilities to help protect themselves online. </w:t>
      </w:r>
    </w:p>
    <w:p w14:paraId="67B86FFF" w14:textId="20EDED0F" w:rsidR="0074294B" w:rsidRDefault="004A4936" w:rsidP="0074294B">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w:t>
      </w:r>
      <w:r w:rsidR="00A85A3F" w:rsidRPr="00A85A3F">
        <w:rPr>
          <w:rFonts w:asciiTheme="majorHAnsi" w:hAnsiTheme="majorHAnsi" w:cstheme="majorHAnsi"/>
          <w:sz w:val="22"/>
          <w:szCs w:val="22"/>
        </w:rPr>
        <w:t xml:space="preserve">13.4 million for a range of domestic and family violence support services to assist vulnerable women. </w:t>
      </w:r>
      <w:r w:rsidR="00EC28CC">
        <w:rPr>
          <w:rFonts w:asciiTheme="majorHAnsi" w:hAnsiTheme="majorHAnsi" w:cstheme="majorHAnsi"/>
          <w:sz w:val="22"/>
          <w:szCs w:val="22"/>
        </w:rPr>
        <w:t xml:space="preserve">It is not clear what is included within this figure. This figure does not match any other measures from the </w:t>
      </w:r>
      <w:r w:rsidR="00AC039C">
        <w:rPr>
          <w:rFonts w:asciiTheme="majorHAnsi" w:hAnsiTheme="majorHAnsi" w:cstheme="majorHAnsi"/>
          <w:sz w:val="22"/>
          <w:szCs w:val="22"/>
        </w:rPr>
        <w:t xml:space="preserve">OIWS Package. </w:t>
      </w:r>
    </w:p>
    <w:p w14:paraId="5021B379" w14:textId="122D4EF3" w:rsidR="004A4936" w:rsidRDefault="004A4936" w:rsidP="0074294B">
      <w:pPr>
        <w:pStyle w:val="Default"/>
        <w:spacing w:before="120" w:after="120"/>
        <w:jc w:val="both"/>
        <w:rPr>
          <w:rFonts w:asciiTheme="majorHAnsi" w:hAnsiTheme="majorHAnsi" w:cstheme="majorHAnsi"/>
          <w:sz w:val="22"/>
          <w:szCs w:val="22"/>
        </w:rPr>
      </w:pPr>
      <w:r w:rsidRPr="004A4936">
        <w:rPr>
          <w:rFonts w:asciiTheme="majorHAnsi" w:hAnsiTheme="majorHAnsi" w:cstheme="majorHAnsi"/>
          <w:sz w:val="22"/>
          <w:szCs w:val="22"/>
        </w:rPr>
        <w:t>$2.6 million to develop new national standards for sexual assault responses including victim and perpetrator programs, and a framework for reporting against the standards</w:t>
      </w:r>
      <w:r w:rsidR="000C1772">
        <w:rPr>
          <w:rFonts w:asciiTheme="majorHAnsi" w:hAnsiTheme="majorHAnsi" w:cstheme="majorHAnsi"/>
          <w:sz w:val="22"/>
          <w:szCs w:val="22"/>
        </w:rPr>
        <w:t xml:space="preserve">. </w:t>
      </w:r>
    </w:p>
    <w:p w14:paraId="6F3A8CDA" w14:textId="7048755E" w:rsidR="000C1772" w:rsidRDefault="000C1772" w:rsidP="0074294B">
      <w:pPr>
        <w:pStyle w:val="Default"/>
        <w:spacing w:before="120" w:after="120"/>
        <w:jc w:val="both"/>
        <w:rPr>
          <w:rFonts w:asciiTheme="majorHAnsi" w:hAnsiTheme="majorHAnsi" w:cstheme="majorHAnsi"/>
          <w:sz w:val="22"/>
          <w:szCs w:val="22"/>
        </w:rPr>
      </w:pPr>
      <w:r w:rsidRPr="000C1772">
        <w:rPr>
          <w:rFonts w:asciiTheme="majorHAnsi" w:hAnsiTheme="majorHAnsi" w:cstheme="majorHAnsi"/>
          <w:sz w:val="22"/>
          <w:szCs w:val="22"/>
        </w:rPr>
        <w:t xml:space="preserve">$3.8 million will deliver critical support for identified victims of human trafficking, slavery and slavery-like practices, including forced labour and forced marriage under the Support for Trafficked People Program. </w:t>
      </w:r>
    </w:p>
    <w:p w14:paraId="778B118A" w14:textId="5FDAD5B6" w:rsidR="004A4936" w:rsidRPr="001E67C6" w:rsidRDefault="004A4936" w:rsidP="001D679D">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$10 million to deliver Specialised Family Violence Services in up to 16 additional locations. </w:t>
      </w:r>
      <w:r w:rsidR="001D679D">
        <w:rPr>
          <w:rFonts w:asciiTheme="majorHAnsi" w:hAnsiTheme="majorHAnsi" w:cstheme="majorHAnsi"/>
          <w:sz w:val="22"/>
          <w:szCs w:val="22"/>
        </w:rPr>
        <w:t xml:space="preserve">You can find our media release in response to this announcement </w:t>
      </w:r>
      <w:hyperlink r:id="rId13" w:history="1">
        <w:r w:rsidR="001D679D" w:rsidRPr="00427232">
          <w:rPr>
            <w:rStyle w:val="Hyperlink"/>
            <w:rFonts w:asciiTheme="majorHAnsi" w:hAnsiTheme="majorHAnsi" w:cstheme="majorHAnsi"/>
            <w:sz w:val="22"/>
            <w:szCs w:val="22"/>
          </w:rPr>
          <w:t>here</w:t>
        </w:r>
      </w:hyperlink>
      <w:r w:rsidR="001D679D">
        <w:rPr>
          <w:rFonts w:asciiTheme="majorHAnsi" w:hAnsiTheme="majorHAnsi" w:cstheme="majorHAnsi"/>
          <w:sz w:val="22"/>
          <w:szCs w:val="22"/>
        </w:rPr>
        <w:t>.</w:t>
      </w:r>
      <w:bookmarkStart w:id="6" w:name="_GoBack"/>
      <w:bookmarkEnd w:id="6"/>
    </w:p>
    <w:p w14:paraId="367E683F" w14:textId="4425CFE5" w:rsidR="00E25207" w:rsidRDefault="00E25207" w:rsidP="00437D46">
      <w:pPr>
        <w:pStyle w:val="Default"/>
        <w:spacing w:before="120" w:after="120"/>
        <w:jc w:val="both"/>
        <w:rPr>
          <w:rFonts w:asciiTheme="majorHAnsi" w:hAnsiTheme="majorHAnsi" w:cstheme="majorHAnsi"/>
          <w:sz w:val="22"/>
          <w:szCs w:val="22"/>
        </w:rPr>
      </w:pPr>
      <w:r>
        <w:rPr>
          <w:rFonts w:asciiTheme="majorHAnsi" w:hAnsiTheme="majorHAnsi" w:cstheme="majorHAnsi"/>
          <w:sz w:val="22"/>
          <w:szCs w:val="22"/>
        </w:rPr>
        <w:t xml:space="preserve">More details on the package can also be found </w:t>
      </w:r>
      <w:hyperlink r:id="rId14" w:history="1">
        <w:r w:rsidRPr="00907232">
          <w:rPr>
            <w:rStyle w:val="Hyperlink"/>
            <w:rFonts w:asciiTheme="majorHAnsi" w:hAnsiTheme="majorHAnsi" w:cstheme="majorHAnsi"/>
            <w:sz w:val="22"/>
            <w:szCs w:val="22"/>
          </w:rPr>
          <w:t>here</w:t>
        </w:r>
      </w:hyperlink>
      <w:r>
        <w:rPr>
          <w:rFonts w:asciiTheme="majorHAnsi" w:hAnsiTheme="majorHAnsi" w:cstheme="majorHAnsi"/>
          <w:sz w:val="22"/>
          <w:szCs w:val="22"/>
        </w:rPr>
        <w:t xml:space="preserve">. </w:t>
      </w:r>
    </w:p>
    <w:p w14:paraId="748A63A5" w14:textId="1BC9D45A" w:rsidR="00E25207" w:rsidRPr="00A85A3F" w:rsidRDefault="00CC43EC" w:rsidP="00492FB4">
      <w:pPr>
        <w:pStyle w:val="Heading2"/>
        <w:rPr>
          <w:rFonts w:eastAsia="Times New Roman"/>
          <w:lang w:eastAsia="en-AU"/>
        </w:rPr>
      </w:pPr>
      <w:bookmarkStart w:id="7" w:name="_Toc6218507"/>
      <w:r>
        <w:rPr>
          <w:rFonts w:eastAsia="Times New Roman"/>
          <w:lang w:eastAsia="en-AU"/>
        </w:rPr>
        <w:t xml:space="preserve">Women’s </w:t>
      </w:r>
      <w:r w:rsidR="00865357">
        <w:rPr>
          <w:rFonts w:eastAsia="Times New Roman"/>
          <w:lang w:eastAsia="en-AU"/>
        </w:rPr>
        <w:t>Economic Security Package</w:t>
      </w:r>
      <w:bookmarkEnd w:id="7"/>
      <w:r w:rsidR="00865357">
        <w:rPr>
          <w:rFonts w:eastAsia="Times New Roman"/>
          <w:lang w:eastAsia="en-AU"/>
        </w:rPr>
        <w:t xml:space="preserve"> </w:t>
      </w:r>
    </w:p>
    <w:p w14:paraId="7EE9A4D9" w14:textId="06C04A14" w:rsidR="00CC43EC" w:rsidRPr="006C3DB5" w:rsidRDefault="00C627F7" w:rsidP="000C1772">
      <w:pPr>
        <w:shd w:val="clear" w:color="auto" w:fill="FFFFFF"/>
        <w:spacing w:before="120" w:after="120"/>
        <w:rPr>
          <w:rFonts w:eastAsia="Times New Roman" w:cstheme="majorHAnsi"/>
          <w:lang w:val="en-AU" w:eastAsia="en-AU"/>
        </w:rPr>
      </w:pPr>
      <w:r>
        <w:rPr>
          <w:rFonts w:eastAsia="Times New Roman" w:cstheme="majorHAnsi"/>
          <w:color w:val="222222"/>
          <w:lang w:val="en-AU" w:eastAsia="en-AU"/>
        </w:rPr>
        <w:t xml:space="preserve">The </w:t>
      </w:r>
      <w:r w:rsidR="00CC43EC">
        <w:rPr>
          <w:rFonts w:eastAsia="Times New Roman" w:cstheme="majorHAnsi"/>
          <w:color w:val="222222"/>
          <w:lang w:val="en-AU" w:eastAsia="en-AU"/>
        </w:rPr>
        <w:t xml:space="preserve">Women’s </w:t>
      </w:r>
      <w:r>
        <w:rPr>
          <w:rFonts w:eastAsia="Times New Roman" w:cstheme="majorHAnsi"/>
          <w:color w:val="222222"/>
          <w:lang w:val="en-AU" w:eastAsia="en-AU"/>
        </w:rPr>
        <w:t>E</w:t>
      </w:r>
      <w:r w:rsidR="00CC43EC">
        <w:rPr>
          <w:rFonts w:eastAsia="Times New Roman" w:cstheme="majorHAnsi"/>
          <w:color w:val="222222"/>
          <w:lang w:val="en-AU" w:eastAsia="en-AU"/>
        </w:rPr>
        <w:t>conomic</w:t>
      </w:r>
      <w:r>
        <w:rPr>
          <w:rFonts w:eastAsia="Times New Roman" w:cstheme="majorHAnsi"/>
          <w:color w:val="222222"/>
          <w:lang w:val="en-AU" w:eastAsia="en-AU"/>
        </w:rPr>
        <w:t xml:space="preserve"> S</w:t>
      </w:r>
      <w:r w:rsidR="00CC43EC">
        <w:rPr>
          <w:rFonts w:eastAsia="Times New Roman" w:cstheme="majorHAnsi"/>
          <w:color w:val="222222"/>
          <w:lang w:val="en-AU" w:eastAsia="en-AU"/>
        </w:rPr>
        <w:t xml:space="preserve">ecurity </w:t>
      </w:r>
      <w:r>
        <w:rPr>
          <w:rFonts w:eastAsia="Times New Roman" w:cstheme="majorHAnsi"/>
          <w:color w:val="222222"/>
          <w:lang w:val="en-AU" w:eastAsia="en-AU"/>
        </w:rPr>
        <w:t>S</w:t>
      </w:r>
      <w:r w:rsidR="00CC43EC">
        <w:rPr>
          <w:rFonts w:eastAsia="Times New Roman" w:cstheme="majorHAnsi"/>
          <w:color w:val="222222"/>
          <w:lang w:val="en-AU" w:eastAsia="en-AU"/>
        </w:rPr>
        <w:t>tatement announced in November 2018</w:t>
      </w:r>
      <w:r w:rsidR="00CC43EC">
        <w:rPr>
          <w:rStyle w:val="FootnoteReference"/>
          <w:rFonts w:eastAsia="Times New Roman" w:cstheme="majorHAnsi"/>
          <w:color w:val="222222"/>
          <w:lang w:val="en-AU" w:eastAsia="en-AU"/>
        </w:rPr>
        <w:footnoteReference w:id="6"/>
      </w:r>
      <w:r w:rsidR="00CC43EC">
        <w:rPr>
          <w:rFonts w:eastAsia="Times New Roman" w:cstheme="majorHAnsi"/>
          <w:color w:val="222222"/>
          <w:lang w:val="en-AU" w:eastAsia="en-AU"/>
        </w:rPr>
        <w:t xml:space="preserve"> counts towards the Budget </w:t>
      </w:r>
      <w:r w:rsidR="00CC43EC" w:rsidRPr="006C3DB5">
        <w:rPr>
          <w:rFonts w:eastAsia="Times New Roman" w:cstheme="majorHAnsi"/>
          <w:lang w:val="en-AU" w:eastAsia="en-AU"/>
        </w:rPr>
        <w:t>measures to achieve women’s economic security. The statement provides $119.2 million over four years. Measures in relation to domest</w:t>
      </w:r>
      <w:r w:rsidR="000C1772" w:rsidRPr="006C3DB5">
        <w:rPr>
          <w:rFonts w:eastAsia="Times New Roman" w:cstheme="majorHAnsi"/>
          <w:lang w:val="en-AU" w:eastAsia="en-AU"/>
        </w:rPr>
        <w:t xml:space="preserve">ic and family violence include </w:t>
      </w:r>
      <w:r w:rsidR="00CC43EC" w:rsidRPr="006C3DB5">
        <w:rPr>
          <w:rFonts w:eastAsia="Times New Roman" w:cstheme="majorHAnsi"/>
          <w:lang w:val="en-AU" w:eastAsia="en-AU"/>
        </w:rPr>
        <w:t xml:space="preserve">$35.6 million to support women’s economic independence: </w:t>
      </w:r>
    </w:p>
    <w:p w14:paraId="72BCA4B7" w14:textId="3C65DDFC" w:rsidR="00CC43EC"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providing Specialist Domestic Violence Units and Health Justice Partnerships, including</w:t>
      </w:r>
      <w:r w:rsidR="000C1772" w:rsidRPr="006C3DB5">
        <w:rPr>
          <w:rFonts w:eastAsia="Times New Roman" w:cstheme="majorHAnsi"/>
          <w:lang w:val="en-AU" w:eastAsia="en-AU"/>
        </w:rPr>
        <w:t xml:space="preserve"> for financial support services;</w:t>
      </w:r>
    </w:p>
    <w:p w14:paraId="19F68C0E" w14:textId="34FD3F99" w:rsidR="00A85A3F"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extending early release of superannuation for victims of domestic and family violence</w:t>
      </w:r>
      <w:r w:rsidR="000C1772" w:rsidRPr="006C3DB5">
        <w:rPr>
          <w:rFonts w:eastAsia="Times New Roman" w:cstheme="majorHAnsi"/>
          <w:lang w:val="en-AU" w:eastAsia="en-AU"/>
        </w:rPr>
        <w:t>;</w:t>
      </w:r>
      <w:r w:rsidR="000C1772" w:rsidRPr="006C3DB5">
        <w:rPr>
          <w:rStyle w:val="FootnoteReference"/>
          <w:rFonts w:eastAsia="Times New Roman" w:cstheme="majorHAnsi"/>
          <w:lang w:val="en-AU" w:eastAsia="en-AU"/>
        </w:rPr>
        <w:footnoteReference w:id="7"/>
      </w:r>
    </w:p>
    <w:p w14:paraId="10E59638" w14:textId="7BA40371" w:rsidR="000C1772"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expanding the No Interest Loan Scheme run by Good Shepherd Microfinance to women experiencing family and domestic violence</w:t>
      </w:r>
      <w:r w:rsidR="000C1772" w:rsidRPr="006C3DB5">
        <w:rPr>
          <w:rFonts w:eastAsia="Times New Roman" w:cstheme="majorHAnsi"/>
          <w:lang w:val="en-AU" w:eastAsia="en-AU"/>
        </w:rPr>
        <w:t>;</w:t>
      </w:r>
    </w:p>
    <w:p w14:paraId="28EB2FE3" w14:textId="166E3659" w:rsidR="00CC43EC"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funding legal assistance to ensure victims of family violence are protected from direct cross-examination by their perpetrators in family law matters</w:t>
      </w:r>
      <w:r w:rsidR="000C1772" w:rsidRPr="006C3DB5">
        <w:rPr>
          <w:rFonts w:eastAsia="Times New Roman" w:cstheme="majorHAnsi"/>
          <w:lang w:val="en-AU" w:eastAsia="en-AU"/>
        </w:rPr>
        <w:t>;</w:t>
      </w:r>
      <w:r w:rsidRPr="006C3DB5">
        <w:rPr>
          <w:rFonts w:eastAsia="Times New Roman" w:cstheme="majorHAnsi"/>
          <w:lang w:val="en-AU" w:eastAsia="en-AU"/>
        </w:rPr>
        <w:t xml:space="preserve"> </w:t>
      </w:r>
    </w:p>
    <w:p w14:paraId="572B204A" w14:textId="4DA93CD0" w:rsidR="00CC43EC"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improving the visibility of superannuation a</w:t>
      </w:r>
      <w:r w:rsidR="000C1772" w:rsidRPr="006C3DB5">
        <w:rPr>
          <w:rFonts w:eastAsia="Times New Roman" w:cstheme="majorHAnsi"/>
          <w:lang w:val="en-AU" w:eastAsia="en-AU"/>
        </w:rPr>
        <w:t>ssets in family law proceedings;</w:t>
      </w:r>
    </w:p>
    <w:p w14:paraId="2DEA03F3" w14:textId="4D404332" w:rsidR="00CC43EC"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t>providing family law property mediation</w:t>
      </w:r>
      <w:r w:rsidR="000C1772" w:rsidRPr="006C3DB5">
        <w:rPr>
          <w:rFonts w:eastAsia="Times New Roman" w:cstheme="majorHAnsi"/>
          <w:lang w:val="en-AU" w:eastAsia="en-AU"/>
        </w:rPr>
        <w:t>;</w:t>
      </w:r>
      <w:r w:rsidRPr="006C3DB5">
        <w:rPr>
          <w:rFonts w:eastAsia="Times New Roman" w:cstheme="majorHAnsi"/>
          <w:lang w:val="en-AU" w:eastAsia="en-AU"/>
        </w:rPr>
        <w:t xml:space="preserve"> </w:t>
      </w:r>
    </w:p>
    <w:p w14:paraId="08A4B9FB" w14:textId="24136201" w:rsidR="00CC43EC" w:rsidRPr="006C3DB5" w:rsidRDefault="00CC43EC" w:rsidP="00437D46">
      <w:pPr>
        <w:pStyle w:val="ListParagraph"/>
        <w:numPr>
          <w:ilvl w:val="1"/>
          <w:numId w:val="5"/>
        </w:numPr>
        <w:shd w:val="clear" w:color="auto" w:fill="FFFFFF"/>
        <w:spacing w:before="120" w:after="120"/>
        <w:contextualSpacing w:val="0"/>
        <w:rPr>
          <w:rFonts w:eastAsia="Times New Roman" w:cstheme="majorHAnsi"/>
          <w:lang w:val="en-AU" w:eastAsia="en-AU"/>
        </w:rPr>
      </w:pPr>
      <w:r w:rsidRPr="006C3DB5">
        <w:rPr>
          <w:rFonts w:eastAsia="Times New Roman" w:cstheme="majorHAnsi"/>
          <w:lang w:val="en-AU" w:eastAsia="en-AU"/>
        </w:rPr>
        <w:lastRenderedPageBreak/>
        <w:t>establishing a new Small Claims Property pilots program</w:t>
      </w:r>
      <w:r w:rsidR="000C1772" w:rsidRPr="006C3DB5">
        <w:rPr>
          <w:rFonts w:eastAsia="Times New Roman" w:cstheme="majorHAnsi"/>
          <w:lang w:val="en-AU" w:eastAsia="en-AU"/>
        </w:rPr>
        <w:t>.</w:t>
      </w:r>
    </w:p>
    <w:p w14:paraId="56A0E2EC" w14:textId="10145294" w:rsidR="00865357" w:rsidRDefault="00865357" w:rsidP="00865357">
      <w:pPr>
        <w:pStyle w:val="Heading2"/>
        <w:rPr>
          <w:rFonts w:eastAsia="Times New Roman"/>
          <w:lang w:val="en-AU" w:eastAsia="en-AU"/>
        </w:rPr>
      </w:pPr>
      <w:bookmarkStart w:id="8" w:name="_Toc6218508"/>
      <w:r>
        <w:rPr>
          <w:rFonts w:eastAsia="Times New Roman"/>
          <w:lang w:val="en-AU" w:eastAsia="en-AU"/>
        </w:rPr>
        <w:t>Women’s Safety Package</w:t>
      </w:r>
      <w:bookmarkEnd w:id="8"/>
    </w:p>
    <w:p w14:paraId="76B0BD25" w14:textId="62D1BFAF" w:rsidR="00865357" w:rsidRDefault="00865357" w:rsidP="00865357">
      <w:pPr>
        <w:pStyle w:val="Heading3"/>
      </w:pPr>
      <w:r>
        <w:t xml:space="preserve">Technology Trials </w:t>
      </w:r>
    </w:p>
    <w:p w14:paraId="23B3803B" w14:textId="6735A9C2" w:rsidR="00865357" w:rsidRPr="006C3DB5" w:rsidRDefault="00865357" w:rsidP="00865357">
      <w:pPr>
        <w:shd w:val="clear" w:color="auto" w:fill="FFFFFF"/>
        <w:spacing w:before="120" w:after="120"/>
        <w:rPr>
          <w:rFonts w:eastAsia="Times New Roman" w:cstheme="majorHAnsi"/>
          <w:lang w:val="en-AU" w:eastAsia="en-AU"/>
        </w:rPr>
      </w:pPr>
      <w:r w:rsidRPr="006C3DB5">
        <w:rPr>
          <w:rFonts w:eastAsia="Times New Roman" w:cstheme="majorHAnsi"/>
          <w:lang w:val="en-AU" w:eastAsia="en-AU"/>
        </w:rPr>
        <w:t>This is a previously announced measure under the Women’s Safety Package that is administer</w:t>
      </w:r>
      <w:r w:rsidR="00C627F7">
        <w:rPr>
          <w:rFonts w:eastAsia="Times New Roman" w:cstheme="majorHAnsi"/>
          <w:lang w:val="en-AU" w:eastAsia="en-AU"/>
        </w:rPr>
        <w:t>ed</w:t>
      </w:r>
      <w:r w:rsidRPr="006C3DB5">
        <w:rPr>
          <w:rFonts w:eastAsia="Times New Roman" w:cstheme="majorHAnsi"/>
          <w:lang w:val="en-AU" w:eastAsia="en-AU"/>
        </w:rPr>
        <w:t xml:space="preserve"> by the Department of Social Services and the eSafety Commissioner. The funding is available until 2020. </w:t>
      </w:r>
    </w:p>
    <w:p w14:paraId="7D843CA1" w14:textId="5875F979" w:rsidR="00865357" w:rsidRPr="006C3DB5" w:rsidRDefault="00865357" w:rsidP="00865357">
      <w:pPr>
        <w:shd w:val="clear" w:color="auto" w:fill="FFFFFF"/>
        <w:spacing w:before="120" w:after="120"/>
        <w:rPr>
          <w:rFonts w:eastAsia="Times New Roman" w:cstheme="majorHAnsi"/>
          <w:lang w:val="en-AU" w:eastAsia="en-AU"/>
        </w:rPr>
      </w:pPr>
      <w:r w:rsidRPr="006C3DB5">
        <w:rPr>
          <w:rFonts w:eastAsia="Times New Roman" w:cstheme="majorHAnsi"/>
          <w:lang w:val="en-AU" w:eastAsia="en-AU"/>
        </w:rPr>
        <w:t>This program supports a series of trials to test new technologies or innovative uses of existing technologies to improve the safety of women and children affected by family and domestic violence.</w:t>
      </w:r>
    </w:p>
    <w:p w14:paraId="1E952C72" w14:textId="77777777" w:rsidR="00865357" w:rsidRDefault="00865357" w:rsidP="00865357">
      <w:pPr>
        <w:shd w:val="clear" w:color="auto" w:fill="FFFFFF"/>
        <w:spacing w:before="120" w:after="120"/>
        <w:rPr>
          <w:rFonts w:eastAsia="Times New Roman" w:cstheme="majorHAnsi"/>
          <w:b/>
          <w:highlight w:val="yellow"/>
          <w:lang w:val="en-AU" w:eastAsia="en-AU"/>
        </w:rPr>
      </w:pPr>
      <w:r>
        <w:rPr>
          <w:noProof/>
          <w:lang w:val="en-AU" w:eastAsia="en-AU"/>
        </w:rPr>
        <w:drawing>
          <wp:inline distT="0" distB="0" distL="0" distR="0" wp14:anchorId="5B31FAA4" wp14:editId="53B0EB58">
            <wp:extent cx="5731510" cy="12763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685"/>
                    <a:stretch/>
                  </pic:blipFill>
                  <pic:spPr bwMode="auto">
                    <a:xfrm>
                      <a:off x="0" y="0"/>
                      <a:ext cx="5731510" cy="1276350"/>
                    </a:xfrm>
                    <a:prstGeom prst="rect">
                      <a:avLst/>
                    </a:prstGeom>
                    <a:ln>
                      <a:noFill/>
                    </a:ln>
                    <a:extLst>
                      <a:ext uri="{53640926-AAD7-44D8-BBD7-CCE9431645EC}">
                        <a14:shadowObscured xmlns:a14="http://schemas.microsoft.com/office/drawing/2010/main"/>
                      </a:ext>
                    </a:extLst>
                  </pic:spPr>
                </pic:pic>
              </a:graphicData>
            </a:graphic>
          </wp:inline>
        </w:drawing>
      </w:r>
    </w:p>
    <w:p w14:paraId="733B72B3" w14:textId="53247FEE" w:rsidR="00CC43EC" w:rsidRDefault="00865357" w:rsidP="00437D46">
      <w:pPr>
        <w:shd w:val="clear" w:color="auto" w:fill="FFFFFF"/>
        <w:spacing w:before="120" w:after="120"/>
        <w:rPr>
          <w:rFonts w:eastAsia="Times New Roman" w:cstheme="majorHAnsi"/>
          <w:i/>
          <w:color w:val="222222"/>
          <w:lang w:val="en-AU" w:eastAsia="en-AU"/>
        </w:rPr>
      </w:pPr>
      <w:r w:rsidRPr="00865357">
        <w:rPr>
          <w:rFonts w:eastAsia="Times New Roman" w:cstheme="majorHAnsi"/>
          <w:i/>
          <w:color w:val="222222"/>
          <w:lang w:val="en-AU" w:eastAsia="en-AU"/>
        </w:rPr>
        <w:t>Budget paper 3 2019-2020, p. 40</w:t>
      </w:r>
    </w:p>
    <w:p w14:paraId="3A4CC20D" w14:textId="07DD81CB" w:rsidR="000C6218" w:rsidRPr="00F40EF2" w:rsidRDefault="000C6218" w:rsidP="00437D46">
      <w:pPr>
        <w:shd w:val="clear" w:color="auto" w:fill="FFFFFF"/>
        <w:spacing w:before="120" w:after="120"/>
        <w:rPr>
          <w:rFonts w:eastAsia="Times New Roman" w:cstheme="majorHAnsi"/>
          <w:color w:val="222222"/>
          <w:lang w:val="en-AU" w:eastAsia="en-AU"/>
        </w:rPr>
      </w:pPr>
      <w:r>
        <w:rPr>
          <w:rFonts w:eastAsia="Times New Roman" w:cstheme="majorHAnsi"/>
          <w:color w:val="222222"/>
          <w:lang w:val="en-AU" w:eastAsia="en-AU"/>
        </w:rPr>
        <w:t>The Budget does not provide funding to continue all programs established under the Women’s Safety Package</w:t>
      </w:r>
      <w:r w:rsidR="007429E5">
        <w:rPr>
          <w:rFonts w:eastAsia="Times New Roman" w:cstheme="majorHAnsi"/>
          <w:color w:val="222222"/>
          <w:lang w:val="en-AU" w:eastAsia="en-AU"/>
        </w:rPr>
        <w:t>. T</w:t>
      </w:r>
      <w:r>
        <w:rPr>
          <w:rFonts w:eastAsia="Times New Roman" w:cstheme="majorHAnsi"/>
          <w:color w:val="222222"/>
          <w:lang w:val="en-AU" w:eastAsia="en-AU"/>
        </w:rPr>
        <w:t xml:space="preserve">his </w:t>
      </w:r>
      <w:r w:rsidR="007429E5">
        <w:rPr>
          <w:rFonts w:eastAsia="Times New Roman" w:cstheme="majorHAnsi"/>
          <w:color w:val="222222"/>
          <w:lang w:val="en-AU" w:eastAsia="en-AU"/>
        </w:rPr>
        <w:t xml:space="preserve">lapse in funding </w:t>
      </w:r>
      <w:r>
        <w:rPr>
          <w:rFonts w:eastAsia="Times New Roman" w:cstheme="majorHAnsi"/>
          <w:color w:val="222222"/>
          <w:lang w:val="en-AU" w:eastAsia="en-AU"/>
        </w:rPr>
        <w:t>includes the Safer Technology for Women program</w:t>
      </w:r>
      <w:r w:rsidR="007429E5">
        <w:rPr>
          <w:rFonts w:eastAsia="Times New Roman" w:cstheme="majorHAnsi"/>
          <w:color w:val="222222"/>
          <w:lang w:val="en-AU" w:eastAsia="en-AU"/>
        </w:rPr>
        <w:t xml:space="preserve"> delivered by WESNET</w:t>
      </w:r>
      <w:r>
        <w:rPr>
          <w:rFonts w:eastAsia="Times New Roman" w:cstheme="majorHAnsi"/>
          <w:color w:val="222222"/>
          <w:lang w:val="en-AU" w:eastAsia="en-AU"/>
        </w:rPr>
        <w:t xml:space="preserve">, despite the fact that this program was positively evaluated by an external assessor and the evaluation found that </w:t>
      </w:r>
      <w:r w:rsidR="007429E5">
        <w:rPr>
          <w:rFonts w:eastAsia="Times New Roman" w:cstheme="majorHAnsi"/>
          <w:color w:val="222222"/>
          <w:lang w:val="en-AU" w:eastAsia="en-AU"/>
        </w:rPr>
        <w:t xml:space="preserve">frontline workers in domestic and family violence services want more face-to-face and longer training to support their clients experiencing technology-facilitated abuse. </w:t>
      </w:r>
    </w:p>
    <w:p w14:paraId="2267BFA4" w14:textId="4D952686" w:rsidR="009D7CE0" w:rsidRPr="006C3DB5" w:rsidRDefault="006C3DB5" w:rsidP="006C3DB5">
      <w:pPr>
        <w:pStyle w:val="Heading2"/>
        <w:rPr>
          <w:rFonts w:eastAsia="Times New Roman"/>
          <w:lang w:val="en-AU" w:eastAsia="en-AU"/>
        </w:rPr>
      </w:pPr>
      <w:bookmarkStart w:id="9" w:name="_Toc6218509"/>
      <w:r>
        <w:rPr>
          <w:rFonts w:eastAsia="Times New Roman"/>
          <w:lang w:val="en-AU" w:eastAsia="en-AU"/>
        </w:rPr>
        <w:t>Other measures related to addressing violence against women</w:t>
      </w:r>
      <w:bookmarkEnd w:id="9"/>
    </w:p>
    <w:p w14:paraId="20D19C43" w14:textId="4D7875B5" w:rsidR="009D7CE0" w:rsidRPr="00360069" w:rsidRDefault="00360069" w:rsidP="00360069">
      <w:pPr>
        <w:pStyle w:val="Heading3"/>
      </w:pPr>
      <w:r w:rsidRPr="00360069">
        <w:t xml:space="preserve">Department of Veterans’ Affairs: </w:t>
      </w:r>
      <w:r w:rsidR="009D7CE0" w:rsidRPr="00360069">
        <w:t>Partner Service Pensions — eligibility alignment</w:t>
      </w:r>
    </w:p>
    <w:p w14:paraId="7A984A08" w14:textId="77777777" w:rsidR="00360069" w:rsidRDefault="009D7CE0" w:rsidP="00437D46">
      <w:pPr>
        <w:shd w:val="clear" w:color="auto" w:fill="FFFFFF"/>
        <w:spacing w:before="120" w:after="120"/>
        <w:rPr>
          <w:rFonts w:eastAsia="Times New Roman" w:cstheme="majorHAnsi"/>
          <w:color w:val="222222"/>
          <w:lang w:val="en-AU" w:eastAsia="en-AU"/>
        </w:rPr>
      </w:pPr>
      <w:r w:rsidRPr="009D7CE0">
        <w:rPr>
          <w:rFonts w:eastAsia="Times New Roman" w:cstheme="majorHAnsi"/>
          <w:color w:val="222222"/>
          <w:lang w:val="en-AU" w:eastAsia="en-AU"/>
        </w:rPr>
        <w:t xml:space="preserve">The Government will provide $6.2 million over four years from 2019-20 (and $1.4 million per year ongoing) to ensure equal treatment of former spouses and former de-facto partners of veterans concerning access to the partner service pension when they separate from their veteran partner. </w:t>
      </w:r>
    </w:p>
    <w:p w14:paraId="246484DE" w14:textId="19E68AA1" w:rsidR="009D7CE0" w:rsidRPr="00A85A3F" w:rsidRDefault="009D7CE0" w:rsidP="00437D46">
      <w:pPr>
        <w:shd w:val="clear" w:color="auto" w:fill="FFFFFF"/>
        <w:spacing w:before="120" w:after="120"/>
        <w:rPr>
          <w:rFonts w:eastAsia="Times New Roman" w:cstheme="majorHAnsi"/>
          <w:color w:val="222222"/>
          <w:lang w:val="en-AU" w:eastAsia="en-AU"/>
        </w:rPr>
      </w:pPr>
      <w:r w:rsidRPr="009D7CE0">
        <w:rPr>
          <w:rFonts w:eastAsia="Times New Roman" w:cstheme="majorHAnsi"/>
          <w:color w:val="222222"/>
          <w:lang w:val="en-AU" w:eastAsia="en-AU"/>
        </w:rPr>
        <w:t>Both former spouses and former de-facto partners of veterans will be able to continue to receive the partner service pension after their relationship with their veteran partner has ended, including as a result of family or domestic violence.</w:t>
      </w:r>
      <w:r w:rsidR="00360069">
        <w:rPr>
          <w:rStyle w:val="FootnoteReference"/>
          <w:rFonts w:eastAsia="Times New Roman" w:cstheme="majorHAnsi"/>
          <w:color w:val="222222"/>
          <w:lang w:val="en-AU" w:eastAsia="en-AU"/>
        </w:rPr>
        <w:footnoteReference w:id="8"/>
      </w:r>
    </w:p>
    <w:p w14:paraId="47E72C0F" w14:textId="77777777" w:rsidR="00C71AA6" w:rsidRPr="00B55BAE" w:rsidRDefault="00C71AA6" w:rsidP="00B55BAE">
      <w:pPr>
        <w:pStyle w:val="Heading3"/>
        <w:rPr>
          <w:b w:val="0"/>
        </w:rPr>
      </w:pPr>
      <w:r w:rsidRPr="00B55BAE">
        <w:t>Prioritising Mental Health — caring for our community</w:t>
      </w:r>
    </w:p>
    <w:p w14:paraId="22A19EA7" w14:textId="7DAF0369" w:rsidR="00360069" w:rsidRPr="00B55BAE" w:rsidRDefault="00360069" w:rsidP="00360069">
      <w:pPr>
        <w:shd w:val="clear" w:color="auto" w:fill="FFFFFF"/>
        <w:spacing w:before="120" w:after="120"/>
        <w:rPr>
          <w:rFonts w:eastAsia="Times New Roman" w:cstheme="majorHAnsi"/>
          <w:color w:val="222222"/>
          <w:lang w:val="en-AU" w:eastAsia="en-AU"/>
        </w:rPr>
      </w:pPr>
      <w:r w:rsidRPr="00B55BAE">
        <w:rPr>
          <w:rFonts w:eastAsia="Times New Roman" w:cstheme="majorHAnsi"/>
          <w:color w:val="222222"/>
          <w:lang w:val="en-AU" w:eastAsia="en-AU"/>
        </w:rPr>
        <w:t>The Government will provide $229.9 million over seven years from 2018-19 (including $80.5 million beyond 2022-23) to improve mental health services within the community by strengthening social networks and peer groups, supporting social inclusion and increasing treatment options.</w:t>
      </w:r>
      <w:r w:rsidRPr="00B55BAE">
        <w:rPr>
          <w:rFonts w:eastAsia="Times New Roman" w:cstheme="majorHAnsi"/>
          <w:color w:val="222222"/>
          <w:lang w:val="en-AU" w:eastAsia="en-AU"/>
        </w:rPr>
        <w:footnoteReference w:id="9"/>
      </w:r>
      <w:r w:rsidR="008D7202" w:rsidRPr="00B55BAE">
        <w:rPr>
          <w:rFonts w:eastAsia="Times New Roman" w:cstheme="majorHAnsi"/>
          <w:color w:val="222222"/>
          <w:vertAlign w:val="superscript"/>
          <w:lang w:val="en-AU" w:eastAsia="en-AU"/>
        </w:rPr>
        <w:t xml:space="preserve"> </w:t>
      </w:r>
    </w:p>
    <w:p w14:paraId="530640AE" w14:textId="77777777" w:rsidR="00B55BAE" w:rsidRDefault="008D7202" w:rsidP="00F40EF2">
      <w:pPr>
        <w:shd w:val="clear" w:color="auto" w:fill="FFFFFF"/>
        <w:spacing w:before="120" w:after="120"/>
        <w:rPr>
          <w:rFonts w:eastAsia="Times New Roman" w:cstheme="majorHAnsi"/>
          <w:color w:val="222222"/>
          <w:lang w:val="en-AU" w:eastAsia="en-AU"/>
        </w:rPr>
      </w:pPr>
      <w:r w:rsidRPr="00B55BAE">
        <w:rPr>
          <w:rFonts w:eastAsia="Times New Roman" w:cstheme="majorHAnsi"/>
          <w:color w:val="222222"/>
          <w:lang w:val="en-AU" w:eastAsia="en-AU"/>
        </w:rPr>
        <w:t xml:space="preserve">One of the funding allocations will be given to the Ester Foundation in the amount of </w:t>
      </w:r>
      <w:r w:rsidR="00C71AA6" w:rsidRPr="00B55BAE">
        <w:rPr>
          <w:rFonts w:eastAsia="Times New Roman" w:cstheme="majorHAnsi"/>
          <w:color w:val="222222"/>
          <w:lang w:val="en-AU" w:eastAsia="en-AU"/>
        </w:rPr>
        <w:t xml:space="preserve">$4.0 million over seven years from 2018-19 </w:t>
      </w:r>
      <w:r w:rsidRPr="00B55BAE">
        <w:rPr>
          <w:rFonts w:eastAsia="Times New Roman" w:cstheme="majorHAnsi"/>
          <w:color w:val="222222"/>
          <w:lang w:val="en-AU" w:eastAsia="en-AU"/>
        </w:rPr>
        <w:t>for</w:t>
      </w:r>
      <w:r w:rsidR="00C71AA6" w:rsidRPr="00B55BAE">
        <w:rPr>
          <w:rFonts w:eastAsia="Times New Roman" w:cstheme="majorHAnsi"/>
          <w:color w:val="222222"/>
          <w:lang w:val="en-AU" w:eastAsia="en-AU"/>
        </w:rPr>
        <w:t xml:space="preserve"> young women’s residential health, development and leadership program to provide counselling to assist with issues such as domestic violence, substance abuse, mental health and self-harm</w:t>
      </w:r>
      <w:r w:rsidRPr="00B55BAE">
        <w:rPr>
          <w:rFonts w:eastAsia="Times New Roman" w:cstheme="majorHAnsi"/>
          <w:color w:val="222222"/>
          <w:lang w:val="en-AU" w:eastAsia="en-AU"/>
        </w:rPr>
        <w:t>.</w:t>
      </w:r>
      <w:r>
        <w:rPr>
          <w:rFonts w:eastAsia="Times New Roman" w:cstheme="majorHAnsi"/>
          <w:color w:val="222222"/>
          <w:lang w:val="en-AU" w:eastAsia="en-AU"/>
        </w:rPr>
        <w:t xml:space="preserve"> </w:t>
      </w:r>
    </w:p>
    <w:p w14:paraId="0D1E1B75" w14:textId="12188DD8" w:rsidR="00A85A3F" w:rsidRPr="00A85A3F" w:rsidRDefault="00CA744C" w:rsidP="00492FB4">
      <w:pPr>
        <w:pStyle w:val="Heading1"/>
        <w:rPr>
          <w:rFonts w:eastAsia="Times New Roman"/>
          <w:lang w:eastAsia="en-AU"/>
        </w:rPr>
      </w:pPr>
      <w:bookmarkStart w:id="10" w:name="_Toc6218510"/>
      <w:r>
        <w:rPr>
          <w:rFonts w:eastAsia="Times New Roman"/>
          <w:lang w:eastAsia="en-AU"/>
        </w:rPr>
        <w:t>Attorney General’s Portfolio</w:t>
      </w:r>
      <w:bookmarkEnd w:id="10"/>
      <w:r>
        <w:rPr>
          <w:rFonts w:eastAsia="Times New Roman"/>
          <w:lang w:eastAsia="en-AU"/>
        </w:rPr>
        <w:t xml:space="preserve"> </w:t>
      </w:r>
    </w:p>
    <w:p w14:paraId="758406A6" w14:textId="416A9BDA" w:rsidR="004B452D" w:rsidRDefault="004B452D" w:rsidP="00437D46">
      <w:pPr>
        <w:shd w:val="clear" w:color="auto" w:fill="FFFFFF"/>
        <w:spacing w:before="120" w:after="120"/>
        <w:rPr>
          <w:rFonts w:eastAsia="Times New Roman" w:cstheme="majorHAnsi"/>
          <w:color w:val="222222"/>
          <w:lang w:val="en-AU" w:eastAsia="en-AU"/>
        </w:rPr>
      </w:pPr>
      <w:r w:rsidRPr="004B452D">
        <w:rPr>
          <w:rFonts w:eastAsia="Times New Roman" w:cstheme="majorHAnsi"/>
          <w:color w:val="222222"/>
          <w:lang w:val="en-AU" w:eastAsia="en-AU"/>
        </w:rPr>
        <w:t>Attorney General’s Department will be administering several measures related to addressing violence against women. This includes some of the measures announced in the Fourth Action Plan</w:t>
      </w:r>
      <w:r>
        <w:rPr>
          <w:rFonts w:eastAsia="Times New Roman" w:cstheme="majorHAnsi"/>
          <w:color w:val="222222"/>
          <w:lang w:val="en-AU" w:eastAsia="en-AU"/>
        </w:rPr>
        <w:t xml:space="preserve"> (measure to </w:t>
      </w:r>
      <w:r>
        <w:rPr>
          <w:rFonts w:eastAsia="Times New Roman" w:cstheme="majorHAnsi"/>
          <w:color w:val="222222"/>
          <w:lang w:val="en-AU" w:eastAsia="en-AU"/>
        </w:rPr>
        <w:lastRenderedPageBreak/>
        <w:t>improve col</w:t>
      </w:r>
      <w:r w:rsidRPr="004B452D">
        <w:rPr>
          <w:rFonts w:eastAsia="Times New Roman" w:cstheme="majorHAnsi"/>
          <w:color w:val="222222"/>
          <w:lang w:val="en-AU" w:eastAsia="en-AU"/>
        </w:rPr>
        <w:t xml:space="preserve">laboration and information sharing between the Federal Family Law system and state family violence and child protection </w:t>
      </w:r>
      <w:r>
        <w:rPr>
          <w:rFonts w:eastAsia="Times New Roman" w:cstheme="majorHAnsi"/>
          <w:color w:val="222222"/>
          <w:lang w:val="en-AU" w:eastAsia="en-AU"/>
        </w:rPr>
        <w:t>agencies</w:t>
      </w:r>
      <w:r w:rsidR="00A44074">
        <w:rPr>
          <w:rStyle w:val="FootnoteReference"/>
          <w:rFonts w:eastAsia="Times New Roman" w:cstheme="majorHAnsi"/>
          <w:color w:val="222222"/>
          <w:lang w:val="en-AU" w:eastAsia="en-AU"/>
        </w:rPr>
        <w:footnoteReference w:id="10"/>
      </w:r>
      <w:r>
        <w:rPr>
          <w:rFonts w:eastAsia="Times New Roman" w:cstheme="majorHAnsi"/>
          <w:color w:val="222222"/>
          <w:lang w:val="en-AU" w:eastAsia="en-AU"/>
        </w:rPr>
        <w:t>) as well as other measure</w:t>
      </w:r>
      <w:r w:rsidR="00A44074">
        <w:rPr>
          <w:rFonts w:eastAsia="Times New Roman" w:cstheme="majorHAnsi"/>
          <w:color w:val="222222"/>
          <w:lang w:val="en-AU" w:eastAsia="en-AU"/>
        </w:rPr>
        <w:t>s</w:t>
      </w:r>
      <w:r>
        <w:rPr>
          <w:rFonts w:eastAsia="Times New Roman" w:cstheme="majorHAnsi"/>
          <w:color w:val="222222"/>
          <w:lang w:val="en-AU" w:eastAsia="en-AU"/>
        </w:rPr>
        <w:t xml:space="preserve"> in the access to justice area. </w:t>
      </w:r>
    </w:p>
    <w:p w14:paraId="31E9CB58" w14:textId="61517C59" w:rsidR="00492FB4" w:rsidRDefault="00492FB4" w:rsidP="00437D46">
      <w:pPr>
        <w:shd w:val="clear" w:color="auto" w:fill="FFFFFF"/>
        <w:spacing w:before="120" w:after="120"/>
        <w:rPr>
          <w:rFonts w:eastAsia="Times New Roman" w:cstheme="majorHAnsi"/>
          <w:color w:val="222222"/>
          <w:lang w:val="en-AU" w:eastAsia="en-AU"/>
        </w:rPr>
      </w:pPr>
      <w:r>
        <w:rPr>
          <w:rFonts w:eastAsia="Times New Roman" w:cstheme="majorHAnsi"/>
          <w:color w:val="222222"/>
          <w:lang w:val="en-AU" w:eastAsia="en-AU"/>
        </w:rPr>
        <w:t xml:space="preserve">Funding described below includes funding announced as a part of the Budget 2019 – 2020 as well as </w:t>
      </w:r>
      <w:r w:rsidRPr="00FE7996">
        <w:rPr>
          <w:rFonts w:eastAsia="Times New Roman" w:cstheme="majorHAnsi"/>
          <w:color w:val="222222"/>
          <w:lang w:val="en-AU" w:eastAsia="en-AU"/>
        </w:rPr>
        <w:t>the Budget 2018-2019 - Mid-Year Economic and Fiscal Outlook</w:t>
      </w:r>
      <w:r>
        <w:rPr>
          <w:rFonts w:eastAsia="Times New Roman" w:cstheme="majorHAnsi"/>
          <w:color w:val="222222"/>
          <w:lang w:val="en-AU" w:eastAsia="en-AU"/>
        </w:rPr>
        <w:t xml:space="preserve">. </w:t>
      </w:r>
    </w:p>
    <w:p w14:paraId="0E1C5D38" w14:textId="458E057C" w:rsidR="00492FB4" w:rsidRDefault="00492FB4" w:rsidP="00492FB4">
      <w:pPr>
        <w:pStyle w:val="Heading2"/>
        <w:rPr>
          <w:rFonts w:eastAsia="Times New Roman"/>
          <w:lang w:eastAsia="en-AU"/>
        </w:rPr>
      </w:pPr>
      <w:bookmarkStart w:id="11" w:name="_Toc6218511"/>
      <w:r>
        <w:rPr>
          <w:rFonts w:eastAsia="Times New Roman"/>
          <w:lang w:eastAsia="en-AU"/>
        </w:rPr>
        <w:t>Measures directly related to addressing violence against women and their children</w:t>
      </w:r>
      <w:bookmarkEnd w:id="11"/>
      <w:r>
        <w:rPr>
          <w:rFonts w:eastAsia="Times New Roman"/>
          <w:lang w:eastAsia="en-AU"/>
        </w:rPr>
        <w:t xml:space="preserve"> </w:t>
      </w:r>
    </w:p>
    <w:p w14:paraId="59D3661B" w14:textId="77777777" w:rsidR="004B452D" w:rsidRPr="00492FB4" w:rsidRDefault="004B452D" w:rsidP="00492FB4">
      <w:pPr>
        <w:pStyle w:val="Heading3"/>
      </w:pPr>
      <w:r w:rsidRPr="00492FB4">
        <w:t>F</w:t>
      </w:r>
      <w:r w:rsidR="009D7CE0" w:rsidRPr="00492FB4">
        <w:t xml:space="preserve">amily Advocacy and Support Services </w:t>
      </w:r>
    </w:p>
    <w:p w14:paraId="34F6CB32" w14:textId="7B244A1A" w:rsidR="00FE7996" w:rsidRDefault="00FE7996" w:rsidP="004D6CBF">
      <w:pPr>
        <w:pStyle w:val="Heading4"/>
        <w:rPr>
          <w:rFonts w:eastAsia="Times New Roman"/>
          <w:lang w:val="en-AU" w:eastAsia="en-AU"/>
        </w:rPr>
      </w:pPr>
      <w:r>
        <w:rPr>
          <w:rFonts w:eastAsia="Times New Roman"/>
          <w:lang w:val="en-AU" w:eastAsia="en-AU"/>
        </w:rPr>
        <w:t xml:space="preserve">General service funding </w:t>
      </w:r>
    </w:p>
    <w:p w14:paraId="19BECE69" w14:textId="7E43B911" w:rsidR="00865357" w:rsidRPr="004B452D" w:rsidRDefault="004B452D" w:rsidP="00437D46">
      <w:pPr>
        <w:shd w:val="clear" w:color="auto" w:fill="FFFFFF"/>
        <w:spacing w:before="120" w:after="120"/>
        <w:rPr>
          <w:rFonts w:eastAsia="Times New Roman" w:cstheme="majorHAnsi"/>
          <w:color w:val="222222"/>
          <w:lang w:val="en-AU" w:eastAsia="en-AU"/>
        </w:rPr>
      </w:pPr>
      <w:r w:rsidRPr="004B452D">
        <w:rPr>
          <w:rFonts w:eastAsia="Times New Roman" w:cstheme="majorHAnsi"/>
          <w:color w:val="222222"/>
          <w:lang w:val="en-AU" w:eastAsia="en-AU"/>
        </w:rPr>
        <w:t xml:space="preserve">The Family Advocacy and Support Service (FASS) program has been funded under the Third Action Plan of the National Plan to Reduce Violence Against Women and their Children to provide a holistic service (a duty lawyer and a social worker) for people affected by family violence to navigate the family law system. The Australian Government provided $18.5 million from 2016 to 2019. </w:t>
      </w:r>
    </w:p>
    <w:p w14:paraId="66C4E9FC" w14:textId="343BEDCF" w:rsidR="004B452D" w:rsidRDefault="004B452D" w:rsidP="00437D46">
      <w:pPr>
        <w:shd w:val="clear" w:color="auto" w:fill="FFFFFF"/>
        <w:spacing w:before="120" w:after="120"/>
        <w:rPr>
          <w:rFonts w:eastAsia="Times New Roman" w:cstheme="majorHAnsi"/>
          <w:color w:val="222222"/>
          <w:vertAlign w:val="superscript"/>
          <w:lang w:val="en-AU" w:eastAsia="en-AU"/>
        </w:rPr>
      </w:pPr>
      <w:r w:rsidRPr="004B452D">
        <w:rPr>
          <w:rFonts w:eastAsia="Times New Roman" w:cstheme="majorHAnsi"/>
          <w:color w:val="222222"/>
          <w:lang w:val="en-AU" w:eastAsia="en-AU"/>
        </w:rPr>
        <w:t>The FASS operates in 14 family law court registries and two local court registries in the Northern Territory, 13 of which are regional locations.</w:t>
      </w:r>
      <w:r w:rsidRPr="004B452D">
        <w:rPr>
          <w:rFonts w:eastAsia="Times New Roman" w:cstheme="majorHAnsi"/>
          <w:color w:val="222222"/>
          <w:vertAlign w:val="superscript"/>
          <w:lang w:val="en-AU" w:eastAsia="en-AU"/>
        </w:rPr>
        <w:footnoteReference w:id="11"/>
      </w:r>
      <w:r w:rsidRPr="004B452D">
        <w:rPr>
          <w:rFonts w:eastAsia="Times New Roman" w:cstheme="majorHAnsi"/>
          <w:color w:val="222222"/>
          <w:vertAlign w:val="superscript"/>
          <w:lang w:val="en-AU" w:eastAsia="en-AU"/>
        </w:rPr>
        <w:t xml:space="preserve"> </w:t>
      </w:r>
    </w:p>
    <w:p w14:paraId="6CBF2455" w14:textId="165D2162" w:rsidR="004B452D" w:rsidRDefault="004B452D" w:rsidP="00437D46">
      <w:pPr>
        <w:shd w:val="clear" w:color="auto" w:fill="FFFFFF"/>
        <w:spacing w:before="120" w:after="120"/>
        <w:rPr>
          <w:rFonts w:eastAsia="Times New Roman" w:cstheme="majorHAnsi"/>
          <w:color w:val="222222"/>
          <w:lang w:val="en-AU" w:eastAsia="en-AU"/>
        </w:rPr>
      </w:pPr>
      <w:r w:rsidRPr="00FE7996">
        <w:rPr>
          <w:rFonts w:eastAsia="Times New Roman" w:cstheme="majorHAnsi"/>
          <w:color w:val="222222"/>
          <w:lang w:val="en-AU" w:eastAsia="en-AU"/>
        </w:rPr>
        <w:t>Following the FASS’ positive evaluation, as part of the Budget 2018-2019 - Mid-Year Economic and Fiscal Outlook, the Government committed to provide an additiona</w:t>
      </w:r>
      <w:r w:rsidRPr="00BF122C">
        <w:rPr>
          <w:rFonts w:eastAsia="Times New Roman" w:cstheme="majorHAnsi"/>
          <w:color w:val="222222"/>
          <w:lang w:val="en-AU" w:eastAsia="en-AU"/>
        </w:rPr>
        <w:t>l $22.6 million to extend the existing FASS from 1 July 2019 to 30 June 2022</w:t>
      </w:r>
      <w:r w:rsidR="00FE7996" w:rsidRPr="00BF122C">
        <w:rPr>
          <w:rFonts w:eastAsia="Times New Roman" w:cstheme="majorHAnsi"/>
          <w:color w:val="222222"/>
          <w:lang w:val="en-AU" w:eastAsia="en-AU"/>
        </w:rPr>
        <w:t xml:space="preserve">. </w:t>
      </w:r>
    </w:p>
    <w:p w14:paraId="5D6F8E81" w14:textId="320DAE09" w:rsidR="00FE7996" w:rsidRPr="00FE7996" w:rsidRDefault="00FE7996" w:rsidP="00437D46">
      <w:pPr>
        <w:shd w:val="clear" w:color="auto" w:fill="FFFFFF"/>
        <w:spacing w:before="120" w:after="120"/>
        <w:rPr>
          <w:rFonts w:eastAsia="Times New Roman" w:cstheme="majorHAnsi"/>
          <w:color w:val="222222"/>
          <w:lang w:val="en-AU" w:eastAsia="en-AU"/>
        </w:rPr>
      </w:pPr>
      <w:r>
        <w:rPr>
          <w:rFonts w:eastAsia="Times New Roman" w:cstheme="majorHAnsi"/>
          <w:color w:val="222222"/>
          <w:lang w:val="en-AU" w:eastAsia="en-AU"/>
        </w:rPr>
        <w:t xml:space="preserve">AWAVA has previously called for the expansion of FASS. We welcome this measure. </w:t>
      </w:r>
    </w:p>
    <w:p w14:paraId="72D1D93D" w14:textId="195D11BE" w:rsidR="009D7CE0" w:rsidRPr="009D7CE0" w:rsidRDefault="009D7CE0" w:rsidP="004D6CBF">
      <w:pPr>
        <w:pStyle w:val="Heading4"/>
        <w:rPr>
          <w:rFonts w:eastAsia="Times New Roman"/>
          <w:lang w:eastAsia="en-AU"/>
        </w:rPr>
      </w:pPr>
      <w:r w:rsidRPr="009D7CE0">
        <w:rPr>
          <w:rFonts w:eastAsia="Times New Roman"/>
          <w:lang w:eastAsia="en-AU"/>
        </w:rPr>
        <w:t>Dedicated Men’s Support Workers</w:t>
      </w:r>
    </w:p>
    <w:p w14:paraId="7787DC4A" w14:textId="7790B73C" w:rsidR="009D7CE0" w:rsidRDefault="004B452D" w:rsidP="00437D46">
      <w:pPr>
        <w:shd w:val="clear" w:color="auto" w:fill="FFFFFF"/>
        <w:spacing w:before="120" w:after="120"/>
        <w:rPr>
          <w:rFonts w:eastAsia="Times New Roman" w:cstheme="majorHAnsi"/>
          <w:color w:val="222222"/>
          <w:lang w:val="en-AU" w:eastAsia="en-AU"/>
        </w:rPr>
      </w:pPr>
      <w:r>
        <w:rPr>
          <w:rFonts w:eastAsia="Times New Roman" w:cstheme="majorHAnsi"/>
          <w:color w:val="222222"/>
          <w:lang w:val="en-AU" w:eastAsia="en-AU"/>
        </w:rPr>
        <w:t xml:space="preserve">This is additional funding towards Family Advocacy and Support Services </w:t>
      </w:r>
      <w:r w:rsidR="00FE7996" w:rsidRPr="009D7CE0">
        <w:rPr>
          <w:rFonts w:eastAsia="Times New Roman" w:cstheme="majorHAnsi"/>
          <w:color w:val="222222"/>
          <w:lang w:val="en-AU" w:eastAsia="en-AU"/>
        </w:rPr>
        <w:t>to employ dedicated men’s social support workers in Family Advocacy and Support Services locations to work with male victims and alleged perpetrators of family violence involved in family law matters.</w:t>
      </w:r>
    </w:p>
    <w:p w14:paraId="321AE8B6" w14:textId="5D7A0D38" w:rsidR="009D7CE0" w:rsidRPr="009D7CE0" w:rsidRDefault="009D7CE0" w:rsidP="00437D46">
      <w:pPr>
        <w:shd w:val="clear" w:color="auto" w:fill="FFFFFF"/>
        <w:spacing w:before="120" w:after="120"/>
        <w:rPr>
          <w:rFonts w:eastAsia="Times New Roman" w:cstheme="majorHAnsi"/>
          <w:color w:val="222222"/>
          <w:lang w:val="en-AU" w:eastAsia="en-AU"/>
        </w:rPr>
      </w:pPr>
      <w:r w:rsidRPr="009D7CE0">
        <w:rPr>
          <w:rFonts w:eastAsia="Times New Roman" w:cstheme="majorHAnsi"/>
          <w:color w:val="222222"/>
          <w:lang w:val="en-AU" w:eastAsia="en-AU"/>
        </w:rPr>
        <w:t xml:space="preserve">The </w:t>
      </w:r>
      <w:r w:rsidR="00FE7996">
        <w:rPr>
          <w:rFonts w:eastAsia="Times New Roman" w:cstheme="majorHAnsi"/>
          <w:color w:val="222222"/>
          <w:lang w:val="en-AU" w:eastAsia="en-AU"/>
        </w:rPr>
        <w:t xml:space="preserve">total investment amounts to </w:t>
      </w:r>
      <w:r w:rsidRPr="00BF122C">
        <w:rPr>
          <w:rFonts w:eastAsia="Times New Roman" w:cstheme="majorHAnsi"/>
          <w:color w:val="222222"/>
          <w:lang w:val="en-AU" w:eastAsia="en-AU"/>
        </w:rPr>
        <w:t>$7.8 millio</w:t>
      </w:r>
      <w:r w:rsidR="00FE7996" w:rsidRPr="00BF122C">
        <w:rPr>
          <w:rFonts w:eastAsia="Times New Roman" w:cstheme="majorHAnsi"/>
          <w:color w:val="222222"/>
          <w:lang w:val="en-AU" w:eastAsia="en-AU"/>
        </w:rPr>
        <w:t xml:space="preserve">n over three years from 2019-20. </w:t>
      </w:r>
      <w:r w:rsidRPr="00BF122C">
        <w:rPr>
          <w:rFonts w:eastAsia="Times New Roman" w:cstheme="majorHAnsi"/>
          <w:color w:val="222222"/>
          <w:lang w:val="en-AU" w:eastAsia="en-AU"/>
        </w:rPr>
        <w:t>This</w:t>
      </w:r>
      <w:r w:rsidRPr="009D7CE0">
        <w:rPr>
          <w:rFonts w:eastAsia="Times New Roman" w:cstheme="majorHAnsi"/>
          <w:color w:val="222222"/>
          <w:lang w:val="en-AU" w:eastAsia="en-AU"/>
        </w:rPr>
        <w:t xml:space="preserve"> measure builds on the 2018-19 MYEFO measure titled Family Advocacy and Support Services and Legally Assisted and Culturally Appropriate Dispute Resolution — extension of services.</w:t>
      </w:r>
      <w:r w:rsidR="00FE7996">
        <w:rPr>
          <w:rStyle w:val="FootnoteReference"/>
          <w:rFonts w:eastAsia="Times New Roman" w:cstheme="majorHAnsi"/>
          <w:color w:val="222222"/>
          <w:lang w:val="en-AU" w:eastAsia="en-AU"/>
        </w:rPr>
        <w:footnoteReference w:id="12"/>
      </w:r>
    </w:p>
    <w:p w14:paraId="38EC7D81" w14:textId="696A945E" w:rsidR="009D7CE0" w:rsidRDefault="00437D46" w:rsidP="00437D46">
      <w:pPr>
        <w:shd w:val="clear" w:color="auto" w:fill="FFFFFF"/>
        <w:spacing w:before="120" w:after="120"/>
        <w:rPr>
          <w:rFonts w:eastAsia="Times New Roman" w:cstheme="majorHAnsi"/>
          <w:color w:val="222222"/>
          <w:lang w:val="en-AU" w:eastAsia="en-AU"/>
        </w:rPr>
      </w:pPr>
      <w:r>
        <w:rPr>
          <w:rFonts w:eastAsia="Times New Roman" w:cstheme="majorHAnsi"/>
          <w:color w:val="222222"/>
          <w:lang w:val="en-AU" w:eastAsia="en-AU"/>
        </w:rPr>
        <w:t xml:space="preserve">We welcome this measure. AWAVA </w:t>
      </w:r>
      <w:r w:rsidR="00C627F7">
        <w:rPr>
          <w:rFonts w:eastAsia="Times New Roman" w:cstheme="majorHAnsi"/>
          <w:color w:val="222222"/>
          <w:lang w:val="en-AU" w:eastAsia="en-AU"/>
        </w:rPr>
        <w:t xml:space="preserve">sought </w:t>
      </w:r>
      <w:r>
        <w:rPr>
          <w:rFonts w:eastAsia="Times New Roman" w:cstheme="majorHAnsi"/>
          <w:color w:val="222222"/>
          <w:lang w:val="en-AU" w:eastAsia="en-AU"/>
        </w:rPr>
        <w:t xml:space="preserve">clarification in regard to the terminology </w:t>
      </w:r>
      <w:r w:rsidR="00C627F7">
        <w:rPr>
          <w:rFonts w:eastAsia="Times New Roman" w:cstheme="majorHAnsi"/>
          <w:color w:val="222222"/>
          <w:lang w:val="en-AU" w:eastAsia="en-AU"/>
        </w:rPr>
        <w:t xml:space="preserve">of </w:t>
      </w:r>
      <w:r>
        <w:rPr>
          <w:rFonts w:eastAsia="Times New Roman" w:cstheme="majorHAnsi"/>
          <w:color w:val="222222"/>
          <w:lang w:val="en-AU" w:eastAsia="en-AU"/>
        </w:rPr>
        <w:t>‘alleged perpetrators’</w:t>
      </w:r>
      <w:r w:rsidR="00C627F7">
        <w:rPr>
          <w:rFonts w:eastAsia="Times New Roman" w:cstheme="majorHAnsi"/>
          <w:color w:val="222222"/>
          <w:lang w:val="en-AU" w:eastAsia="en-AU"/>
        </w:rPr>
        <w:t xml:space="preserve"> and were told that it was meant to encompass both alleged and convicted </w:t>
      </w:r>
      <w:r>
        <w:rPr>
          <w:rFonts w:eastAsia="Times New Roman" w:cstheme="majorHAnsi"/>
          <w:color w:val="222222"/>
          <w:lang w:val="en-AU" w:eastAsia="en-AU"/>
        </w:rPr>
        <w:t>perpetrators involved in family law matters</w:t>
      </w:r>
      <w:r w:rsidR="00C627F7">
        <w:rPr>
          <w:rFonts w:eastAsia="Times New Roman" w:cstheme="majorHAnsi"/>
          <w:color w:val="222222"/>
          <w:lang w:val="en-AU" w:eastAsia="en-AU"/>
        </w:rPr>
        <w:t>.</w:t>
      </w:r>
      <w:r w:rsidR="00A44074">
        <w:rPr>
          <w:rStyle w:val="FootnoteReference"/>
          <w:rFonts w:eastAsia="Times New Roman" w:cstheme="majorHAnsi"/>
          <w:color w:val="222222"/>
          <w:lang w:val="en-AU" w:eastAsia="en-AU"/>
        </w:rPr>
        <w:footnoteReference w:id="13"/>
      </w:r>
      <w:r w:rsidR="00A44074">
        <w:t xml:space="preserve"> </w:t>
      </w:r>
    </w:p>
    <w:p w14:paraId="1F481F5E" w14:textId="67F731A5" w:rsidR="00492FB4" w:rsidRPr="00A85A3F" w:rsidRDefault="001D679D" w:rsidP="00492FB4">
      <w:pPr>
        <w:pStyle w:val="Heading3"/>
      </w:pPr>
      <w:r>
        <w:t xml:space="preserve">Funding under the </w:t>
      </w:r>
      <w:r w:rsidR="00492FB4">
        <w:t xml:space="preserve">Women’s </w:t>
      </w:r>
      <w:r w:rsidR="00B60457">
        <w:t xml:space="preserve">Economic Security Package </w:t>
      </w:r>
      <w:r>
        <w:t xml:space="preserve">administered by the AGD </w:t>
      </w:r>
    </w:p>
    <w:p w14:paraId="1ABD6285" w14:textId="382C599D" w:rsidR="00492FB4" w:rsidRDefault="00492FB4" w:rsidP="00437D46">
      <w:pPr>
        <w:shd w:val="clear" w:color="auto" w:fill="FFFFFF"/>
        <w:spacing w:before="120" w:after="120"/>
      </w:pPr>
      <w:r>
        <w:rPr>
          <w:rFonts w:eastAsia="Times New Roman" w:cstheme="majorHAnsi"/>
          <w:color w:val="222222"/>
          <w:lang w:val="en-AU" w:eastAsia="en-AU"/>
        </w:rPr>
        <w:t xml:space="preserve">As part of the package, there is new funding in the amount of $98.4 million for </w:t>
      </w:r>
      <w:r>
        <w:t>family law services and initiatives to support women and their families to recover financially after separation.</w:t>
      </w:r>
      <w:r w:rsidR="00BC1791">
        <w:rPr>
          <w:rStyle w:val="FootnoteReference"/>
        </w:rPr>
        <w:footnoteReference w:id="14"/>
      </w:r>
      <w:r>
        <w:t xml:space="preserve"> </w:t>
      </w:r>
    </w:p>
    <w:p w14:paraId="5FDCE6CA" w14:textId="388EB29E" w:rsidR="00492FB4" w:rsidRDefault="00492FB4" w:rsidP="00437D46">
      <w:pPr>
        <w:shd w:val="clear" w:color="auto" w:fill="FFFFFF"/>
        <w:spacing w:before="120" w:after="120"/>
      </w:pPr>
      <w:r>
        <w:t>The Package includes:</w:t>
      </w:r>
      <w:r>
        <w:rPr>
          <w:rStyle w:val="FootnoteReference"/>
        </w:rPr>
        <w:footnoteReference w:id="15"/>
      </w:r>
    </w:p>
    <w:p w14:paraId="4366590B" w14:textId="77777777" w:rsidR="00492FB4" w:rsidRDefault="00492FB4" w:rsidP="00492FB4">
      <w:pPr>
        <w:pStyle w:val="ListParagraph"/>
        <w:numPr>
          <w:ilvl w:val="0"/>
          <w:numId w:val="5"/>
        </w:numPr>
        <w:shd w:val="clear" w:color="auto" w:fill="FFFFFF"/>
        <w:spacing w:before="120" w:after="120"/>
      </w:pPr>
      <w:r>
        <w:t xml:space="preserve">$50.4 million in new funding for family law property mediation. </w:t>
      </w:r>
    </w:p>
    <w:p w14:paraId="2C0F852A" w14:textId="5F1FB729" w:rsidR="00492FB4" w:rsidRDefault="00492FB4" w:rsidP="00492FB4">
      <w:pPr>
        <w:pStyle w:val="ListParagraph"/>
        <w:numPr>
          <w:ilvl w:val="1"/>
          <w:numId w:val="5"/>
        </w:numPr>
        <w:shd w:val="clear" w:color="auto" w:fill="FFFFFF"/>
        <w:spacing w:before="120" w:after="120"/>
      </w:pPr>
      <w:r>
        <w:lastRenderedPageBreak/>
        <w:t xml:space="preserve">$13.0 million each year will be provided to the 65 Family </w:t>
      </w:r>
      <w:r w:rsidR="00C627F7">
        <w:t xml:space="preserve">and </w:t>
      </w:r>
      <w:r>
        <w:t xml:space="preserve">Relationship Centres across Australia on an ongoing basis to provide mediation services to help families to reach agreements about splitting their property after separation without having to go to court. This funding will be available from 1 July 2019; </w:t>
      </w:r>
    </w:p>
    <w:p w14:paraId="0CFB1BC3" w14:textId="77777777" w:rsidR="00492FB4" w:rsidRDefault="00492FB4" w:rsidP="00492FB4">
      <w:pPr>
        <w:pStyle w:val="ListParagraph"/>
        <w:numPr>
          <w:ilvl w:val="1"/>
          <w:numId w:val="5"/>
        </w:numPr>
        <w:shd w:val="clear" w:color="auto" w:fill="FFFFFF"/>
        <w:spacing w:before="120" w:after="120"/>
      </w:pPr>
      <w:r>
        <w:t>$10.3 million will be provided for Legal Aid Commissions in each state and territory to conduct a two year trial of lawyer-assisted mediation for families with a property pool of up to $500,000 (excluding debt). The trial will run from January 2020-December 2021;</w:t>
      </w:r>
    </w:p>
    <w:p w14:paraId="27F18ACF" w14:textId="77777777" w:rsidR="00492FB4" w:rsidRDefault="00492FB4" w:rsidP="00492FB4">
      <w:pPr>
        <w:pStyle w:val="ListParagraph"/>
        <w:numPr>
          <w:ilvl w:val="0"/>
          <w:numId w:val="5"/>
        </w:numPr>
        <w:shd w:val="clear" w:color="auto" w:fill="FFFFFF"/>
        <w:spacing w:before="120" w:after="120"/>
      </w:pPr>
      <w:r>
        <w:t xml:space="preserve">$5.9 million in additional new funding for the federal family courts to conduct a two year pilot of simpler and faster court processes for dividing small claim property disputes between separating couples. The pilot will run at four locations across the country from January 2020 to December 2021; </w:t>
      </w:r>
    </w:p>
    <w:p w14:paraId="4DC4B8CF" w14:textId="77777777" w:rsidR="00492FB4" w:rsidRDefault="00492FB4" w:rsidP="00492FB4">
      <w:pPr>
        <w:pStyle w:val="ListParagraph"/>
        <w:numPr>
          <w:ilvl w:val="0"/>
          <w:numId w:val="5"/>
        </w:numPr>
        <w:shd w:val="clear" w:color="auto" w:fill="FFFFFF"/>
        <w:spacing w:before="120" w:after="120"/>
      </w:pPr>
      <w:r>
        <w:t xml:space="preserve">$3.3 million in new funding for the Australian Taxation Office, as part of a joint measure with the Attorney-General’s Department, to develop an electronic system to allow superannuation information to be provided directly to the family law courts in family law disputes. This will provide the courts with a more timely, accurate and reliable source of information about superannuation assets to inform property settlements; </w:t>
      </w:r>
    </w:p>
    <w:p w14:paraId="7E05BE25" w14:textId="6B834760" w:rsidR="00492FB4" w:rsidRDefault="00492FB4" w:rsidP="00492FB4">
      <w:pPr>
        <w:pStyle w:val="ListParagraph"/>
        <w:numPr>
          <w:ilvl w:val="0"/>
          <w:numId w:val="5"/>
        </w:numPr>
        <w:shd w:val="clear" w:color="auto" w:fill="FFFFFF"/>
        <w:spacing w:before="120" w:after="120"/>
      </w:pPr>
      <w:r>
        <w:t>$31.8 million over three years (ongoing) to existing Commonwealth-funded specialist Domestic Violence Units and Health Justice Partnerships</w:t>
      </w:r>
      <w:r w:rsidR="00BC1791">
        <w:rPr>
          <w:rStyle w:val="FootnoteReference"/>
        </w:rPr>
        <w:footnoteReference w:id="16"/>
      </w:r>
      <w:r>
        <w:t xml:space="preserve"> to continue existing services and expand services to include the provision of financial support services such as financial advice, counselling and literacy</w:t>
      </w:r>
      <w:r w:rsidR="00BC1791">
        <w:t xml:space="preserve">. </w:t>
      </w:r>
    </w:p>
    <w:p w14:paraId="72A3712D" w14:textId="4E152E66" w:rsidR="00492FB4" w:rsidRPr="00492FB4" w:rsidRDefault="00492FB4" w:rsidP="00492FB4">
      <w:pPr>
        <w:pStyle w:val="ListParagraph"/>
        <w:numPr>
          <w:ilvl w:val="0"/>
          <w:numId w:val="5"/>
        </w:numPr>
        <w:shd w:val="clear" w:color="auto" w:fill="FFFFFF"/>
        <w:spacing w:before="120" w:after="120"/>
        <w:rPr>
          <w:rFonts w:eastAsia="Times New Roman" w:cstheme="majorHAnsi"/>
          <w:color w:val="222222"/>
          <w:lang w:val="en-AU" w:eastAsia="en-AU"/>
        </w:rPr>
      </w:pPr>
      <w:r>
        <w:t>ongoing funding, initially $7.0 million over three years, to establish the new Family Violence and Cross-Examination of Parties Scheme. Under the Scheme, Legal Aid Commissions in each state and territory will be funded to provide legal representation to all self-represented parties subject to the ban on direct cross-examination in the Family Law Act 1975.</w:t>
      </w:r>
    </w:p>
    <w:p w14:paraId="27D09641" w14:textId="1A2623CE" w:rsidR="00492FB4" w:rsidRDefault="00492FB4" w:rsidP="00492FB4">
      <w:pPr>
        <w:pStyle w:val="Heading3"/>
        <w:rPr>
          <w:color w:val="222222"/>
          <w:lang w:val="en-AU"/>
        </w:rPr>
      </w:pPr>
      <w:r>
        <w:t>Legally Assisted and Culturally Appropriate Dispute Resolution Pilots</w:t>
      </w:r>
    </w:p>
    <w:p w14:paraId="75979376" w14:textId="7FE71AB1" w:rsidR="00492FB4" w:rsidRPr="007142F4" w:rsidRDefault="00492FB4" w:rsidP="00437D46">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 xml:space="preserve">This measure builds on the previous funding under the Third Action Plain in the amount of $6.2 million to fund Family Relationship Centres to pilot enhanced models of legally assisted and culturally-appropriate family dispute resolution services for Indigenous and culturally and linguistically diverse families who have experienced family violence. </w:t>
      </w:r>
    </w:p>
    <w:p w14:paraId="5FF7E83E" w14:textId="0FA092C8" w:rsidR="00492FB4" w:rsidRPr="007142F4" w:rsidRDefault="00492FB4" w:rsidP="00437D46">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 xml:space="preserve">In 2018-2019 further $2.475 million were provided to extend the operation and evaluation of the pilot until 30 June 2020. </w:t>
      </w:r>
    </w:p>
    <w:p w14:paraId="22A2336F" w14:textId="4D55E7D6" w:rsidR="009D7CE0" w:rsidRDefault="009D7CE0" w:rsidP="00794DE7">
      <w:pPr>
        <w:pStyle w:val="Heading3"/>
      </w:pPr>
      <w:r w:rsidRPr="00794DE7">
        <w:t>Single National Mechanism for Commonwealth Legal Assistance</w:t>
      </w:r>
    </w:p>
    <w:p w14:paraId="73ABD72E" w14:textId="38CAD39C" w:rsidR="00794DE7" w:rsidRPr="007142F4" w:rsidRDefault="00794DE7" w:rsidP="00794DE7">
      <w:pPr>
        <w:rPr>
          <w:lang w:val="en-US" w:eastAsia="en-AU"/>
        </w:rPr>
      </w:pPr>
      <w:r w:rsidRPr="007142F4">
        <w:rPr>
          <w:lang w:val="en-US" w:eastAsia="en-AU"/>
        </w:rPr>
        <w:t xml:space="preserve">This is a new measure announced in the Budget aimed to subsume under one funding scheme the funding for Legal Aid Commissions, Community Legal Services and </w:t>
      </w:r>
      <w:r w:rsidRPr="007142F4">
        <w:rPr>
          <w:rFonts w:eastAsia="Times New Roman" w:cstheme="majorHAnsi"/>
          <w:lang w:val="en-AU" w:eastAsia="en-AU"/>
        </w:rPr>
        <w:t xml:space="preserve">Aboriginal and Torres Strait Islander Legal Services. </w:t>
      </w:r>
    </w:p>
    <w:p w14:paraId="439BF959" w14:textId="77777777" w:rsidR="00A85A3F" w:rsidRPr="00A77A1E" w:rsidRDefault="00A85A3F" w:rsidP="00437D46">
      <w:pPr>
        <w:shd w:val="clear" w:color="auto" w:fill="FFFFFF"/>
        <w:spacing w:before="120" w:after="120"/>
        <w:rPr>
          <w:rFonts w:eastAsia="Times New Roman" w:cstheme="majorHAnsi"/>
          <w:b/>
          <w:lang w:val="en-AU" w:eastAsia="en-AU"/>
        </w:rPr>
      </w:pPr>
      <w:r w:rsidRPr="00A77A1E">
        <w:rPr>
          <w:rFonts w:cstheme="majorHAnsi"/>
          <w:noProof/>
          <w:lang w:val="en-AU" w:eastAsia="en-AU"/>
        </w:rPr>
        <w:drawing>
          <wp:inline distT="0" distB="0" distL="0" distR="0" wp14:anchorId="6A8C7337" wp14:editId="0D4646B1">
            <wp:extent cx="5731510" cy="12649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1950" b="5394"/>
                    <a:stretch/>
                  </pic:blipFill>
                  <pic:spPr bwMode="auto">
                    <a:xfrm>
                      <a:off x="0" y="0"/>
                      <a:ext cx="5731510" cy="1264920"/>
                    </a:xfrm>
                    <a:prstGeom prst="rect">
                      <a:avLst/>
                    </a:prstGeom>
                    <a:ln>
                      <a:noFill/>
                    </a:ln>
                    <a:extLst>
                      <a:ext uri="{53640926-AAD7-44D8-BBD7-CCE9431645EC}">
                        <a14:shadowObscured xmlns:a14="http://schemas.microsoft.com/office/drawing/2010/main"/>
                      </a:ext>
                    </a:extLst>
                  </pic:spPr>
                </pic:pic>
              </a:graphicData>
            </a:graphic>
          </wp:inline>
        </w:drawing>
      </w:r>
    </w:p>
    <w:p w14:paraId="124FC9A7" w14:textId="32F4432C" w:rsidR="00794DE7" w:rsidRPr="00A77A1E" w:rsidRDefault="00794DE7" w:rsidP="00794DE7">
      <w:pPr>
        <w:shd w:val="clear" w:color="auto" w:fill="FFFFFF"/>
        <w:spacing w:before="120" w:after="120"/>
        <w:rPr>
          <w:rFonts w:eastAsia="Times New Roman" w:cstheme="majorHAnsi"/>
          <w:i/>
          <w:lang w:val="en-AU" w:eastAsia="en-AU"/>
        </w:rPr>
      </w:pPr>
      <w:r w:rsidRPr="00A77A1E">
        <w:rPr>
          <w:rFonts w:eastAsia="Times New Roman" w:cstheme="majorHAnsi"/>
          <w:i/>
          <w:lang w:val="en-AU" w:eastAsia="en-AU"/>
        </w:rPr>
        <w:t xml:space="preserve">Budget paper 2, page 55. </w:t>
      </w:r>
    </w:p>
    <w:p w14:paraId="51B9A4DF" w14:textId="08527491" w:rsidR="009D7CE0" w:rsidRPr="00A77A1E" w:rsidRDefault="00794DE7" w:rsidP="00437D46">
      <w:pPr>
        <w:shd w:val="clear" w:color="auto" w:fill="FFFFFF"/>
        <w:spacing w:before="120" w:after="120"/>
        <w:rPr>
          <w:rFonts w:eastAsia="Times New Roman" w:cstheme="majorHAnsi"/>
          <w:lang w:val="en-AU" w:eastAsia="en-AU"/>
        </w:rPr>
      </w:pPr>
      <w:r w:rsidRPr="00A77A1E">
        <w:rPr>
          <w:rFonts w:eastAsia="Times New Roman" w:cstheme="majorHAnsi"/>
          <w:lang w:val="en-AU" w:eastAsia="en-AU"/>
        </w:rPr>
        <w:lastRenderedPageBreak/>
        <w:t xml:space="preserve">The total investment amounts to </w:t>
      </w:r>
      <w:r w:rsidR="009D7CE0" w:rsidRPr="00A77A1E">
        <w:rPr>
          <w:rFonts w:eastAsia="Times New Roman" w:cstheme="majorHAnsi"/>
          <w:lang w:val="en-AU" w:eastAsia="en-AU"/>
        </w:rPr>
        <w:t>$1.2 billio</w:t>
      </w:r>
      <w:r w:rsidRPr="00A77A1E">
        <w:rPr>
          <w:rFonts w:eastAsia="Times New Roman" w:cstheme="majorHAnsi"/>
          <w:lang w:val="en-AU" w:eastAsia="en-AU"/>
        </w:rPr>
        <w:t>n over three years from 2020-21. It is stated that t</w:t>
      </w:r>
      <w:r w:rsidR="009D7CE0" w:rsidRPr="00A77A1E">
        <w:rPr>
          <w:rFonts w:eastAsia="Times New Roman" w:cstheme="majorHAnsi"/>
          <w:lang w:val="en-AU" w:eastAsia="en-AU"/>
        </w:rPr>
        <w:t>he national mechanism will commence on 1 July 2020 and will allow for a more collaborative, innovative and effective legal assistance sector in order to address legal needs for t</w:t>
      </w:r>
      <w:r w:rsidR="00A77A1E" w:rsidRPr="00A77A1E">
        <w:rPr>
          <w:rFonts w:eastAsia="Times New Roman" w:cstheme="majorHAnsi"/>
          <w:lang w:val="en-AU" w:eastAsia="en-AU"/>
        </w:rPr>
        <w:t>he most vulnerable Australians.</w:t>
      </w:r>
    </w:p>
    <w:p w14:paraId="34A7C55A" w14:textId="16C9CB43" w:rsidR="00BF122C" w:rsidRDefault="00A77A1E" w:rsidP="00A77A1E">
      <w:pPr>
        <w:shd w:val="clear" w:color="auto" w:fill="FFFFFF"/>
        <w:spacing w:before="120" w:after="120"/>
        <w:rPr>
          <w:rFonts w:eastAsia="Times New Roman" w:cstheme="majorHAnsi"/>
          <w:lang w:val="en-AU" w:eastAsia="en-AU"/>
        </w:rPr>
      </w:pPr>
      <w:r w:rsidRPr="00A77A1E">
        <w:rPr>
          <w:rFonts w:eastAsia="Times New Roman" w:cstheme="majorHAnsi"/>
          <w:lang w:val="en-AU" w:eastAsia="en-AU"/>
        </w:rPr>
        <w:t xml:space="preserve">We welcome this investment as the current National Partnership Agreement on Legal Assistance was due to run out in 2020. </w:t>
      </w:r>
      <w:r w:rsidR="00BF122C">
        <w:rPr>
          <w:rFonts w:eastAsia="Times New Roman" w:cstheme="majorHAnsi"/>
          <w:lang w:val="en-AU" w:eastAsia="en-AU"/>
        </w:rPr>
        <w:t xml:space="preserve">The current funding levels are as follows: </w:t>
      </w:r>
    </w:p>
    <w:p w14:paraId="56877C24" w14:textId="404A1248" w:rsidR="00BF122C" w:rsidRDefault="00BF122C" w:rsidP="00A77A1E">
      <w:pPr>
        <w:shd w:val="clear" w:color="auto" w:fill="FFFFFF"/>
        <w:spacing w:before="120" w:after="120"/>
        <w:rPr>
          <w:rFonts w:eastAsia="Times New Roman" w:cstheme="majorHAnsi"/>
          <w:lang w:val="en-AU" w:eastAsia="en-AU"/>
        </w:rPr>
      </w:pPr>
      <w:r>
        <w:rPr>
          <w:noProof/>
          <w:lang w:val="en-AU" w:eastAsia="en-AU"/>
        </w:rPr>
        <w:drawing>
          <wp:inline distT="0" distB="0" distL="0" distR="0" wp14:anchorId="74AC1F9B" wp14:editId="4D2F473B">
            <wp:extent cx="5731510" cy="142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24305"/>
                    </a:xfrm>
                    <a:prstGeom prst="rect">
                      <a:avLst/>
                    </a:prstGeom>
                  </pic:spPr>
                </pic:pic>
              </a:graphicData>
            </a:graphic>
          </wp:inline>
        </w:drawing>
      </w:r>
    </w:p>
    <w:p w14:paraId="244700EC" w14:textId="5C2FDD49" w:rsidR="00BF122C" w:rsidRPr="00BF122C" w:rsidRDefault="00BF122C" w:rsidP="00A77A1E">
      <w:pPr>
        <w:shd w:val="clear" w:color="auto" w:fill="FFFFFF"/>
        <w:spacing w:before="120" w:after="120"/>
        <w:rPr>
          <w:rFonts w:eastAsia="Times New Roman" w:cstheme="majorHAnsi"/>
          <w:i/>
          <w:lang w:val="en-AU" w:eastAsia="en-AU"/>
        </w:rPr>
      </w:pPr>
      <w:r w:rsidRPr="00BF122C">
        <w:rPr>
          <w:rFonts w:eastAsia="Times New Roman" w:cstheme="majorHAnsi"/>
          <w:i/>
          <w:lang w:val="en-AU" w:eastAsia="en-AU"/>
        </w:rPr>
        <w:t xml:space="preserve">Budget paper 3. </w:t>
      </w:r>
    </w:p>
    <w:p w14:paraId="213D6695" w14:textId="5824CC01" w:rsidR="00784ED5" w:rsidRDefault="00984D4A" w:rsidP="00A77A1E">
      <w:pPr>
        <w:shd w:val="clear" w:color="auto" w:fill="FFFFFF"/>
        <w:spacing w:before="120" w:after="120"/>
        <w:rPr>
          <w:rFonts w:eastAsia="Times New Roman" w:cstheme="majorHAnsi"/>
          <w:lang w:val="en-AU" w:eastAsia="en-AU"/>
        </w:rPr>
      </w:pPr>
      <w:r>
        <w:rPr>
          <w:rFonts w:eastAsia="Times New Roman" w:cstheme="majorHAnsi"/>
          <w:lang w:val="en-AU" w:eastAsia="en-AU"/>
        </w:rPr>
        <w:t>We believe that the access to free legal assistance for people living in disadvantage</w:t>
      </w:r>
      <w:r w:rsidR="00474E2D">
        <w:rPr>
          <w:rFonts w:eastAsia="Times New Roman" w:cstheme="majorHAnsi"/>
          <w:lang w:val="en-AU" w:eastAsia="en-AU"/>
        </w:rPr>
        <w:t>d</w:t>
      </w:r>
      <w:r>
        <w:rPr>
          <w:rFonts w:eastAsia="Times New Roman" w:cstheme="majorHAnsi"/>
          <w:lang w:val="en-AU" w:eastAsia="en-AU"/>
        </w:rPr>
        <w:t xml:space="preserve"> situations must be an ongoing funding commitment. </w:t>
      </w:r>
    </w:p>
    <w:p w14:paraId="54BBB3FB" w14:textId="2F7F10F7" w:rsidR="00A77A1E" w:rsidRPr="00A77A1E" w:rsidRDefault="00A77A1E" w:rsidP="00A77A1E">
      <w:pPr>
        <w:shd w:val="clear" w:color="auto" w:fill="FFFFFF"/>
        <w:spacing w:before="120" w:after="120"/>
        <w:rPr>
          <w:rFonts w:eastAsia="Times New Roman" w:cstheme="majorHAnsi"/>
          <w:lang w:val="en-AU" w:eastAsia="en-AU"/>
        </w:rPr>
      </w:pPr>
      <w:r w:rsidRPr="00A77A1E">
        <w:rPr>
          <w:rFonts w:eastAsia="Times New Roman" w:cstheme="majorHAnsi"/>
          <w:lang w:val="en-AU" w:eastAsia="en-AU"/>
        </w:rPr>
        <w:t>However, we share the concerns of the legal sector in relation to this budget measure. Firstly, this funding does not reflect the required investment as called for the Productivity Commission and the Law Council of Australia. In the final report of The Justice Project the Law Council of Australia has recommended to invest a minimum of $390 million per annum</w:t>
      </w:r>
      <w:r w:rsidR="00474E2D">
        <w:rPr>
          <w:rFonts w:eastAsia="Times New Roman" w:cstheme="majorHAnsi"/>
          <w:lang w:val="en-AU" w:eastAsia="en-AU"/>
        </w:rPr>
        <w:t xml:space="preserve"> in</w:t>
      </w:r>
      <w:r w:rsidRPr="00A77A1E">
        <w:rPr>
          <w:rFonts w:eastAsia="Times New Roman" w:cstheme="majorHAnsi"/>
          <w:lang w:val="en-AU" w:eastAsia="en-AU"/>
        </w:rPr>
        <w:t xml:space="preserve"> community legal services. We also note that the Productivity Commission recommended </w:t>
      </w:r>
      <w:r w:rsidR="00474E2D">
        <w:rPr>
          <w:rFonts w:eastAsia="Times New Roman" w:cstheme="majorHAnsi"/>
          <w:lang w:val="en-AU" w:eastAsia="en-AU"/>
        </w:rPr>
        <w:t xml:space="preserve">an </w:t>
      </w:r>
      <w:r w:rsidRPr="00A77A1E">
        <w:rPr>
          <w:rFonts w:eastAsia="Times New Roman" w:cstheme="majorHAnsi"/>
          <w:lang w:val="en-AU" w:eastAsia="en-AU"/>
        </w:rPr>
        <w:t xml:space="preserve">additional </w:t>
      </w:r>
      <w:r w:rsidR="00474E2D">
        <w:rPr>
          <w:rFonts w:eastAsia="Times New Roman" w:cstheme="majorHAnsi"/>
          <w:lang w:val="en-AU" w:eastAsia="en-AU"/>
        </w:rPr>
        <w:t>$</w:t>
      </w:r>
      <w:r w:rsidRPr="00A77A1E">
        <w:rPr>
          <w:rFonts w:eastAsia="Times New Roman" w:cstheme="majorHAnsi"/>
          <w:lang w:val="en-AU" w:eastAsia="en-AU"/>
        </w:rPr>
        <w:t xml:space="preserve">200 million </w:t>
      </w:r>
      <w:r>
        <w:rPr>
          <w:rFonts w:eastAsia="Times New Roman" w:cstheme="majorHAnsi"/>
          <w:lang w:val="en-AU" w:eastAsia="en-AU"/>
        </w:rPr>
        <w:t>investment</w:t>
      </w:r>
      <w:r w:rsidRPr="00A77A1E">
        <w:rPr>
          <w:rFonts w:eastAsia="Times New Roman" w:cstheme="majorHAnsi"/>
          <w:lang w:val="en-AU" w:eastAsia="en-AU"/>
        </w:rPr>
        <w:t xml:space="preserve"> to community legal centres. Secondly, abolition of a separate agreement for Aboriginal and Torres Strait Islander Legal Service undermines the commitment to self-determination.</w:t>
      </w:r>
      <w:r>
        <w:rPr>
          <w:rStyle w:val="FootnoteReference"/>
          <w:rFonts w:eastAsia="Times New Roman" w:cstheme="majorHAnsi"/>
          <w:lang w:val="en-AU" w:eastAsia="en-AU"/>
        </w:rPr>
        <w:footnoteReference w:id="17"/>
      </w:r>
      <w:r w:rsidRPr="00A77A1E">
        <w:rPr>
          <w:rFonts w:eastAsia="Times New Roman" w:cstheme="majorHAnsi"/>
          <w:lang w:val="en-AU" w:eastAsia="en-AU"/>
        </w:rPr>
        <w:t xml:space="preserve"> </w:t>
      </w:r>
    </w:p>
    <w:p w14:paraId="59F6DB2C" w14:textId="5362E921" w:rsidR="009D7CE0" w:rsidRPr="004D6CBF" w:rsidRDefault="004D6CBF" w:rsidP="004D6CBF">
      <w:pPr>
        <w:pStyle w:val="Heading3"/>
      </w:pPr>
      <w:r w:rsidRPr="004D6CBF">
        <w:t xml:space="preserve">Additional legal assistance funding </w:t>
      </w:r>
    </w:p>
    <w:p w14:paraId="1DEA94A7" w14:textId="32B57AA3" w:rsidR="00A85A3F" w:rsidRPr="007142F4" w:rsidRDefault="00A85A3F" w:rsidP="00437D46">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The Government will provide an additional $30.5 million over three years</w:t>
      </w:r>
      <w:r w:rsidRPr="007142F4">
        <w:rPr>
          <w:rFonts w:eastAsia="Times New Roman" w:cstheme="majorHAnsi"/>
          <w:b/>
          <w:lang w:val="en-AU" w:eastAsia="en-AU"/>
        </w:rPr>
        <w:t xml:space="preserve"> </w:t>
      </w:r>
      <w:r w:rsidRPr="007142F4">
        <w:rPr>
          <w:rFonts w:eastAsia="Times New Roman" w:cstheme="majorHAnsi"/>
          <w:lang w:val="en-AU" w:eastAsia="en-AU"/>
        </w:rPr>
        <w:t>for legal assistance services for those experiencing family violence, older Australians, people with disability, Australians with mental health issues, Indigenous Australians and those living in rural and remote areas</w:t>
      </w:r>
      <w:r w:rsidR="004D6CBF" w:rsidRPr="007142F4">
        <w:rPr>
          <w:rFonts w:eastAsia="Times New Roman" w:cstheme="majorHAnsi"/>
          <w:lang w:val="en-AU" w:eastAsia="en-AU"/>
        </w:rPr>
        <w:t>.</w:t>
      </w:r>
      <w:r w:rsidR="004D6CBF" w:rsidRPr="007142F4">
        <w:rPr>
          <w:rStyle w:val="FootnoteReference"/>
          <w:rFonts w:eastAsia="Times New Roman" w:cstheme="majorHAnsi"/>
          <w:lang w:val="en-AU" w:eastAsia="en-AU"/>
        </w:rPr>
        <w:footnoteReference w:id="18"/>
      </w:r>
      <w:r w:rsidR="004D6CBF" w:rsidRPr="007142F4">
        <w:rPr>
          <w:rFonts w:eastAsia="Times New Roman" w:cstheme="majorHAnsi"/>
          <w:lang w:val="en-AU" w:eastAsia="en-AU"/>
        </w:rPr>
        <w:t xml:space="preserve"> </w:t>
      </w:r>
    </w:p>
    <w:p w14:paraId="772E8246" w14:textId="2B498AE9" w:rsidR="005C658A" w:rsidRDefault="005C658A" w:rsidP="005C658A">
      <w:pPr>
        <w:pStyle w:val="Heading3"/>
      </w:pPr>
      <w:r>
        <w:t>Family Law Information Sharing</w:t>
      </w:r>
    </w:p>
    <w:p w14:paraId="4BFB0537" w14:textId="77777777" w:rsidR="005C658A" w:rsidRDefault="005C658A" w:rsidP="005C658A">
      <w:pPr>
        <w:shd w:val="clear" w:color="auto" w:fill="FFFFFF"/>
        <w:spacing w:before="120" w:after="120"/>
        <w:rPr>
          <w:sz w:val="20"/>
          <w:szCs w:val="20"/>
        </w:rPr>
      </w:pPr>
      <w:r>
        <w:rPr>
          <w:noProof/>
          <w:lang w:val="en-AU" w:eastAsia="en-AU"/>
        </w:rPr>
        <w:drawing>
          <wp:inline distT="0" distB="0" distL="0" distR="0" wp14:anchorId="4A971FFC" wp14:editId="22B2E2A3">
            <wp:extent cx="5731510" cy="1390015"/>
            <wp:effectExtent l="0" t="0" r="254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390015"/>
                    </a:xfrm>
                    <a:prstGeom prst="rect">
                      <a:avLst/>
                    </a:prstGeom>
                  </pic:spPr>
                </pic:pic>
              </a:graphicData>
            </a:graphic>
          </wp:inline>
        </w:drawing>
      </w:r>
    </w:p>
    <w:p w14:paraId="3B835B9E" w14:textId="30427283" w:rsidR="005C658A" w:rsidRPr="005C658A" w:rsidRDefault="005C658A" w:rsidP="005C658A">
      <w:pPr>
        <w:shd w:val="clear" w:color="auto" w:fill="FFFFFF"/>
        <w:spacing w:before="120" w:after="120"/>
        <w:rPr>
          <w:rFonts w:eastAsia="Times New Roman" w:cstheme="majorHAnsi"/>
          <w:i/>
          <w:color w:val="222222"/>
          <w:lang w:val="en-AU" w:eastAsia="en-AU"/>
        </w:rPr>
      </w:pPr>
      <w:r w:rsidRPr="005C658A">
        <w:rPr>
          <w:rFonts w:eastAsia="Times New Roman" w:cstheme="majorHAnsi"/>
          <w:i/>
          <w:color w:val="222222"/>
          <w:lang w:val="en-AU" w:eastAsia="en-AU"/>
        </w:rPr>
        <w:t>Budget paper 3.</w:t>
      </w:r>
    </w:p>
    <w:p w14:paraId="3F62CA63" w14:textId="211A0DF2" w:rsidR="005C658A" w:rsidRPr="007142F4" w:rsidRDefault="005C658A" w:rsidP="00437D46">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 xml:space="preserve">The Australian Government will support the placement of state family safety officials (such as child protection or policing officials) in the family law courts across Australia. These co-located officials will facilitate information sharing between the family law, child protection and family violence legal </w:t>
      </w:r>
      <w:r w:rsidRPr="007142F4">
        <w:rPr>
          <w:rFonts w:eastAsia="Times New Roman" w:cstheme="majorHAnsi"/>
          <w:lang w:val="en-AU" w:eastAsia="en-AU"/>
        </w:rPr>
        <w:lastRenderedPageBreak/>
        <w:t xml:space="preserve">systems. They will also foster a more coordinated response to safety issues, to promote the safety and wellbeing of families and children. </w:t>
      </w:r>
    </w:p>
    <w:p w14:paraId="463C6AD2" w14:textId="134E2C36" w:rsidR="00805A29" w:rsidRPr="00B169B4" w:rsidRDefault="00805A29" w:rsidP="00B169B4">
      <w:pPr>
        <w:pStyle w:val="Heading3"/>
      </w:pPr>
      <w:r w:rsidRPr="00B169B4">
        <w:t>Royal Commission into Violence, Abuse, Neglect and Exploitation of People with Disability</w:t>
      </w:r>
    </w:p>
    <w:p w14:paraId="767640EB" w14:textId="287C5CD3" w:rsidR="00B169B4" w:rsidRPr="007142F4" w:rsidRDefault="00B169B4" w:rsidP="0070046C">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The funding of $528 million over five years to support the work of the Royal Commission into Violence, Abuse, Neglect and Exploitation of People with Disability will be administered by the Attorney General’s Department (</w:t>
      </w:r>
      <w:r w:rsidRPr="007142F4">
        <w:t>$379.1 million over five years</w:t>
      </w:r>
      <w:r w:rsidRPr="007142F4">
        <w:rPr>
          <w:rFonts w:eastAsia="Times New Roman" w:cstheme="majorHAnsi"/>
          <w:lang w:val="en-AU" w:eastAsia="en-AU"/>
        </w:rPr>
        <w:t xml:space="preserve">) and </w:t>
      </w:r>
      <w:r w:rsidRPr="007142F4">
        <w:t xml:space="preserve">the Department of Social Services, the National Disability Insurance Agency and the National Disability Insurance Scheme Quality and Safeguards Commission ($148.8 million over three years). </w:t>
      </w:r>
    </w:p>
    <w:p w14:paraId="7050C10A" w14:textId="26FF5474" w:rsidR="00794DE7" w:rsidRPr="007142F4" w:rsidRDefault="00794DE7" w:rsidP="00794DE7">
      <w:pPr>
        <w:spacing w:before="120" w:after="120"/>
        <w:rPr>
          <w:rFonts w:cstheme="majorHAnsi"/>
          <w:lang w:val="en-AU"/>
        </w:rPr>
      </w:pPr>
      <w:r w:rsidRPr="007142F4">
        <w:rPr>
          <w:rFonts w:cstheme="majorHAnsi"/>
          <w:lang w:val="en-AU"/>
        </w:rPr>
        <w:t xml:space="preserve">This is a long sought commitment which is welcomed. As stated in </w:t>
      </w:r>
      <w:hyperlink r:id="rId19" w:history="1">
        <w:r w:rsidRPr="008410D4">
          <w:rPr>
            <w:rStyle w:val="Hyperlink"/>
            <w:rFonts w:cstheme="majorHAnsi"/>
            <w:lang w:val="en-AU"/>
          </w:rPr>
          <w:t>our submission</w:t>
        </w:r>
      </w:hyperlink>
      <w:r w:rsidRPr="007142F4">
        <w:rPr>
          <w:rFonts w:cstheme="majorHAnsi"/>
          <w:lang w:val="en-AU"/>
        </w:rPr>
        <w:t xml:space="preserve"> in response to the consultation on the terms of reference, the Royal Commission must embed gender and intersectionality lenses in its terms of reference as well as ensure the centrality of the lived experiences. </w:t>
      </w:r>
    </w:p>
    <w:p w14:paraId="09D833FE" w14:textId="77777777" w:rsidR="00BE3EF7" w:rsidRPr="00693E98" w:rsidRDefault="00BE3EF7" w:rsidP="00693E98">
      <w:pPr>
        <w:pStyle w:val="Heading3"/>
      </w:pPr>
      <w:r w:rsidRPr="00693E98">
        <w:t>Family Law Courts – improving risk identification and management</w:t>
      </w:r>
    </w:p>
    <w:p w14:paraId="464F3E89" w14:textId="36BA36A4" w:rsidR="00BE3EF7" w:rsidRDefault="00BE3EF7" w:rsidP="00424DDD">
      <w:pPr>
        <w:rPr>
          <w:rFonts w:ascii="Calibri Light" w:hAnsi="Calibri Light"/>
          <w:lang w:val="en-US"/>
        </w:rPr>
      </w:pPr>
      <w:r w:rsidRPr="007916ED">
        <w:rPr>
          <w:rFonts w:ascii="Calibri Light" w:hAnsi="Calibri Light"/>
          <w:lang w:val="en-US"/>
        </w:rPr>
        <w:t>This measure was announced in the 2017-18 budget to employ additional family consultants. The funding is ongoing and estimated until 2021. No funding increase has been allocated.</w:t>
      </w:r>
      <w:r w:rsidR="00635829">
        <w:rPr>
          <w:rFonts w:ascii="Calibri Light" w:hAnsi="Calibri Light"/>
          <w:lang w:val="en-US"/>
        </w:rPr>
        <w:t xml:space="preserve"> The funding is administered by AGD ($0.4 million) and the Federal Court of Australia ($5.2</w:t>
      </w:r>
      <w:r w:rsidR="00040A8D">
        <w:rPr>
          <w:rFonts w:ascii="Calibri Light" w:hAnsi="Calibri Light"/>
          <w:lang w:val="en-US"/>
        </w:rPr>
        <w:t xml:space="preserve"> million</w:t>
      </w:r>
      <w:r w:rsidR="00635829">
        <w:rPr>
          <w:rFonts w:ascii="Calibri Light" w:hAnsi="Calibri Light"/>
          <w:lang w:val="en-US"/>
        </w:rPr>
        <w:t xml:space="preserve">). </w:t>
      </w:r>
    </w:p>
    <w:p w14:paraId="1BE667B9" w14:textId="61D213C8" w:rsidR="00A27C46" w:rsidRDefault="00A27C46" w:rsidP="00693E98">
      <w:pPr>
        <w:pStyle w:val="Heading3"/>
      </w:pPr>
      <w:r>
        <w:t xml:space="preserve">Funding to the Federal Court of Australia, Family Court of Australia and Federal Circuit Court of Australia </w:t>
      </w:r>
    </w:p>
    <w:tbl>
      <w:tblPr>
        <w:tblStyle w:val="PlainTable3"/>
        <w:tblW w:w="9072" w:type="dxa"/>
        <w:tblLook w:val="04A0" w:firstRow="1" w:lastRow="0" w:firstColumn="1" w:lastColumn="0" w:noHBand="0" w:noVBand="1"/>
      </w:tblPr>
      <w:tblGrid>
        <w:gridCol w:w="2410"/>
        <w:gridCol w:w="1252"/>
        <w:gridCol w:w="1142"/>
        <w:gridCol w:w="1142"/>
        <w:gridCol w:w="1142"/>
        <w:gridCol w:w="1142"/>
        <w:gridCol w:w="842"/>
      </w:tblGrid>
      <w:tr w:rsidR="00424DDD" w14:paraId="5C27CC1E" w14:textId="064EFBB8" w:rsidTr="00693E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6FA46B5C" w14:textId="77777777" w:rsidR="00424DDD" w:rsidRDefault="00424DDD" w:rsidP="00A27C46">
            <w:pPr>
              <w:pStyle w:val="ListParagraph"/>
              <w:spacing w:before="120" w:after="120"/>
              <w:ind w:left="0"/>
              <w:rPr>
                <w:rFonts w:cstheme="majorHAnsi"/>
                <w:b w:val="0"/>
                <w:lang w:val="en-AU"/>
              </w:rPr>
            </w:pPr>
          </w:p>
        </w:tc>
        <w:tc>
          <w:tcPr>
            <w:tcW w:w="1252" w:type="dxa"/>
          </w:tcPr>
          <w:p w14:paraId="11B7AD1F" w14:textId="43BF32A4" w:rsidR="00424DDD" w:rsidRDefault="00424DDD"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b w:val="0"/>
                <w:lang w:val="en-AU"/>
              </w:rPr>
              <w:t>Millions</w:t>
            </w:r>
          </w:p>
        </w:tc>
        <w:tc>
          <w:tcPr>
            <w:tcW w:w="1142" w:type="dxa"/>
          </w:tcPr>
          <w:p w14:paraId="4E794C1D" w14:textId="44A8FEEA" w:rsidR="00424DDD" w:rsidRDefault="00424DDD"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2019-2020</w:t>
            </w:r>
          </w:p>
        </w:tc>
        <w:tc>
          <w:tcPr>
            <w:tcW w:w="1142" w:type="dxa"/>
          </w:tcPr>
          <w:p w14:paraId="1E69C3D0" w14:textId="4DA5E92B" w:rsidR="00424DDD" w:rsidRDefault="00424DDD"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2020-2021</w:t>
            </w:r>
          </w:p>
        </w:tc>
        <w:tc>
          <w:tcPr>
            <w:tcW w:w="1142" w:type="dxa"/>
          </w:tcPr>
          <w:p w14:paraId="5A89BCC8" w14:textId="2B916B6B" w:rsidR="00424DDD" w:rsidRDefault="008B5DDA"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2021</w:t>
            </w:r>
            <w:r w:rsidR="00424DDD">
              <w:rPr>
                <w:rFonts w:cstheme="majorHAnsi"/>
                <w:lang w:val="en-AU"/>
              </w:rPr>
              <w:t>-2022</w:t>
            </w:r>
          </w:p>
        </w:tc>
        <w:tc>
          <w:tcPr>
            <w:tcW w:w="1142" w:type="dxa"/>
          </w:tcPr>
          <w:p w14:paraId="711C23AA" w14:textId="5D034BCE" w:rsidR="00424DDD" w:rsidRDefault="00424DDD"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2022-2023</w:t>
            </w:r>
          </w:p>
        </w:tc>
        <w:tc>
          <w:tcPr>
            <w:tcW w:w="842" w:type="dxa"/>
          </w:tcPr>
          <w:p w14:paraId="1F1B79F8" w14:textId="77777777" w:rsidR="00424DDD" w:rsidRDefault="00424DDD" w:rsidP="00A27C46">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p>
        </w:tc>
      </w:tr>
      <w:tr w:rsidR="00424DDD" w14:paraId="2F76B9B0" w14:textId="7C22D470" w:rsidTr="00693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14:paraId="5F7BFA6A" w14:textId="14AD6594" w:rsidR="00424DDD" w:rsidRDefault="00424DDD" w:rsidP="00424DDD">
            <w:pPr>
              <w:pStyle w:val="ListParagraph"/>
              <w:spacing w:before="120" w:after="120"/>
              <w:ind w:left="0"/>
              <w:jc w:val="left"/>
              <w:rPr>
                <w:rFonts w:cstheme="majorHAnsi"/>
                <w:b w:val="0"/>
                <w:lang w:val="en-AU"/>
              </w:rPr>
            </w:pPr>
            <w:r>
              <w:rPr>
                <w:rFonts w:cstheme="majorHAnsi"/>
                <w:lang w:val="en-AU"/>
              </w:rPr>
              <w:t>Federal Court of Australia</w:t>
            </w:r>
          </w:p>
        </w:tc>
        <w:tc>
          <w:tcPr>
            <w:tcW w:w="1252" w:type="dxa"/>
          </w:tcPr>
          <w:p w14:paraId="32428BCD" w14:textId="090231A2" w:rsidR="00424DDD"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2018-19</w:t>
            </w:r>
          </w:p>
        </w:tc>
        <w:tc>
          <w:tcPr>
            <w:tcW w:w="1142" w:type="dxa"/>
          </w:tcPr>
          <w:p w14:paraId="3DFA0267" w14:textId="1CEBD0EF"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sidRPr="00E11326">
              <w:rPr>
                <w:rFonts w:cstheme="majorHAnsi"/>
                <w:lang w:val="en-AU"/>
              </w:rPr>
              <w:t>85.628</w:t>
            </w:r>
          </w:p>
        </w:tc>
        <w:tc>
          <w:tcPr>
            <w:tcW w:w="1142" w:type="dxa"/>
          </w:tcPr>
          <w:p w14:paraId="3B3AF579" w14:textId="6AED40E0"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sidRPr="00E11326">
              <w:rPr>
                <w:rFonts w:cstheme="majorHAnsi"/>
                <w:lang w:val="en-AU"/>
              </w:rPr>
              <w:t>85.927</w:t>
            </w:r>
          </w:p>
        </w:tc>
        <w:tc>
          <w:tcPr>
            <w:tcW w:w="1142" w:type="dxa"/>
          </w:tcPr>
          <w:p w14:paraId="5FE7E471" w14:textId="55C997B3"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sidRPr="00E11326">
              <w:rPr>
                <w:rFonts w:cstheme="majorHAnsi"/>
                <w:lang w:val="en-AU"/>
              </w:rPr>
              <w:t>86.182</w:t>
            </w:r>
          </w:p>
        </w:tc>
        <w:tc>
          <w:tcPr>
            <w:tcW w:w="1142" w:type="dxa"/>
          </w:tcPr>
          <w:p w14:paraId="5E33B9D0" w14:textId="77777777"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842" w:type="dxa"/>
            <w:vMerge w:val="restart"/>
            <w:shd w:val="clear" w:color="auto" w:fill="auto"/>
            <w:vAlign w:val="center"/>
          </w:tcPr>
          <w:p w14:paraId="5F3CD97A" w14:textId="052549F8" w:rsidR="00424DDD" w:rsidRPr="00FE3519" w:rsidRDefault="00FE3519" w:rsidP="00FE3519">
            <w:pPr>
              <w:pStyle w:val="ListParagraph"/>
              <w:spacing w:before="120" w:after="120"/>
              <w:ind w:left="0"/>
              <w:jc w:val="center"/>
              <w:cnfStyle w:val="000000100000" w:firstRow="0" w:lastRow="0" w:firstColumn="0" w:lastColumn="0" w:oddVBand="0" w:evenVBand="0" w:oddHBand="1" w:evenHBand="0" w:firstRowFirstColumn="0" w:firstRowLastColumn="0" w:lastRowFirstColumn="0" w:lastRowLastColumn="0"/>
              <w:rPr>
                <w:rFonts w:cstheme="majorHAnsi"/>
                <w:b/>
                <w:lang w:val="en-AU"/>
              </w:rPr>
            </w:pPr>
            <w:r w:rsidRPr="00FE3519">
              <w:rPr>
                <w:rFonts w:cstheme="majorHAnsi"/>
                <w:b/>
                <w:lang w:val="en-AU"/>
              </w:rPr>
              <w:sym w:font="Symbol" w:char="F0DD"/>
            </w:r>
          </w:p>
        </w:tc>
      </w:tr>
      <w:tr w:rsidR="00424DDD" w14:paraId="7611E0CA" w14:textId="3C7002D9" w:rsidTr="00693E98">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14:paraId="78BE5A52" w14:textId="77777777" w:rsidR="00424DDD" w:rsidRDefault="00424DDD" w:rsidP="00424DDD">
            <w:pPr>
              <w:pStyle w:val="ListParagraph"/>
              <w:spacing w:before="120" w:after="120"/>
              <w:ind w:left="0"/>
              <w:jc w:val="left"/>
              <w:rPr>
                <w:rFonts w:cstheme="majorHAnsi"/>
                <w:b w:val="0"/>
                <w:lang w:val="en-AU"/>
              </w:rPr>
            </w:pPr>
          </w:p>
        </w:tc>
        <w:tc>
          <w:tcPr>
            <w:tcW w:w="1252" w:type="dxa"/>
            <w:tcBorders>
              <w:bottom w:val="single" w:sz="4" w:space="0" w:color="auto"/>
            </w:tcBorders>
            <w:shd w:val="clear" w:color="auto" w:fill="BDD6EE" w:themeFill="accent1" w:themeFillTint="66"/>
          </w:tcPr>
          <w:p w14:paraId="399BE8C6" w14:textId="20397533" w:rsidR="00424DDD"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b/>
                <w:lang w:val="en-AU"/>
              </w:rPr>
            </w:pPr>
            <w:r>
              <w:rPr>
                <w:rFonts w:cstheme="majorHAnsi"/>
                <w:b/>
                <w:lang w:val="en-AU"/>
              </w:rPr>
              <w:t>B. 2019-20</w:t>
            </w:r>
          </w:p>
        </w:tc>
        <w:tc>
          <w:tcPr>
            <w:tcW w:w="1142" w:type="dxa"/>
            <w:tcBorders>
              <w:bottom w:val="single" w:sz="4" w:space="0" w:color="auto"/>
            </w:tcBorders>
            <w:shd w:val="clear" w:color="auto" w:fill="BDD6EE" w:themeFill="accent1" w:themeFillTint="66"/>
          </w:tcPr>
          <w:p w14:paraId="2D3DC23B" w14:textId="223B25C6" w:rsidR="00424DDD" w:rsidRPr="00E11326"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87.365</w:t>
            </w:r>
          </w:p>
        </w:tc>
        <w:tc>
          <w:tcPr>
            <w:tcW w:w="1142" w:type="dxa"/>
            <w:tcBorders>
              <w:bottom w:val="single" w:sz="4" w:space="0" w:color="auto"/>
            </w:tcBorders>
            <w:shd w:val="clear" w:color="auto" w:fill="BDD6EE" w:themeFill="accent1" w:themeFillTint="66"/>
          </w:tcPr>
          <w:p w14:paraId="35512428" w14:textId="3AB32832" w:rsidR="00424DDD" w:rsidRPr="00E11326"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87.671</w:t>
            </w:r>
          </w:p>
        </w:tc>
        <w:tc>
          <w:tcPr>
            <w:tcW w:w="1142" w:type="dxa"/>
            <w:tcBorders>
              <w:bottom w:val="single" w:sz="4" w:space="0" w:color="auto"/>
            </w:tcBorders>
            <w:shd w:val="clear" w:color="auto" w:fill="BDD6EE" w:themeFill="accent1" w:themeFillTint="66"/>
          </w:tcPr>
          <w:p w14:paraId="04E4DA64" w14:textId="1912B655" w:rsidR="00424DDD" w:rsidRPr="00E11326"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88.326</w:t>
            </w:r>
          </w:p>
        </w:tc>
        <w:tc>
          <w:tcPr>
            <w:tcW w:w="1142" w:type="dxa"/>
            <w:tcBorders>
              <w:bottom w:val="single" w:sz="4" w:space="0" w:color="auto"/>
            </w:tcBorders>
            <w:shd w:val="clear" w:color="auto" w:fill="BDD6EE" w:themeFill="accent1" w:themeFillTint="66"/>
          </w:tcPr>
          <w:p w14:paraId="5A9AE938" w14:textId="4E8FA1C9" w:rsidR="00424DDD" w:rsidRPr="00E11326"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87.789</w:t>
            </w:r>
          </w:p>
        </w:tc>
        <w:tc>
          <w:tcPr>
            <w:tcW w:w="842" w:type="dxa"/>
            <w:vMerge/>
            <w:tcBorders>
              <w:bottom w:val="single" w:sz="4" w:space="0" w:color="auto"/>
            </w:tcBorders>
            <w:shd w:val="clear" w:color="auto" w:fill="auto"/>
            <w:vAlign w:val="center"/>
          </w:tcPr>
          <w:p w14:paraId="302A1D65" w14:textId="77777777" w:rsidR="00424DDD" w:rsidRPr="00FE3519" w:rsidRDefault="00424DDD" w:rsidP="00FE3519">
            <w:pPr>
              <w:pStyle w:val="ListParagraph"/>
              <w:spacing w:before="120" w:after="120"/>
              <w:ind w:left="0"/>
              <w:jc w:val="center"/>
              <w:cnfStyle w:val="000000000000" w:firstRow="0" w:lastRow="0" w:firstColumn="0" w:lastColumn="0" w:oddVBand="0" w:evenVBand="0" w:oddHBand="0" w:evenHBand="0" w:firstRowFirstColumn="0" w:firstRowLastColumn="0" w:lastRowFirstColumn="0" w:lastRowLastColumn="0"/>
              <w:rPr>
                <w:rFonts w:cstheme="majorHAnsi"/>
                <w:b/>
                <w:lang w:val="en-AU"/>
              </w:rPr>
            </w:pPr>
          </w:p>
        </w:tc>
      </w:tr>
      <w:tr w:rsidR="00424DDD" w14:paraId="02C09E3F" w14:textId="5AB66802" w:rsidTr="00693E9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14:paraId="26E998B3" w14:textId="0D00C6B9" w:rsidR="00424DDD" w:rsidRDefault="00424DDD" w:rsidP="00424DDD">
            <w:pPr>
              <w:pStyle w:val="ListParagraph"/>
              <w:spacing w:before="120" w:after="120"/>
              <w:ind w:left="0"/>
              <w:jc w:val="left"/>
              <w:rPr>
                <w:rFonts w:cstheme="majorHAnsi"/>
                <w:b w:val="0"/>
                <w:lang w:val="en-AU"/>
              </w:rPr>
            </w:pPr>
            <w:r>
              <w:rPr>
                <w:rFonts w:cstheme="majorHAnsi"/>
                <w:lang w:val="en-AU"/>
              </w:rPr>
              <w:t>Family Court of Australia</w:t>
            </w:r>
          </w:p>
        </w:tc>
        <w:tc>
          <w:tcPr>
            <w:tcW w:w="1252" w:type="dxa"/>
            <w:tcBorders>
              <w:top w:val="single" w:sz="4" w:space="0" w:color="auto"/>
            </w:tcBorders>
          </w:tcPr>
          <w:p w14:paraId="6A93D37B" w14:textId="5F47D18A" w:rsidR="00424DDD"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2018-19</w:t>
            </w:r>
          </w:p>
        </w:tc>
        <w:tc>
          <w:tcPr>
            <w:tcW w:w="1142" w:type="dxa"/>
            <w:tcBorders>
              <w:top w:val="single" w:sz="4" w:space="0" w:color="auto"/>
            </w:tcBorders>
          </w:tcPr>
          <w:p w14:paraId="44250853" w14:textId="46C65406"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45.092</w:t>
            </w:r>
          </w:p>
        </w:tc>
        <w:tc>
          <w:tcPr>
            <w:tcW w:w="1142" w:type="dxa"/>
            <w:tcBorders>
              <w:top w:val="single" w:sz="4" w:space="0" w:color="auto"/>
            </w:tcBorders>
          </w:tcPr>
          <w:p w14:paraId="5BBD2E8B" w14:textId="7FAEA22D"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45.199</w:t>
            </w:r>
          </w:p>
        </w:tc>
        <w:tc>
          <w:tcPr>
            <w:tcW w:w="1142" w:type="dxa"/>
            <w:tcBorders>
              <w:top w:val="single" w:sz="4" w:space="0" w:color="auto"/>
            </w:tcBorders>
          </w:tcPr>
          <w:p w14:paraId="03AF74E6" w14:textId="1760AB0A" w:rsidR="00424DDD" w:rsidRPr="00E11326" w:rsidRDefault="008B5DDA"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45.291</w:t>
            </w:r>
          </w:p>
        </w:tc>
        <w:tc>
          <w:tcPr>
            <w:tcW w:w="1142" w:type="dxa"/>
            <w:tcBorders>
              <w:top w:val="single" w:sz="4" w:space="0" w:color="auto"/>
            </w:tcBorders>
          </w:tcPr>
          <w:p w14:paraId="7D244C54" w14:textId="0ED18825"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842" w:type="dxa"/>
            <w:vMerge w:val="restart"/>
            <w:tcBorders>
              <w:top w:val="single" w:sz="4" w:space="0" w:color="auto"/>
            </w:tcBorders>
            <w:shd w:val="clear" w:color="auto" w:fill="auto"/>
            <w:vAlign w:val="center"/>
          </w:tcPr>
          <w:p w14:paraId="22C0F709" w14:textId="029360C6" w:rsidR="00424DDD" w:rsidRPr="00FE3519" w:rsidRDefault="00FE3519" w:rsidP="00FE3519">
            <w:pPr>
              <w:pStyle w:val="ListParagraph"/>
              <w:spacing w:before="120" w:after="120"/>
              <w:ind w:left="0"/>
              <w:jc w:val="center"/>
              <w:cnfStyle w:val="000000100000" w:firstRow="0" w:lastRow="0" w:firstColumn="0" w:lastColumn="0" w:oddVBand="0" w:evenVBand="0" w:oddHBand="1" w:evenHBand="0" w:firstRowFirstColumn="0" w:firstRowLastColumn="0" w:lastRowFirstColumn="0" w:lastRowLastColumn="0"/>
              <w:rPr>
                <w:rFonts w:cstheme="majorHAnsi"/>
                <w:b/>
                <w:lang w:val="en-AU"/>
              </w:rPr>
            </w:pPr>
            <w:r w:rsidRPr="00FE3519">
              <w:rPr>
                <w:rFonts w:cstheme="majorHAnsi"/>
                <w:b/>
                <w:color w:val="FF0000"/>
                <w:lang w:val="en-AU"/>
              </w:rPr>
              <w:sym w:font="Symbol" w:char="F0DF"/>
            </w:r>
          </w:p>
        </w:tc>
      </w:tr>
      <w:tr w:rsidR="00424DDD" w14:paraId="177F7DB2" w14:textId="5FD1D3BB" w:rsidTr="00693E98">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14:paraId="32837F46" w14:textId="77777777" w:rsidR="00424DDD" w:rsidRDefault="00424DDD" w:rsidP="00424DDD">
            <w:pPr>
              <w:pStyle w:val="ListParagraph"/>
              <w:spacing w:before="120" w:after="120"/>
              <w:ind w:left="0"/>
              <w:jc w:val="left"/>
              <w:rPr>
                <w:rFonts w:cstheme="majorHAnsi"/>
                <w:b w:val="0"/>
                <w:lang w:val="en-AU"/>
              </w:rPr>
            </w:pPr>
          </w:p>
        </w:tc>
        <w:tc>
          <w:tcPr>
            <w:tcW w:w="1252" w:type="dxa"/>
            <w:tcBorders>
              <w:bottom w:val="single" w:sz="4" w:space="0" w:color="auto"/>
            </w:tcBorders>
            <w:shd w:val="clear" w:color="auto" w:fill="BDD6EE" w:themeFill="accent1" w:themeFillTint="66"/>
          </w:tcPr>
          <w:p w14:paraId="79B67699" w14:textId="5D6D11F2" w:rsidR="00424DDD"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b/>
                <w:lang w:val="en-AU"/>
              </w:rPr>
            </w:pPr>
            <w:r>
              <w:rPr>
                <w:rFonts w:cstheme="majorHAnsi"/>
                <w:b/>
                <w:lang w:val="en-AU"/>
              </w:rPr>
              <w:t>B.2019-20</w:t>
            </w:r>
          </w:p>
        </w:tc>
        <w:tc>
          <w:tcPr>
            <w:tcW w:w="1142" w:type="dxa"/>
            <w:tcBorders>
              <w:bottom w:val="single" w:sz="4" w:space="0" w:color="auto"/>
            </w:tcBorders>
            <w:shd w:val="clear" w:color="auto" w:fill="BDD6EE" w:themeFill="accent1" w:themeFillTint="66"/>
          </w:tcPr>
          <w:p w14:paraId="67F0B813" w14:textId="67A3D21B" w:rsidR="00424DDD" w:rsidRPr="00E11326" w:rsidRDefault="00FE3519"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41.383</w:t>
            </w:r>
          </w:p>
        </w:tc>
        <w:tc>
          <w:tcPr>
            <w:tcW w:w="1142" w:type="dxa"/>
            <w:tcBorders>
              <w:bottom w:val="single" w:sz="4" w:space="0" w:color="auto"/>
            </w:tcBorders>
            <w:shd w:val="clear" w:color="auto" w:fill="BDD6EE" w:themeFill="accent1" w:themeFillTint="66"/>
          </w:tcPr>
          <w:p w14:paraId="18D2B1B5" w14:textId="63184AEC" w:rsidR="00424DDD" w:rsidRPr="00E11326" w:rsidRDefault="00FE3519"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41.479</w:t>
            </w:r>
          </w:p>
        </w:tc>
        <w:tc>
          <w:tcPr>
            <w:tcW w:w="1142" w:type="dxa"/>
            <w:tcBorders>
              <w:bottom w:val="single" w:sz="4" w:space="0" w:color="auto"/>
            </w:tcBorders>
            <w:shd w:val="clear" w:color="auto" w:fill="BDD6EE" w:themeFill="accent1" w:themeFillTint="66"/>
          </w:tcPr>
          <w:p w14:paraId="65F82972" w14:textId="75A8BB1F" w:rsidR="00424DDD" w:rsidRPr="00E11326" w:rsidRDefault="00FE3519"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41.578</w:t>
            </w:r>
          </w:p>
        </w:tc>
        <w:tc>
          <w:tcPr>
            <w:tcW w:w="1142" w:type="dxa"/>
            <w:tcBorders>
              <w:bottom w:val="single" w:sz="4" w:space="0" w:color="auto"/>
            </w:tcBorders>
            <w:shd w:val="clear" w:color="auto" w:fill="BDD6EE" w:themeFill="accent1" w:themeFillTint="66"/>
          </w:tcPr>
          <w:p w14:paraId="7C5AD932" w14:textId="74E80C1A" w:rsidR="00424DDD" w:rsidRPr="00E11326" w:rsidRDefault="00FE3519"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41.683</w:t>
            </w:r>
          </w:p>
        </w:tc>
        <w:tc>
          <w:tcPr>
            <w:tcW w:w="842" w:type="dxa"/>
            <w:vMerge/>
            <w:tcBorders>
              <w:bottom w:val="single" w:sz="4" w:space="0" w:color="auto"/>
            </w:tcBorders>
            <w:shd w:val="clear" w:color="auto" w:fill="auto"/>
            <w:vAlign w:val="center"/>
          </w:tcPr>
          <w:p w14:paraId="0FB4A75F" w14:textId="77777777" w:rsidR="00424DDD" w:rsidRPr="00FE3519" w:rsidRDefault="00424DDD" w:rsidP="00FE3519">
            <w:pPr>
              <w:pStyle w:val="ListParagraph"/>
              <w:spacing w:before="120" w:after="120"/>
              <w:ind w:left="0"/>
              <w:jc w:val="center"/>
              <w:cnfStyle w:val="000000000000" w:firstRow="0" w:lastRow="0" w:firstColumn="0" w:lastColumn="0" w:oddVBand="0" w:evenVBand="0" w:oddHBand="0" w:evenHBand="0" w:firstRowFirstColumn="0" w:firstRowLastColumn="0" w:lastRowFirstColumn="0" w:lastRowLastColumn="0"/>
              <w:rPr>
                <w:rFonts w:cstheme="majorHAnsi"/>
                <w:b/>
                <w:lang w:val="en-AU"/>
              </w:rPr>
            </w:pPr>
          </w:p>
        </w:tc>
      </w:tr>
      <w:tr w:rsidR="00424DDD" w14:paraId="2E35DEC6" w14:textId="20859359" w:rsidTr="00693E9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auto"/>
          </w:tcPr>
          <w:p w14:paraId="1105D641" w14:textId="64993049" w:rsidR="00424DDD" w:rsidRDefault="00424DDD" w:rsidP="00424DDD">
            <w:pPr>
              <w:pStyle w:val="ListParagraph"/>
              <w:spacing w:before="120" w:after="120"/>
              <w:ind w:left="0"/>
              <w:jc w:val="left"/>
              <w:rPr>
                <w:rFonts w:cstheme="majorHAnsi"/>
                <w:b w:val="0"/>
                <w:lang w:val="en-AU"/>
              </w:rPr>
            </w:pPr>
            <w:r>
              <w:rPr>
                <w:rFonts w:cstheme="majorHAnsi"/>
                <w:lang w:val="en-AU"/>
              </w:rPr>
              <w:t>Federal Circuit Court of Australia</w:t>
            </w:r>
          </w:p>
        </w:tc>
        <w:tc>
          <w:tcPr>
            <w:tcW w:w="1252" w:type="dxa"/>
            <w:tcBorders>
              <w:top w:val="single" w:sz="4" w:space="0" w:color="auto"/>
            </w:tcBorders>
          </w:tcPr>
          <w:p w14:paraId="27F9451F" w14:textId="21D9CEB1" w:rsidR="00424DDD"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2018-19</w:t>
            </w:r>
          </w:p>
        </w:tc>
        <w:tc>
          <w:tcPr>
            <w:tcW w:w="1142" w:type="dxa"/>
            <w:tcBorders>
              <w:top w:val="single" w:sz="4" w:space="0" w:color="auto"/>
            </w:tcBorders>
          </w:tcPr>
          <w:p w14:paraId="20DD7102" w14:textId="1855BDC5" w:rsidR="00424DDD" w:rsidRPr="00E11326" w:rsidRDefault="00A24943"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95.066</w:t>
            </w:r>
          </w:p>
        </w:tc>
        <w:tc>
          <w:tcPr>
            <w:tcW w:w="1142" w:type="dxa"/>
            <w:tcBorders>
              <w:top w:val="single" w:sz="4" w:space="0" w:color="auto"/>
            </w:tcBorders>
          </w:tcPr>
          <w:p w14:paraId="6A451CC9" w14:textId="0A45EFB8" w:rsidR="00424DDD" w:rsidRPr="00E11326" w:rsidRDefault="00A24943"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95.490</w:t>
            </w:r>
          </w:p>
        </w:tc>
        <w:tc>
          <w:tcPr>
            <w:tcW w:w="1142" w:type="dxa"/>
            <w:tcBorders>
              <w:top w:val="single" w:sz="4" w:space="0" w:color="auto"/>
            </w:tcBorders>
          </w:tcPr>
          <w:p w14:paraId="786E3AA9" w14:textId="3B40C7AB" w:rsidR="00424DDD" w:rsidRPr="00E11326" w:rsidRDefault="00A24943"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95.860</w:t>
            </w:r>
          </w:p>
        </w:tc>
        <w:tc>
          <w:tcPr>
            <w:tcW w:w="1142" w:type="dxa"/>
            <w:tcBorders>
              <w:top w:val="single" w:sz="4" w:space="0" w:color="auto"/>
            </w:tcBorders>
          </w:tcPr>
          <w:p w14:paraId="37CD57F6" w14:textId="77777777" w:rsidR="00424DDD" w:rsidRPr="00E11326" w:rsidRDefault="00424DDD" w:rsidP="00A27C4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842" w:type="dxa"/>
            <w:vMerge w:val="restart"/>
            <w:tcBorders>
              <w:top w:val="single" w:sz="4" w:space="0" w:color="auto"/>
            </w:tcBorders>
            <w:shd w:val="clear" w:color="auto" w:fill="auto"/>
            <w:vAlign w:val="center"/>
          </w:tcPr>
          <w:p w14:paraId="3F727AC6" w14:textId="7F7E87D2" w:rsidR="00424DDD" w:rsidRPr="00FE3519" w:rsidRDefault="00A24943" w:rsidP="00FE3519">
            <w:pPr>
              <w:pStyle w:val="ListParagraph"/>
              <w:spacing w:before="120" w:after="120"/>
              <w:ind w:left="0"/>
              <w:jc w:val="center"/>
              <w:cnfStyle w:val="000000100000" w:firstRow="0" w:lastRow="0" w:firstColumn="0" w:lastColumn="0" w:oddVBand="0" w:evenVBand="0" w:oddHBand="1" w:evenHBand="0" w:firstRowFirstColumn="0" w:firstRowLastColumn="0" w:lastRowFirstColumn="0" w:lastRowLastColumn="0"/>
              <w:rPr>
                <w:rFonts w:cstheme="majorHAnsi"/>
                <w:b/>
                <w:lang w:val="en-AU"/>
              </w:rPr>
            </w:pPr>
            <w:r w:rsidRPr="00FE3519">
              <w:rPr>
                <w:rFonts w:cstheme="majorHAnsi"/>
                <w:b/>
                <w:color w:val="FF0000"/>
                <w:lang w:val="en-AU"/>
              </w:rPr>
              <w:sym w:font="Symbol" w:char="F0DF"/>
            </w:r>
          </w:p>
        </w:tc>
      </w:tr>
      <w:tr w:rsidR="00424DDD" w14:paraId="35258E51" w14:textId="25DCD5AC" w:rsidTr="00693E98">
        <w:tc>
          <w:tcPr>
            <w:cnfStyle w:val="001000000000" w:firstRow="0" w:lastRow="0" w:firstColumn="1" w:lastColumn="0" w:oddVBand="0" w:evenVBand="0" w:oddHBand="0" w:evenHBand="0" w:firstRowFirstColumn="0" w:firstRowLastColumn="0" w:lastRowFirstColumn="0" w:lastRowLastColumn="0"/>
            <w:tcW w:w="2410" w:type="dxa"/>
            <w:vMerge/>
            <w:shd w:val="clear" w:color="auto" w:fill="auto"/>
          </w:tcPr>
          <w:p w14:paraId="63B02493" w14:textId="77777777" w:rsidR="00424DDD" w:rsidRDefault="00424DDD" w:rsidP="00A27C46">
            <w:pPr>
              <w:pStyle w:val="ListParagraph"/>
              <w:spacing w:before="120" w:after="120"/>
              <w:ind w:left="0"/>
              <w:rPr>
                <w:rFonts w:cstheme="majorHAnsi"/>
                <w:b w:val="0"/>
                <w:lang w:val="en-AU"/>
              </w:rPr>
            </w:pPr>
          </w:p>
        </w:tc>
        <w:tc>
          <w:tcPr>
            <w:tcW w:w="1252" w:type="dxa"/>
            <w:tcBorders>
              <w:bottom w:val="single" w:sz="4" w:space="0" w:color="auto"/>
            </w:tcBorders>
            <w:shd w:val="clear" w:color="auto" w:fill="BDD6EE" w:themeFill="accent1" w:themeFillTint="66"/>
          </w:tcPr>
          <w:p w14:paraId="777802A7" w14:textId="576D3B98" w:rsidR="00424DDD"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b/>
                <w:lang w:val="en-AU"/>
              </w:rPr>
            </w:pPr>
            <w:r>
              <w:rPr>
                <w:rFonts w:cstheme="majorHAnsi"/>
                <w:b/>
                <w:lang w:val="en-AU"/>
              </w:rPr>
              <w:t>B.2019-20</w:t>
            </w:r>
          </w:p>
        </w:tc>
        <w:tc>
          <w:tcPr>
            <w:tcW w:w="1142" w:type="dxa"/>
            <w:tcBorders>
              <w:bottom w:val="single" w:sz="4" w:space="0" w:color="auto"/>
            </w:tcBorders>
            <w:shd w:val="clear" w:color="auto" w:fill="BDD6EE" w:themeFill="accent1" w:themeFillTint="66"/>
          </w:tcPr>
          <w:p w14:paraId="520AA60C" w14:textId="4F85B882" w:rsidR="00424DDD" w:rsidRPr="00A24943" w:rsidRDefault="00A24943"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color w:val="FF0000"/>
                <w:lang w:val="en-AU"/>
              </w:rPr>
            </w:pPr>
            <w:r w:rsidRPr="00A24943">
              <w:rPr>
                <w:rFonts w:cstheme="majorHAnsi"/>
                <w:color w:val="FF0000"/>
                <w:lang w:val="en-AU"/>
              </w:rPr>
              <w:t>66.262</w:t>
            </w:r>
          </w:p>
        </w:tc>
        <w:tc>
          <w:tcPr>
            <w:tcW w:w="1142" w:type="dxa"/>
            <w:tcBorders>
              <w:bottom w:val="single" w:sz="4" w:space="0" w:color="auto"/>
            </w:tcBorders>
            <w:shd w:val="clear" w:color="auto" w:fill="BDD6EE" w:themeFill="accent1" w:themeFillTint="66"/>
          </w:tcPr>
          <w:p w14:paraId="7D90EB0E" w14:textId="781506DD" w:rsidR="00424DDD" w:rsidRPr="00A24943" w:rsidRDefault="00A24943"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color w:val="FF0000"/>
                <w:lang w:val="en-AU"/>
              </w:rPr>
            </w:pPr>
            <w:r w:rsidRPr="00A24943">
              <w:rPr>
                <w:rFonts w:cstheme="majorHAnsi"/>
                <w:color w:val="FF0000"/>
                <w:lang w:val="en-AU"/>
              </w:rPr>
              <w:t>69.179</w:t>
            </w:r>
          </w:p>
        </w:tc>
        <w:tc>
          <w:tcPr>
            <w:tcW w:w="1142" w:type="dxa"/>
            <w:tcBorders>
              <w:bottom w:val="single" w:sz="4" w:space="0" w:color="auto"/>
            </w:tcBorders>
            <w:shd w:val="clear" w:color="auto" w:fill="BDD6EE" w:themeFill="accent1" w:themeFillTint="66"/>
          </w:tcPr>
          <w:p w14:paraId="3B9669FA" w14:textId="0061B7A7" w:rsidR="00424DDD" w:rsidRPr="00A24943" w:rsidRDefault="00A24943"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color w:val="FF0000"/>
                <w:lang w:val="en-AU"/>
              </w:rPr>
            </w:pPr>
            <w:r w:rsidRPr="00A24943">
              <w:rPr>
                <w:rFonts w:cstheme="majorHAnsi"/>
                <w:color w:val="FF0000"/>
                <w:lang w:val="en-AU"/>
              </w:rPr>
              <w:t>66.866</w:t>
            </w:r>
          </w:p>
        </w:tc>
        <w:tc>
          <w:tcPr>
            <w:tcW w:w="1142" w:type="dxa"/>
            <w:tcBorders>
              <w:bottom w:val="single" w:sz="4" w:space="0" w:color="auto"/>
            </w:tcBorders>
            <w:shd w:val="clear" w:color="auto" w:fill="BDD6EE" w:themeFill="accent1" w:themeFillTint="66"/>
          </w:tcPr>
          <w:p w14:paraId="146C7942" w14:textId="6C981840" w:rsidR="00424DDD" w:rsidRPr="00A24943" w:rsidRDefault="00A24943"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color w:val="FF0000"/>
                <w:lang w:val="en-AU"/>
              </w:rPr>
            </w:pPr>
            <w:r w:rsidRPr="00A24943">
              <w:rPr>
                <w:rFonts w:cstheme="majorHAnsi"/>
                <w:color w:val="FF0000"/>
                <w:lang w:val="en-AU"/>
              </w:rPr>
              <w:t>66.562</w:t>
            </w:r>
          </w:p>
        </w:tc>
        <w:tc>
          <w:tcPr>
            <w:tcW w:w="842" w:type="dxa"/>
            <w:vMerge/>
            <w:tcBorders>
              <w:bottom w:val="single" w:sz="4" w:space="0" w:color="auto"/>
            </w:tcBorders>
            <w:shd w:val="clear" w:color="auto" w:fill="auto"/>
          </w:tcPr>
          <w:p w14:paraId="23FDF5DD" w14:textId="77777777" w:rsidR="00424DDD" w:rsidRPr="00E11326" w:rsidRDefault="00424DDD" w:rsidP="00A27C4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p>
        </w:tc>
      </w:tr>
    </w:tbl>
    <w:p w14:paraId="47B9F4AD" w14:textId="552F8438" w:rsidR="00424DDD" w:rsidRDefault="00424DDD" w:rsidP="00424DDD">
      <w:pPr>
        <w:spacing w:before="120" w:after="120"/>
        <w:rPr>
          <w:rFonts w:cstheme="majorHAnsi"/>
          <w:i/>
          <w:lang w:val="en-AU"/>
        </w:rPr>
      </w:pPr>
      <w:r w:rsidRPr="00424DDD">
        <w:rPr>
          <w:rFonts w:cstheme="majorHAnsi"/>
          <w:i/>
          <w:lang w:val="en-AU"/>
        </w:rPr>
        <w:t xml:space="preserve">Blue color represents the 2019-2020 Budget. </w:t>
      </w:r>
      <w:r>
        <w:rPr>
          <w:rFonts w:cstheme="majorHAnsi"/>
          <w:i/>
          <w:lang w:val="en-AU"/>
        </w:rPr>
        <w:t>Information collated from the Attorney General’s Portfolio statements for 2018-2019 and 2019-2020.</w:t>
      </w:r>
    </w:p>
    <w:p w14:paraId="0F776F66" w14:textId="77777777" w:rsidR="00FA2ABF" w:rsidRPr="00424DDD" w:rsidRDefault="00FA2ABF" w:rsidP="00FA2ABF">
      <w:pPr>
        <w:spacing w:before="120" w:after="120"/>
        <w:rPr>
          <w:rFonts w:cstheme="majorHAnsi"/>
          <w:lang w:val="en-AU"/>
        </w:rPr>
      </w:pPr>
      <w:r w:rsidRPr="00424DDD">
        <w:rPr>
          <w:rFonts w:cstheme="majorHAnsi"/>
          <w:lang w:val="en-AU"/>
        </w:rPr>
        <w:t xml:space="preserve">It is also important to note staffing of the three above mentioned courts. </w:t>
      </w:r>
    </w:p>
    <w:tbl>
      <w:tblPr>
        <w:tblStyle w:val="PlainTable3"/>
        <w:tblW w:w="0" w:type="auto"/>
        <w:tblLook w:val="04A0" w:firstRow="1" w:lastRow="0" w:firstColumn="1" w:lastColumn="0" w:noHBand="0" w:noVBand="1"/>
      </w:tblPr>
      <w:tblGrid>
        <w:gridCol w:w="3946"/>
        <w:gridCol w:w="1412"/>
        <w:gridCol w:w="1412"/>
        <w:gridCol w:w="1526"/>
      </w:tblGrid>
      <w:tr w:rsidR="00FA2ABF" w14:paraId="423E5B20" w14:textId="77777777" w:rsidTr="005759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46" w:type="dxa"/>
          </w:tcPr>
          <w:p w14:paraId="73F95A64" w14:textId="77777777" w:rsidR="00FA2ABF" w:rsidRPr="00424DDD" w:rsidRDefault="00FA2ABF" w:rsidP="00575955">
            <w:pPr>
              <w:pStyle w:val="ListParagraph"/>
              <w:spacing w:before="120" w:after="120"/>
              <w:ind w:left="0"/>
              <w:rPr>
                <w:rFonts w:cstheme="majorHAnsi"/>
                <w:b w:val="0"/>
                <w:i/>
                <w:lang w:val="en-AU"/>
              </w:rPr>
            </w:pPr>
            <w:r w:rsidRPr="00424DDD">
              <w:rPr>
                <w:rFonts w:cstheme="majorHAnsi"/>
                <w:b w:val="0"/>
                <w:i/>
                <w:lang w:val="en-AU"/>
              </w:rPr>
              <w:t>Average staffing levels</w:t>
            </w:r>
          </w:p>
        </w:tc>
        <w:tc>
          <w:tcPr>
            <w:tcW w:w="1412" w:type="dxa"/>
          </w:tcPr>
          <w:p w14:paraId="400DB353" w14:textId="77777777" w:rsidR="00FA2ABF" w:rsidRPr="00424DDD"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424DDD">
              <w:rPr>
                <w:rFonts w:cstheme="majorHAnsi"/>
                <w:lang w:val="en-AU"/>
              </w:rPr>
              <w:t>2017-2018</w:t>
            </w:r>
          </w:p>
        </w:tc>
        <w:tc>
          <w:tcPr>
            <w:tcW w:w="1412" w:type="dxa"/>
          </w:tcPr>
          <w:p w14:paraId="68A560E0" w14:textId="77777777" w:rsidR="00FA2ABF" w:rsidRPr="00424DDD"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424DDD">
              <w:rPr>
                <w:rFonts w:cstheme="majorHAnsi"/>
                <w:lang w:val="en-AU"/>
              </w:rPr>
              <w:t>2018-2019</w:t>
            </w:r>
          </w:p>
        </w:tc>
        <w:tc>
          <w:tcPr>
            <w:tcW w:w="1526" w:type="dxa"/>
          </w:tcPr>
          <w:p w14:paraId="2B825688" w14:textId="77777777" w:rsidR="00FA2ABF" w:rsidRPr="00424DDD"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424DDD">
              <w:rPr>
                <w:rFonts w:cstheme="majorHAnsi"/>
                <w:lang w:val="en-AU"/>
              </w:rPr>
              <w:t>2019-2020</w:t>
            </w:r>
          </w:p>
        </w:tc>
      </w:tr>
      <w:tr w:rsidR="00FA2ABF" w14:paraId="37C2B1B4" w14:textId="77777777" w:rsidTr="00575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6D3AAB8C" w14:textId="77777777" w:rsidR="00FA2ABF" w:rsidRDefault="00FA2ABF" w:rsidP="00575955">
            <w:pPr>
              <w:pStyle w:val="ListParagraph"/>
              <w:spacing w:before="120" w:after="120"/>
              <w:ind w:left="0"/>
              <w:rPr>
                <w:rFonts w:cstheme="majorHAnsi"/>
                <w:lang w:val="en-AU"/>
              </w:rPr>
            </w:pPr>
            <w:r>
              <w:rPr>
                <w:rFonts w:cstheme="majorHAnsi"/>
                <w:lang w:val="en-AU"/>
              </w:rPr>
              <w:t>Federal Court of Australia</w:t>
            </w:r>
          </w:p>
        </w:tc>
        <w:tc>
          <w:tcPr>
            <w:tcW w:w="1412" w:type="dxa"/>
          </w:tcPr>
          <w:p w14:paraId="7ED3FA4A" w14:textId="77777777" w:rsidR="00FA2ABF"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334</w:t>
            </w:r>
          </w:p>
        </w:tc>
        <w:tc>
          <w:tcPr>
            <w:tcW w:w="1412" w:type="dxa"/>
          </w:tcPr>
          <w:p w14:paraId="2535E065" w14:textId="77777777" w:rsidR="00FA2ABF"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342</w:t>
            </w:r>
          </w:p>
        </w:tc>
        <w:tc>
          <w:tcPr>
            <w:tcW w:w="1526" w:type="dxa"/>
          </w:tcPr>
          <w:p w14:paraId="1EEE51BE" w14:textId="77777777" w:rsidR="00FA2ABF" w:rsidRPr="00424DDD"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color w:val="FF0000"/>
                <w:lang w:val="en-AU"/>
              </w:rPr>
            </w:pPr>
            <w:r w:rsidRPr="00424DDD">
              <w:rPr>
                <w:rFonts w:cstheme="majorHAnsi"/>
                <w:color w:val="FF0000"/>
                <w:lang w:val="en-AU"/>
              </w:rPr>
              <w:t>303</w:t>
            </w:r>
          </w:p>
        </w:tc>
      </w:tr>
      <w:tr w:rsidR="00FA2ABF" w14:paraId="13475B29" w14:textId="77777777" w:rsidTr="00575955">
        <w:tc>
          <w:tcPr>
            <w:cnfStyle w:val="001000000000" w:firstRow="0" w:lastRow="0" w:firstColumn="1" w:lastColumn="0" w:oddVBand="0" w:evenVBand="0" w:oddHBand="0" w:evenHBand="0" w:firstRowFirstColumn="0" w:firstRowLastColumn="0" w:lastRowFirstColumn="0" w:lastRowLastColumn="0"/>
            <w:tcW w:w="3946" w:type="dxa"/>
          </w:tcPr>
          <w:p w14:paraId="43280B66" w14:textId="77777777" w:rsidR="00FA2ABF" w:rsidRDefault="00FA2ABF" w:rsidP="00575955">
            <w:pPr>
              <w:pStyle w:val="ListParagraph"/>
              <w:spacing w:before="120" w:after="120"/>
              <w:ind w:left="0"/>
              <w:rPr>
                <w:rFonts w:cstheme="majorHAnsi"/>
                <w:lang w:val="en-AU"/>
              </w:rPr>
            </w:pPr>
            <w:r>
              <w:rPr>
                <w:rFonts w:cstheme="majorHAnsi"/>
                <w:lang w:val="en-AU"/>
              </w:rPr>
              <w:t>Family Court of Australia</w:t>
            </w:r>
          </w:p>
        </w:tc>
        <w:tc>
          <w:tcPr>
            <w:tcW w:w="1412" w:type="dxa"/>
          </w:tcPr>
          <w:p w14:paraId="724A2D0E" w14:textId="77777777" w:rsidR="00FA2ABF" w:rsidRDefault="00FA2ABF"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92</w:t>
            </w:r>
          </w:p>
        </w:tc>
        <w:tc>
          <w:tcPr>
            <w:tcW w:w="1412" w:type="dxa"/>
          </w:tcPr>
          <w:p w14:paraId="22AF6C99" w14:textId="77777777" w:rsidR="00FA2ABF" w:rsidRDefault="00FA2ABF"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92</w:t>
            </w:r>
          </w:p>
        </w:tc>
        <w:tc>
          <w:tcPr>
            <w:tcW w:w="1526" w:type="dxa"/>
          </w:tcPr>
          <w:p w14:paraId="3EE5DC75" w14:textId="77777777" w:rsidR="00FA2ABF" w:rsidRDefault="00FA2ABF"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sidRPr="00424DDD">
              <w:rPr>
                <w:rFonts w:cstheme="majorHAnsi"/>
                <w:color w:val="FF0000"/>
                <w:lang w:val="en-AU"/>
              </w:rPr>
              <w:t>79</w:t>
            </w:r>
          </w:p>
        </w:tc>
      </w:tr>
      <w:tr w:rsidR="00FA2ABF" w14:paraId="0809AD59" w14:textId="77777777" w:rsidTr="00575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6" w:type="dxa"/>
          </w:tcPr>
          <w:p w14:paraId="3380E187" w14:textId="77777777" w:rsidR="00FA2ABF" w:rsidRDefault="00FA2ABF" w:rsidP="00575955">
            <w:pPr>
              <w:pStyle w:val="ListParagraph"/>
              <w:spacing w:before="120" w:after="120"/>
              <w:ind w:left="0"/>
              <w:rPr>
                <w:rFonts w:cstheme="majorHAnsi"/>
                <w:lang w:val="en-AU"/>
              </w:rPr>
            </w:pPr>
            <w:r>
              <w:rPr>
                <w:rFonts w:cstheme="majorHAnsi"/>
                <w:lang w:val="en-AU"/>
              </w:rPr>
              <w:t>Federal Circuit Court of Australia</w:t>
            </w:r>
          </w:p>
        </w:tc>
        <w:tc>
          <w:tcPr>
            <w:tcW w:w="1412" w:type="dxa"/>
          </w:tcPr>
          <w:p w14:paraId="7258C345" w14:textId="77777777" w:rsidR="00FA2ABF"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526</w:t>
            </w:r>
          </w:p>
        </w:tc>
        <w:tc>
          <w:tcPr>
            <w:tcW w:w="1412" w:type="dxa"/>
          </w:tcPr>
          <w:p w14:paraId="524815FE" w14:textId="77777777" w:rsidR="00FA2ABF"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526</w:t>
            </w:r>
          </w:p>
        </w:tc>
        <w:tc>
          <w:tcPr>
            <w:tcW w:w="1526" w:type="dxa"/>
          </w:tcPr>
          <w:p w14:paraId="328088B7" w14:textId="77777777" w:rsidR="00FA2ABF" w:rsidRPr="00A24943"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sidRPr="00A24943">
              <w:rPr>
                <w:rFonts w:cstheme="majorHAnsi"/>
                <w:color w:val="FF0000"/>
                <w:lang w:val="en-AU"/>
              </w:rPr>
              <w:t>278</w:t>
            </w:r>
          </w:p>
        </w:tc>
      </w:tr>
    </w:tbl>
    <w:p w14:paraId="4C87C402" w14:textId="6273ADD8" w:rsidR="00FA2ABF" w:rsidRPr="00FA2ABF" w:rsidRDefault="00FA2ABF" w:rsidP="00FA2ABF">
      <w:pPr>
        <w:pStyle w:val="ListParagraph"/>
        <w:spacing w:before="120" w:after="120"/>
        <w:rPr>
          <w:rFonts w:cstheme="majorHAnsi"/>
          <w:i/>
          <w:lang w:val="en-AU"/>
        </w:rPr>
      </w:pPr>
      <w:r w:rsidRPr="00424DDD">
        <w:rPr>
          <w:rFonts w:cstheme="majorHAnsi"/>
          <w:i/>
          <w:lang w:val="en-AU"/>
        </w:rPr>
        <w:t>Attorney General’s Budget Portfolio 2018-2019 p. 141-145, 2019-2020 p. 129-133.</w:t>
      </w:r>
    </w:p>
    <w:p w14:paraId="2204EC7C" w14:textId="5FFB736B" w:rsidR="00040A8D" w:rsidRDefault="00040A8D" w:rsidP="00424DDD">
      <w:pPr>
        <w:spacing w:before="120" w:after="120"/>
        <w:rPr>
          <w:rFonts w:cstheme="majorHAnsi"/>
          <w:lang w:val="en-AU"/>
        </w:rPr>
      </w:pPr>
      <w:r>
        <w:rPr>
          <w:rFonts w:cstheme="majorHAnsi"/>
          <w:lang w:val="en-AU"/>
        </w:rPr>
        <w:t xml:space="preserve">The AGD budget portfolio states that in 2019-2020, the registry services for the Federal Court of Australia, the Family Court of Australia and the Federal Circuit Court of Australia have been amalgamated into a separate program (Outcome 4 of the AGD portfolio statement) Commonwealth Courts Corporate Services. </w:t>
      </w:r>
    </w:p>
    <w:p w14:paraId="7D04980E" w14:textId="18743F47" w:rsidR="00FA2ABF" w:rsidRDefault="00FA2ABF" w:rsidP="00424DDD">
      <w:pPr>
        <w:spacing w:before="120" w:after="120"/>
        <w:rPr>
          <w:rFonts w:cstheme="majorHAnsi"/>
          <w:lang w:val="en-AU"/>
        </w:rPr>
      </w:pPr>
      <w:r>
        <w:rPr>
          <w:rFonts w:cstheme="majorHAnsi"/>
          <w:lang w:val="en-AU"/>
        </w:rPr>
        <w:t>The aim of the Budget Outcome 4 is “</w:t>
      </w:r>
      <w:r w:rsidRPr="00FA2ABF">
        <w:rPr>
          <w:rFonts w:cstheme="majorHAnsi"/>
          <w:lang w:val="en-AU"/>
        </w:rPr>
        <w:t>Improved administration and support of the resolution of matters according to law for litigants in the Federal Court of Australia, the Family Court of Australia and the Federal Circuit Court of Australia and parties in the National Native Title Tribunal through efficient and effective provision of shared c</w:t>
      </w:r>
      <w:r>
        <w:rPr>
          <w:rFonts w:cstheme="majorHAnsi"/>
          <w:lang w:val="en-AU"/>
        </w:rPr>
        <w:t>orporate and registry services.”</w:t>
      </w:r>
      <w:r>
        <w:rPr>
          <w:rStyle w:val="FootnoteReference"/>
          <w:rFonts w:cstheme="majorHAnsi"/>
          <w:lang w:val="en-AU"/>
        </w:rPr>
        <w:footnoteReference w:id="19"/>
      </w:r>
      <w:r>
        <w:rPr>
          <w:rFonts w:cstheme="majorHAnsi"/>
          <w:lang w:val="en-AU"/>
        </w:rPr>
        <w:t xml:space="preserve"> It is worth noting that while the 2018-2019 budget only mentioned provision of corporate services, the 2019-2020 budget includes registry services too. </w:t>
      </w:r>
    </w:p>
    <w:p w14:paraId="265DDA9E" w14:textId="041D4C5D" w:rsidR="00EA2DE4" w:rsidRPr="00EA2DE4" w:rsidRDefault="00EA2DE4" w:rsidP="00EA2DE4">
      <w:pPr>
        <w:spacing w:before="120" w:after="120"/>
        <w:rPr>
          <w:rFonts w:cstheme="majorHAnsi"/>
          <w:lang w:val="en-AU"/>
        </w:rPr>
      </w:pPr>
      <w:r>
        <w:rPr>
          <w:rFonts w:cstheme="majorHAnsi"/>
          <w:lang w:val="en-AU"/>
        </w:rPr>
        <w:t xml:space="preserve">In the </w:t>
      </w:r>
      <w:r w:rsidR="003959CB">
        <w:rPr>
          <w:rFonts w:cstheme="majorHAnsi"/>
          <w:lang w:val="en-AU"/>
        </w:rPr>
        <w:t xml:space="preserve">2019-2020 </w:t>
      </w:r>
      <w:r>
        <w:rPr>
          <w:rFonts w:cstheme="majorHAnsi"/>
          <w:lang w:val="en-AU"/>
        </w:rPr>
        <w:t>Budget, the Outcome 4 consists of funding to Commonwealth Courts Corporate Services and Commonwealth Courts Registry Services. The Commonwealth Courts Corporate Services Corporate Plan for 2018-2019</w:t>
      </w:r>
      <w:r>
        <w:rPr>
          <w:rStyle w:val="FootnoteReference"/>
          <w:rFonts w:cstheme="majorHAnsi"/>
          <w:lang w:val="en-AU"/>
        </w:rPr>
        <w:footnoteReference w:id="20"/>
      </w:r>
      <w:r>
        <w:rPr>
          <w:rFonts w:cstheme="majorHAnsi"/>
          <w:lang w:val="en-AU"/>
        </w:rPr>
        <w:t xml:space="preserve"> includes the following note: “F</w:t>
      </w:r>
      <w:r w:rsidRPr="00EA2DE4">
        <w:rPr>
          <w:rFonts w:cstheme="majorHAnsi"/>
          <w:lang w:val="en-AU"/>
        </w:rPr>
        <w:t>rom 1 January 2019, subject to the passing of legislation, the FCoA and the FCC will amalgamate to become the Federal Circuit and Family Court of Australia. This proposed reform may alter some of the Corporate Services' Priorities for 2018–19, however these will be refined as more information becomes available.</w:t>
      </w:r>
      <w:r>
        <w:rPr>
          <w:rFonts w:cstheme="majorHAnsi"/>
          <w:lang w:val="en-AU"/>
        </w:rPr>
        <w:t xml:space="preserve">” At present there is no information whether and how any matters involving family violence will be dealt with by a new court. </w:t>
      </w:r>
      <w:r w:rsidR="00B80CB1">
        <w:rPr>
          <w:rFonts w:cstheme="majorHAnsi"/>
          <w:lang w:val="en-AU"/>
        </w:rPr>
        <w:t>The bill has not yet passed.</w:t>
      </w:r>
      <w:r w:rsidR="00B80CB1">
        <w:rPr>
          <w:rStyle w:val="FootnoteReference"/>
          <w:rFonts w:cstheme="majorHAnsi"/>
          <w:lang w:val="en-AU"/>
        </w:rPr>
        <w:footnoteReference w:id="21"/>
      </w:r>
    </w:p>
    <w:p w14:paraId="5DBC3412" w14:textId="4304EBFE" w:rsidR="00EA2DE4" w:rsidRDefault="003959CB" w:rsidP="00424DDD">
      <w:pPr>
        <w:spacing w:before="120" w:after="120"/>
        <w:rPr>
          <w:rFonts w:cstheme="majorHAnsi"/>
          <w:lang w:val="en-AU"/>
        </w:rPr>
      </w:pPr>
      <w:r>
        <w:rPr>
          <w:rFonts w:cstheme="majorHAnsi"/>
          <w:lang w:val="en-AU"/>
        </w:rPr>
        <w:t xml:space="preserve">Below is the additional funding budgeted from 2019-2020 to cover the Registry Services. </w:t>
      </w:r>
    </w:p>
    <w:tbl>
      <w:tblPr>
        <w:tblStyle w:val="PlainTable3"/>
        <w:tblW w:w="8939" w:type="dxa"/>
        <w:tblLook w:val="04A0" w:firstRow="1" w:lastRow="0" w:firstColumn="1" w:lastColumn="0" w:noHBand="0" w:noVBand="1"/>
      </w:tblPr>
      <w:tblGrid>
        <w:gridCol w:w="3119"/>
        <w:gridCol w:w="1252"/>
        <w:gridCol w:w="1142"/>
        <w:gridCol w:w="1142"/>
        <w:gridCol w:w="1142"/>
        <w:gridCol w:w="1142"/>
      </w:tblGrid>
      <w:tr w:rsidR="00FA2ABF" w14:paraId="28A1A3AC" w14:textId="77777777" w:rsidTr="00FA2A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194AFCDE" w14:textId="77777777" w:rsidR="00FA2ABF" w:rsidRDefault="00FA2ABF" w:rsidP="00575955">
            <w:pPr>
              <w:pStyle w:val="ListParagraph"/>
              <w:spacing w:before="120" w:after="120"/>
              <w:ind w:left="0"/>
              <w:rPr>
                <w:rFonts w:cstheme="majorHAnsi"/>
                <w:b w:val="0"/>
                <w:lang w:val="en-AU"/>
              </w:rPr>
            </w:pPr>
          </w:p>
        </w:tc>
        <w:tc>
          <w:tcPr>
            <w:tcW w:w="1252" w:type="dxa"/>
          </w:tcPr>
          <w:p w14:paraId="6CD386D2" w14:textId="77777777" w:rsidR="00FA2ABF"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b w:val="0"/>
                <w:lang w:val="en-AU"/>
              </w:rPr>
              <w:t>Millions</w:t>
            </w:r>
          </w:p>
        </w:tc>
        <w:tc>
          <w:tcPr>
            <w:tcW w:w="1142" w:type="dxa"/>
          </w:tcPr>
          <w:p w14:paraId="09E80CA5" w14:textId="77777777" w:rsidR="00FA2ABF"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2019-2020</w:t>
            </w:r>
          </w:p>
        </w:tc>
        <w:tc>
          <w:tcPr>
            <w:tcW w:w="1142" w:type="dxa"/>
          </w:tcPr>
          <w:p w14:paraId="2639CE37" w14:textId="77777777" w:rsidR="00FA2ABF"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2020-2021</w:t>
            </w:r>
          </w:p>
        </w:tc>
        <w:tc>
          <w:tcPr>
            <w:tcW w:w="1142" w:type="dxa"/>
          </w:tcPr>
          <w:p w14:paraId="12A8D745" w14:textId="77777777" w:rsidR="00FA2ABF"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2020-2022</w:t>
            </w:r>
          </w:p>
        </w:tc>
        <w:tc>
          <w:tcPr>
            <w:tcW w:w="1142" w:type="dxa"/>
          </w:tcPr>
          <w:p w14:paraId="725729E3" w14:textId="77777777" w:rsidR="00FA2ABF" w:rsidRDefault="00FA2ABF" w:rsidP="00575955">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lang w:val="en-AU"/>
              </w:rPr>
              <w:t>2022-2023</w:t>
            </w:r>
          </w:p>
        </w:tc>
      </w:tr>
      <w:tr w:rsidR="00FA2ABF" w14:paraId="077B1C69" w14:textId="77777777" w:rsidTr="00FA2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vMerge w:val="restart"/>
            <w:shd w:val="clear" w:color="auto" w:fill="auto"/>
          </w:tcPr>
          <w:p w14:paraId="5C10BB13" w14:textId="23617336" w:rsidR="00FA2ABF" w:rsidRDefault="00FA2ABF" w:rsidP="00575955">
            <w:pPr>
              <w:pStyle w:val="ListParagraph"/>
              <w:spacing w:before="120" w:after="120"/>
              <w:ind w:left="0"/>
              <w:jc w:val="left"/>
              <w:rPr>
                <w:rFonts w:cstheme="majorHAnsi"/>
                <w:b w:val="0"/>
                <w:lang w:val="en-AU"/>
              </w:rPr>
            </w:pPr>
            <w:r>
              <w:rPr>
                <w:rFonts w:cstheme="majorHAnsi"/>
                <w:lang w:val="en-AU"/>
              </w:rPr>
              <w:t xml:space="preserve">Commonwealth courts </w:t>
            </w:r>
            <w:r w:rsidR="00E27B18">
              <w:rPr>
                <w:rFonts w:cstheme="majorHAnsi"/>
                <w:lang w:val="en-AU"/>
              </w:rPr>
              <w:t>registry</w:t>
            </w:r>
            <w:r>
              <w:rPr>
                <w:rFonts w:cstheme="majorHAnsi"/>
                <w:lang w:val="en-AU"/>
              </w:rPr>
              <w:t xml:space="preserve"> services</w:t>
            </w:r>
          </w:p>
        </w:tc>
        <w:tc>
          <w:tcPr>
            <w:tcW w:w="1252" w:type="dxa"/>
          </w:tcPr>
          <w:p w14:paraId="08E5AD95" w14:textId="77777777" w:rsidR="00FA2ABF"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2018-19</w:t>
            </w:r>
          </w:p>
        </w:tc>
        <w:tc>
          <w:tcPr>
            <w:tcW w:w="1142" w:type="dxa"/>
          </w:tcPr>
          <w:p w14:paraId="6E40F342" w14:textId="0F557561" w:rsidR="00FA2ABF" w:rsidRPr="00E11326"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1142" w:type="dxa"/>
          </w:tcPr>
          <w:p w14:paraId="4CC12BC7" w14:textId="2988DB58" w:rsidR="00FA2ABF" w:rsidRPr="00E11326"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1142" w:type="dxa"/>
          </w:tcPr>
          <w:p w14:paraId="29B9546D" w14:textId="566009E6" w:rsidR="00FA2ABF" w:rsidRPr="00E11326"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c>
          <w:tcPr>
            <w:tcW w:w="1142" w:type="dxa"/>
          </w:tcPr>
          <w:p w14:paraId="45E898FD" w14:textId="77777777" w:rsidR="00FA2ABF" w:rsidRPr="00E11326" w:rsidRDefault="00FA2ABF" w:rsidP="0057595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r>
      <w:tr w:rsidR="00FA2ABF" w14:paraId="781A789A" w14:textId="77777777" w:rsidTr="00FA2ABF">
        <w:tc>
          <w:tcPr>
            <w:cnfStyle w:val="001000000000" w:firstRow="0" w:lastRow="0" w:firstColumn="1" w:lastColumn="0" w:oddVBand="0" w:evenVBand="0" w:oddHBand="0" w:evenHBand="0" w:firstRowFirstColumn="0" w:firstRowLastColumn="0" w:lastRowFirstColumn="0" w:lastRowLastColumn="0"/>
            <w:tcW w:w="3119" w:type="dxa"/>
            <w:vMerge/>
            <w:shd w:val="clear" w:color="auto" w:fill="auto"/>
          </w:tcPr>
          <w:p w14:paraId="18FDA537" w14:textId="77777777" w:rsidR="00FA2ABF" w:rsidRDefault="00FA2ABF" w:rsidP="00575955">
            <w:pPr>
              <w:pStyle w:val="ListParagraph"/>
              <w:spacing w:before="120" w:after="120"/>
              <w:ind w:left="0"/>
              <w:jc w:val="left"/>
              <w:rPr>
                <w:rFonts w:cstheme="majorHAnsi"/>
                <w:b w:val="0"/>
                <w:lang w:val="en-AU"/>
              </w:rPr>
            </w:pPr>
          </w:p>
        </w:tc>
        <w:tc>
          <w:tcPr>
            <w:tcW w:w="1252" w:type="dxa"/>
            <w:tcBorders>
              <w:bottom w:val="single" w:sz="4" w:space="0" w:color="auto"/>
            </w:tcBorders>
            <w:shd w:val="clear" w:color="auto" w:fill="BDD6EE" w:themeFill="accent1" w:themeFillTint="66"/>
          </w:tcPr>
          <w:p w14:paraId="55B7E3E1" w14:textId="77777777" w:rsidR="00FA2ABF" w:rsidRDefault="00FA2ABF"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b/>
                <w:lang w:val="en-AU"/>
              </w:rPr>
            </w:pPr>
            <w:r>
              <w:rPr>
                <w:rFonts w:cstheme="majorHAnsi"/>
                <w:b/>
                <w:lang w:val="en-AU"/>
              </w:rPr>
              <w:t>B. 2019-20</w:t>
            </w:r>
          </w:p>
        </w:tc>
        <w:tc>
          <w:tcPr>
            <w:tcW w:w="1142" w:type="dxa"/>
            <w:tcBorders>
              <w:bottom w:val="single" w:sz="4" w:space="0" w:color="auto"/>
            </w:tcBorders>
            <w:shd w:val="clear" w:color="auto" w:fill="BDD6EE" w:themeFill="accent1" w:themeFillTint="66"/>
          </w:tcPr>
          <w:p w14:paraId="0AAE11B9" w14:textId="474B40D3" w:rsidR="00FA2ABF" w:rsidRPr="00E11326" w:rsidRDefault="00EA2DE4"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35.358</w:t>
            </w:r>
          </w:p>
        </w:tc>
        <w:tc>
          <w:tcPr>
            <w:tcW w:w="1142" w:type="dxa"/>
            <w:tcBorders>
              <w:bottom w:val="single" w:sz="4" w:space="0" w:color="auto"/>
            </w:tcBorders>
            <w:shd w:val="clear" w:color="auto" w:fill="BDD6EE" w:themeFill="accent1" w:themeFillTint="66"/>
          </w:tcPr>
          <w:p w14:paraId="52EA97A9" w14:textId="7B9DCC9D" w:rsidR="00FA2ABF" w:rsidRPr="00E11326" w:rsidRDefault="00EA2DE4"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35.845</w:t>
            </w:r>
          </w:p>
        </w:tc>
        <w:tc>
          <w:tcPr>
            <w:tcW w:w="1142" w:type="dxa"/>
            <w:tcBorders>
              <w:bottom w:val="single" w:sz="4" w:space="0" w:color="auto"/>
            </w:tcBorders>
            <w:shd w:val="clear" w:color="auto" w:fill="BDD6EE" w:themeFill="accent1" w:themeFillTint="66"/>
          </w:tcPr>
          <w:p w14:paraId="0CC903BE" w14:textId="69CA1BD7" w:rsidR="00FA2ABF" w:rsidRPr="00E11326" w:rsidRDefault="00EA2DE4"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35.636</w:t>
            </w:r>
          </w:p>
        </w:tc>
        <w:tc>
          <w:tcPr>
            <w:tcW w:w="1142" w:type="dxa"/>
            <w:tcBorders>
              <w:bottom w:val="single" w:sz="4" w:space="0" w:color="auto"/>
            </w:tcBorders>
            <w:shd w:val="clear" w:color="auto" w:fill="BDD6EE" w:themeFill="accent1" w:themeFillTint="66"/>
          </w:tcPr>
          <w:p w14:paraId="16A13F3B" w14:textId="12251081" w:rsidR="00FA2ABF" w:rsidRPr="00E11326" w:rsidRDefault="00EA2DE4" w:rsidP="0057595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35.325</w:t>
            </w:r>
          </w:p>
        </w:tc>
      </w:tr>
    </w:tbl>
    <w:p w14:paraId="1C1CDFF3" w14:textId="32F6D2A5" w:rsidR="00FA2ABF" w:rsidRDefault="00E27B18" w:rsidP="00424DDD">
      <w:pPr>
        <w:spacing w:before="120" w:after="120"/>
        <w:rPr>
          <w:rFonts w:cstheme="majorHAnsi"/>
          <w:i/>
          <w:lang w:val="en-AU"/>
        </w:rPr>
      </w:pPr>
      <w:r w:rsidRPr="00E27B18">
        <w:rPr>
          <w:rFonts w:cstheme="majorHAnsi"/>
          <w:i/>
          <w:lang w:val="en-AU"/>
        </w:rPr>
        <w:t>Attorney General’s Portfolio Statement, p. 135</w:t>
      </w:r>
    </w:p>
    <w:p w14:paraId="41FBDD1B" w14:textId="1ADDBE84" w:rsidR="00EA2DE4" w:rsidRDefault="008B5DDA" w:rsidP="00424DDD">
      <w:pPr>
        <w:spacing w:before="120" w:after="120"/>
        <w:rPr>
          <w:rFonts w:cstheme="majorHAnsi"/>
          <w:lang w:val="en-AU"/>
        </w:rPr>
      </w:pPr>
      <w:r>
        <w:rPr>
          <w:rFonts w:cstheme="majorHAnsi"/>
          <w:lang w:val="en-AU"/>
        </w:rPr>
        <w:t xml:space="preserve">The funding allocated to the Registry Service approximately amounts the funding cuts in the budgets of the Family Court of Australia and the Federal Circuit Court of Australia. </w:t>
      </w:r>
    </w:p>
    <w:p w14:paraId="215F2B2A" w14:textId="3C06140D" w:rsidR="00424DDD" w:rsidRPr="00CA320C" w:rsidRDefault="00436E00" w:rsidP="00CA320C">
      <w:pPr>
        <w:spacing w:before="120" w:after="120"/>
        <w:rPr>
          <w:rFonts w:cstheme="majorHAnsi"/>
          <w:lang w:val="en-AU"/>
        </w:rPr>
      </w:pPr>
      <w:r>
        <w:rPr>
          <w:rFonts w:cstheme="majorHAnsi"/>
          <w:lang w:val="en-AU"/>
        </w:rPr>
        <w:t xml:space="preserve">AWAVA has previously made a </w:t>
      </w:r>
      <w:hyperlink r:id="rId20" w:history="1">
        <w:r w:rsidRPr="00040A8D">
          <w:rPr>
            <w:rStyle w:val="Hyperlink"/>
            <w:rFonts w:cstheme="majorHAnsi"/>
            <w:lang w:val="en-AU"/>
          </w:rPr>
          <w:t>submission</w:t>
        </w:r>
      </w:hyperlink>
      <w:r>
        <w:rPr>
          <w:rFonts w:cstheme="majorHAnsi"/>
          <w:lang w:val="en-AU"/>
        </w:rPr>
        <w:t xml:space="preserve"> expressing concerns of such an amalgamation. </w:t>
      </w:r>
      <w:r>
        <w:t>The overarching key concern is that the reforms are being pursued without adequate consideration for how they will impact on the safety of victims/survivors of family violence and their children.</w:t>
      </w:r>
      <w:r w:rsidRPr="00040A8D">
        <w:rPr>
          <w:b/>
        </w:rPr>
        <w:t xml:space="preserve"> </w:t>
      </w:r>
      <w:r w:rsidRPr="00040A8D">
        <w:t>Other feedback included a lack of consultation with victims/survivors and experts</w:t>
      </w:r>
      <w:r>
        <w:t xml:space="preserve">, </w:t>
      </w:r>
      <w:r w:rsidR="00474E2D">
        <w:t xml:space="preserve">the </w:t>
      </w:r>
      <w:r>
        <w:t>p</w:t>
      </w:r>
      <w:r w:rsidRPr="00040A8D">
        <w:t xml:space="preserve">ace of reform and lack </w:t>
      </w:r>
      <w:r>
        <w:t xml:space="preserve">of integration with ALRC </w:t>
      </w:r>
      <w:r w:rsidRPr="00040A8D">
        <w:rPr>
          <w:rFonts w:cstheme="majorHAnsi"/>
          <w:lang w:val="en-AU"/>
        </w:rPr>
        <w:t xml:space="preserve">review, under-funding and the need to resource reform appropriately and risk of losing specialisation. </w:t>
      </w:r>
      <w:r>
        <w:rPr>
          <w:rFonts w:cstheme="majorHAnsi"/>
          <w:lang w:val="en-AU"/>
        </w:rPr>
        <w:t>We also support the positions of Women’s Legal Services Australia and the Law Council of Australia who are opposing this bill</w:t>
      </w:r>
      <w:r w:rsidR="007142F4">
        <w:rPr>
          <w:rFonts w:cstheme="majorHAnsi"/>
          <w:lang w:val="en-AU"/>
        </w:rPr>
        <w:t>.</w:t>
      </w:r>
      <w:r>
        <w:rPr>
          <w:rStyle w:val="FootnoteReference"/>
          <w:rFonts w:cstheme="majorHAnsi"/>
          <w:lang w:val="en-AU"/>
        </w:rPr>
        <w:footnoteReference w:id="22"/>
      </w:r>
    </w:p>
    <w:p w14:paraId="655F36F8" w14:textId="58F1BB34" w:rsidR="0070046C" w:rsidRPr="0070046C" w:rsidRDefault="0070046C" w:rsidP="0070046C">
      <w:pPr>
        <w:pStyle w:val="Heading2"/>
        <w:rPr>
          <w:rFonts w:eastAsia="Times New Roman"/>
          <w:lang w:eastAsia="en-AU"/>
        </w:rPr>
      </w:pPr>
      <w:bookmarkStart w:id="12" w:name="_Toc6218512"/>
      <w:r w:rsidRPr="0070046C">
        <w:rPr>
          <w:rFonts w:eastAsia="Times New Roman"/>
          <w:lang w:eastAsia="en-AU"/>
        </w:rPr>
        <w:t>Measures indirectly related to addressing violence against women and their children</w:t>
      </w:r>
      <w:bookmarkEnd w:id="12"/>
      <w:r w:rsidRPr="0070046C">
        <w:rPr>
          <w:rFonts w:eastAsia="Times New Roman"/>
          <w:lang w:eastAsia="en-AU"/>
        </w:rPr>
        <w:t xml:space="preserve"> </w:t>
      </w:r>
    </w:p>
    <w:p w14:paraId="29D5231D" w14:textId="1BE6DB3C" w:rsidR="00A85A3F" w:rsidRDefault="0070046C" w:rsidP="0070046C">
      <w:pPr>
        <w:pStyle w:val="Heading3"/>
        <w:rPr>
          <w:color w:val="222222"/>
          <w:lang w:val="en-AU"/>
        </w:rPr>
      </w:pPr>
      <w:r w:rsidRPr="0070046C">
        <w:t>National</w:t>
      </w:r>
      <w:r>
        <w:rPr>
          <w:color w:val="222222"/>
          <w:lang w:val="en-AU"/>
        </w:rPr>
        <w:t xml:space="preserve"> </w:t>
      </w:r>
      <w:r w:rsidRPr="00A85A3F">
        <w:t>Plan to Respond to the Abuse of Older Australians</w:t>
      </w:r>
    </w:p>
    <w:p w14:paraId="37B4E9AF" w14:textId="3902DCE6" w:rsidR="0070046C" w:rsidRDefault="00CF0564" w:rsidP="00CF0564">
      <w:pPr>
        <w:shd w:val="clear" w:color="auto" w:fill="FFFFFF"/>
        <w:spacing w:before="120" w:after="120"/>
        <w:rPr>
          <w:rFonts w:cstheme="majorHAnsi"/>
        </w:rPr>
      </w:pPr>
      <w:r>
        <w:rPr>
          <w:rFonts w:eastAsia="Times New Roman" w:cstheme="majorHAnsi"/>
          <w:color w:val="222222"/>
          <w:lang w:val="en-AU" w:eastAsia="en-AU"/>
        </w:rPr>
        <w:t xml:space="preserve">The Attorney General’s Department will be administering the National </w:t>
      </w:r>
      <w:r w:rsidRPr="00A85A3F">
        <w:rPr>
          <w:rFonts w:cstheme="majorHAnsi"/>
        </w:rPr>
        <w:t>Plan to Respond to the Abuse of Older Australians</w:t>
      </w:r>
      <w:r>
        <w:rPr>
          <w:rFonts w:eastAsia="Times New Roman" w:cstheme="majorHAnsi"/>
          <w:color w:val="222222"/>
          <w:lang w:val="en-AU" w:eastAsia="en-AU"/>
        </w:rPr>
        <w:t xml:space="preserve">. </w:t>
      </w:r>
      <w:r w:rsidR="0070046C" w:rsidRPr="00A85A3F">
        <w:rPr>
          <w:rFonts w:cstheme="majorHAnsi"/>
        </w:rPr>
        <w:t>The Plan includes $18 million to create a new National Hotline (1800 ELDERHelp or 1800 353 374) and conduct trials of frontline services for victims of abuse. The Government is also contributing $1.5 million towards developing a Serious Incident Response Scheme.</w:t>
      </w:r>
      <w:r>
        <w:rPr>
          <w:rFonts w:cstheme="majorHAnsi"/>
        </w:rPr>
        <w:t xml:space="preserve"> </w:t>
      </w:r>
    </w:p>
    <w:p w14:paraId="0B5A4D6C" w14:textId="38BAACD2" w:rsidR="00805A29" w:rsidRDefault="00805A29" w:rsidP="00CF0564">
      <w:pPr>
        <w:shd w:val="clear" w:color="auto" w:fill="FFFFFF"/>
        <w:spacing w:before="120" w:after="120"/>
        <w:rPr>
          <w:rFonts w:cstheme="majorHAnsi"/>
        </w:rPr>
      </w:pPr>
      <w:r>
        <w:rPr>
          <w:rFonts w:cstheme="majorHAnsi"/>
        </w:rPr>
        <w:t xml:space="preserve">AWAVA took part in the consultations on the plan development and made a range of recommendations in relation to the need </w:t>
      </w:r>
      <w:r w:rsidR="003A06A5">
        <w:rPr>
          <w:rFonts w:cstheme="majorHAnsi"/>
        </w:rPr>
        <w:t>for</w:t>
      </w:r>
      <w:r>
        <w:rPr>
          <w:rFonts w:cstheme="majorHAnsi"/>
        </w:rPr>
        <w:t xml:space="preserve"> gender and intersectional analysis of the abuse of older people. Our submission can be found </w:t>
      </w:r>
      <w:hyperlink r:id="rId21" w:history="1">
        <w:r w:rsidRPr="00CA320C">
          <w:rPr>
            <w:rStyle w:val="Hyperlink"/>
            <w:rFonts w:cstheme="majorHAnsi"/>
          </w:rPr>
          <w:t>here</w:t>
        </w:r>
      </w:hyperlink>
      <w:r>
        <w:rPr>
          <w:rFonts w:cstheme="majorHAnsi"/>
        </w:rPr>
        <w:t xml:space="preserve">. The </w:t>
      </w:r>
      <w:hyperlink r:id="rId22" w:history="1">
        <w:r w:rsidRPr="00805A29">
          <w:rPr>
            <w:rStyle w:val="Hyperlink"/>
            <w:rFonts w:cstheme="majorHAnsi"/>
          </w:rPr>
          <w:t>final text of the plan</w:t>
        </w:r>
      </w:hyperlink>
      <w:r>
        <w:rPr>
          <w:rFonts w:cstheme="majorHAnsi"/>
        </w:rPr>
        <w:t xml:space="preserve"> does not engage with the gender analysis. </w:t>
      </w:r>
    </w:p>
    <w:p w14:paraId="4B7BB46B" w14:textId="6C84CD00" w:rsidR="00CA320C" w:rsidRPr="00865357" w:rsidRDefault="00805A29" w:rsidP="00865357">
      <w:pPr>
        <w:shd w:val="clear" w:color="auto" w:fill="FFFFFF"/>
        <w:spacing w:before="120" w:after="120"/>
        <w:rPr>
          <w:rFonts w:cstheme="majorHAnsi"/>
        </w:rPr>
      </w:pPr>
      <w:r>
        <w:rPr>
          <w:rFonts w:cstheme="majorHAnsi"/>
        </w:rPr>
        <w:t xml:space="preserve">The Attorney General’s Department has also previously received $1.5 million for the first national study into the prevalence of elder abuse. AWAVA recommends that the forthcoming research is attentive to the gendered dynamics of abuse as well as other compounding experiences such as racism, homophobia, transphobia and ableism. </w:t>
      </w:r>
    </w:p>
    <w:p w14:paraId="70B0E8EC" w14:textId="46B3CED4" w:rsidR="00A85A3F" w:rsidRPr="00A85A3F" w:rsidRDefault="00A5556F" w:rsidP="00A5556F">
      <w:pPr>
        <w:pStyle w:val="Heading1"/>
        <w:rPr>
          <w:rFonts w:eastAsia="Times New Roman"/>
          <w:lang w:val="en-AU" w:eastAsia="en-AU"/>
        </w:rPr>
      </w:pPr>
      <w:bookmarkStart w:id="13" w:name="_Toc6218513"/>
      <w:r>
        <w:rPr>
          <w:rFonts w:eastAsia="Times New Roman"/>
          <w:lang w:val="en-AU" w:eastAsia="en-AU"/>
        </w:rPr>
        <w:t>Department of Social Services Portfolio</w:t>
      </w:r>
      <w:bookmarkEnd w:id="13"/>
      <w:r>
        <w:rPr>
          <w:rFonts w:eastAsia="Times New Roman"/>
          <w:lang w:val="en-AU" w:eastAsia="en-AU"/>
        </w:rPr>
        <w:t xml:space="preserve"> </w:t>
      </w:r>
    </w:p>
    <w:p w14:paraId="7AD0F8F1" w14:textId="77777777" w:rsidR="00A5556F" w:rsidRDefault="00A5556F" w:rsidP="00A5556F">
      <w:pPr>
        <w:pStyle w:val="Heading2"/>
        <w:rPr>
          <w:rFonts w:eastAsia="Times New Roman"/>
          <w:lang w:eastAsia="en-AU"/>
        </w:rPr>
      </w:pPr>
      <w:bookmarkStart w:id="14" w:name="_Toc6218514"/>
      <w:r>
        <w:rPr>
          <w:rFonts w:eastAsia="Times New Roman"/>
          <w:lang w:eastAsia="en-AU"/>
        </w:rPr>
        <w:t>Measures directly related to addressing violence against women and their children</w:t>
      </w:r>
      <w:bookmarkEnd w:id="14"/>
      <w:r>
        <w:rPr>
          <w:rFonts w:eastAsia="Times New Roman"/>
          <w:lang w:eastAsia="en-AU"/>
        </w:rPr>
        <w:t xml:space="preserve"> </w:t>
      </w:r>
    </w:p>
    <w:p w14:paraId="0F67383B" w14:textId="1354E787" w:rsidR="00A5556F" w:rsidRDefault="0031112E" w:rsidP="0031112E">
      <w:pPr>
        <w:pStyle w:val="Heading3"/>
      </w:pPr>
      <w:r>
        <w:t>Fourth Action Plan (2019-2022) to reduce violence against women and their children</w:t>
      </w:r>
    </w:p>
    <w:p w14:paraId="3B42DF4A" w14:textId="5330F243" w:rsidR="004F210C" w:rsidRPr="004F210C" w:rsidRDefault="004F210C" w:rsidP="004F210C">
      <w:pPr>
        <w:rPr>
          <w:lang w:val="en-US" w:eastAsia="en-AU"/>
        </w:rPr>
      </w:pPr>
      <w:r w:rsidRPr="004F210C">
        <w:rPr>
          <w:noProof/>
          <w:lang w:val="en-AU" w:eastAsia="en-AU"/>
        </w:rPr>
        <w:drawing>
          <wp:inline distT="0" distB="0" distL="0" distR="0" wp14:anchorId="17CAC950" wp14:editId="42D6809E">
            <wp:extent cx="5731510" cy="18345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834515"/>
                    </a:xfrm>
                    <a:prstGeom prst="rect">
                      <a:avLst/>
                    </a:prstGeom>
                  </pic:spPr>
                </pic:pic>
              </a:graphicData>
            </a:graphic>
          </wp:inline>
        </w:drawing>
      </w:r>
    </w:p>
    <w:p w14:paraId="5F671D22" w14:textId="374B2776" w:rsidR="004F210C" w:rsidRDefault="0031112E" w:rsidP="007142F4">
      <w:pPr>
        <w:shd w:val="clear" w:color="auto" w:fill="FFFFFF"/>
        <w:spacing w:before="120" w:after="120"/>
        <w:rPr>
          <w:rFonts w:eastAsia="Times New Roman" w:cstheme="majorHAnsi"/>
          <w:lang w:val="en-AU" w:eastAsia="en-AU"/>
        </w:rPr>
      </w:pPr>
      <w:r>
        <w:rPr>
          <w:lang w:val="en-US" w:eastAsia="en-AU"/>
        </w:rPr>
        <w:t xml:space="preserve">The Department of Social Services is </w:t>
      </w:r>
      <w:r w:rsidR="001E67C6">
        <w:rPr>
          <w:lang w:val="en-US" w:eastAsia="en-AU"/>
        </w:rPr>
        <w:t xml:space="preserve">mainly </w:t>
      </w:r>
      <w:r>
        <w:rPr>
          <w:lang w:val="en-US" w:eastAsia="en-AU"/>
        </w:rPr>
        <w:t>responsible for the implementation of the Fourth Action Plan.</w:t>
      </w:r>
      <w:r>
        <w:rPr>
          <w:rStyle w:val="FootnoteReference"/>
          <w:lang w:val="en-US" w:eastAsia="en-AU"/>
        </w:rPr>
        <w:footnoteReference w:id="23"/>
      </w:r>
      <w:r>
        <w:rPr>
          <w:lang w:val="en-US" w:eastAsia="en-AU"/>
        </w:rPr>
        <w:t xml:space="preserve"> </w:t>
      </w:r>
      <w:r w:rsidR="007142F4">
        <w:rPr>
          <w:lang w:val="en-US" w:eastAsia="en-AU"/>
        </w:rPr>
        <w:t>Some of the</w:t>
      </w:r>
      <w:r w:rsidR="004F210C">
        <w:rPr>
          <w:lang w:val="en-US" w:eastAsia="en-AU"/>
        </w:rPr>
        <w:t xml:space="preserve"> measure</w:t>
      </w:r>
      <w:r w:rsidR="007142F4">
        <w:rPr>
          <w:lang w:val="en-US" w:eastAsia="en-AU"/>
        </w:rPr>
        <w:t>s</w:t>
      </w:r>
      <w:r w:rsidR="004F210C">
        <w:rPr>
          <w:lang w:val="en-US" w:eastAsia="en-AU"/>
        </w:rPr>
        <w:t xml:space="preserve"> have been described in the </w:t>
      </w:r>
      <w:hyperlink w:anchor="_Fourth_Action_Plan" w:history="1">
        <w:r w:rsidR="004F210C" w:rsidRPr="004F210C">
          <w:rPr>
            <w:rStyle w:val="Hyperlink"/>
            <w:lang w:val="en-US" w:eastAsia="en-AU"/>
          </w:rPr>
          <w:t>Cross portfolio measures</w:t>
        </w:r>
      </w:hyperlink>
      <w:r w:rsidR="004F210C">
        <w:rPr>
          <w:lang w:val="en-US" w:eastAsia="en-AU"/>
        </w:rPr>
        <w:t xml:space="preserve"> in this </w:t>
      </w:r>
      <w:r w:rsidR="004F210C" w:rsidRPr="007142F4">
        <w:rPr>
          <w:rFonts w:eastAsia="Times New Roman" w:cstheme="majorHAnsi"/>
          <w:lang w:val="en-AU" w:eastAsia="en-AU"/>
        </w:rPr>
        <w:t>document</w:t>
      </w:r>
      <w:r w:rsidR="003A06A5">
        <w:rPr>
          <w:rFonts w:eastAsia="Times New Roman" w:cstheme="majorHAnsi"/>
          <w:lang w:val="en-AU" w:eastAsia="en-AU"/>
        </w:rPr>
        <w:t xml:space="preserve"> above</w:t>
      </w:r>
      <w:r w:rsidR="004F210C" w:rsidRPr="007142F4">
        <w:rPr>
          <w:rFonts w:eastAsia="Times New Roman" w:cstheme="majorHAnsi"/>
          <w:lang w:val="en-AU" w:eastAsia="en-AU"/>
        </w:rPr>
        <w:t xml:space="preserve">. </w:t>
      </w:r>
      <w:r w:rsidR="007142F4">
        <w:rPr>
          <w:rFonts w:eastAsia="Times New Roman" w:cstheme="majorHAnsi"/>
          <w:lang w:val="en-AU" w:eastAsia="en-AU"/>
        </w:rPr>
        <w:t xml:space="preserve">Other specific to DSS measures include: </w:t>
      </w:r>
    </w:p>
    <w:p w14:paraId="2426AD10" w14:textId="5641B236" w:rsidR="007142F4" w:rsidRPr="007142F4" w:rsidRDefault="007142F4" w:rsidP="007142F4">
      <w:pPr>
        <w:pStyle w:val="ListParagraph"/>
        <w:numPr>
          <w:ilvl w:val="0"/>
          <w:numId w:val="17"/>
        </w:numPr>
        <w:shd w:val="clear" w:color="auto" w:fill="FFFFFF"/>
        <w:spacing w:before="120" w:after="120"/>
        <w:rPr>
          <w:rFonts w:eastAsia="Times New Roman" w:cstheme="majorHAnsi"/>
          <w:lang w:val="en-AU" w:eastAsia="en-AU"/>
        </w:rPr>
      </w:pPr>
      <w:r>
        <w:t xml:space="preserve">$0.5 million to develop a university module to train university students in key disciplines, such as health, education </w:t>
      </w:r>
      <w:r w:rsidRPr="007142F4">
        <w:rPr>
          <w:rFonts w:eastAsia="Times New Roman" w:cstheme="majorHAnsi"/>
          <w:lang w:val="en-AU" w:eastAsia="en-AU"/>
        </w:rPr>
        <w:t xml:space="preserve">and training, and social work, to better recognise and respond to domestic, family and sexual violence. </w:t>
      </w:r>
    </w:p>
    <w:p w14:paraId="6A3BB3A6" w14:textId="3DB97B9A" w:rsidR="007142F4" w:rsidRDefault="007142F4" w:rsidP="007142F4">
      <w:pPr>
        <w:pStyle w:val="ListParagraph"/>
        <w:numPr>
          <w:ilvl w:val="0"/>
          <w:numId w:val="17"/>
        </w:numPr>
        <w:shd w:val="clear" w:color="auto" w:fill="FFFFFF"/>
        <w:spacing w:before="120" w:after="120"/>
        <w:rPr>
          <w:rFonts w:eastAsia="Times New Roman" w:cstheme="majorHAnsi"/>
          <w:lang w:val="en-AU" w:eastAsia="en-AU"/>
        </w:rPr>
      </w:pPr>
      <w:r>
        <w:rPr>
          <w:rFonts w:eastAsia="Times New Roman" w:cstheme="majorHAnsi"/>
          <w:lang w:val="en-AU" w:eastAsia="en-AU"/>
        </w:rPr>
        <w:t>$4.</w:t>
      </w:r>
      <w:r w:rsidR="003A06A5">
        <w:rPr>
          <w:rFonts w:eastAsia="Times New Roman" w:cstheme="majorHAnsi"/>
          <w:lang w:val="en-AU" w:eastAsia="en-AU"/>
        </w:rPr>
        <w:t>5</w:t>
      </w:r>
      <w:r>
        <w:rPr>
          <w:rFonts w:eastAsia="Times New Roman" w:cstheme="majorHAnsi"/>
          <w:lang w:val="en-AU" w:eastAsia="en-AU"/>
        </w:rPr>
        <w:t xml:space="preserve"> million to e</w:t>
      </w:r>
      <w:r w:rsidRPr="007142F4">
        <w:rPr>
          <w:rFonts w:eastAsia="Times New Roman" w:cstheme="majorHAnsi"/>
          <w:lang w:val="en-AU" w:eastAsia="en-AU"/>
        </w:rPr>
        <w:t>stablish</w:t>
      </w:r>
      <w:r>
        <w:rPr>
          <w:rFonts w:eastAsia="Times New Roman" w:cstheme="majorHAnsi"/>
          <w:lang w:val="en-AU" w:eastAsia="en-AU"/>
        </w:rPr>
        <w:t xml:space="preserve"> </w:t>
      </w:r>
      <w:r w:rsidRPr="007142F4">
        <w:rPr>
          <w:rFonts w:eastAsia="Times New Roman" w:cstheme="majorHAnsi"/>
          <w:lang w:val="en-AU" w:eastAsia="en-AU"/>
        </w:rPr>
        <w:t>accredited training across the community to improve worker responses to victims of sexual violence, focusing on specific forms of sexual violence, including technology-facilitated sexual violence, non-consensual image-based abuse and stalking, and on the most vulnerable cohorts including young people and women with disability.</w:t>
      </w:r>
    </w:p>
    <w:p w14:paraId="39DA1C72" w14:textId="4927DFF7" w:rsidR="007142F4" w:rsidRDefault="007142F4" w:rsidP="007142F4">
      <w:pPr>
        <w:pStyle w:val="ListParagraph"/>
        <w:numPr>
          <w:ilvl w:val="0"/>
          <w:numId w:val="17"/>
        </w:numPr>
        <w:shd w:val="clear" w:color="auto" w:fill="FFFFFF"/>
        <w:spacing w:before="120" w:after="120"/>
        <w:rPr>
          <w:rFonts w:eastAsia="Times New Roman" w:cstheme="majorHAnsi"/>
          <w:lang w:val="en-AU" w:eastAsia="en-AU"/>
        </w:rPr>
      </w:pPr>
      <w:r>
        <w:rPr>
          <w:rFonts w:eastAsia="Times New Roman" w:cstheme="majorHAnsi"/>
          <w:lang w:val="en-AU" w:eastAsia="en-AU"/>
        </w:rPr>
        <w:t xml:space="preserve">$0.5 million to map gaps in relation to LGBTIQ communities. This will include mapping of existing services and a round table. </w:t>
      </w:r>
    </w:p>
    <w:p w14:paraId="725384C0" w14:textId="77777777" w:rsidR="00A5556F" w:rsidRDefault="00A5556F" w:rsidP="00A5556F">
      <w:pPr>
        <w:pStyle w:val="Heading2"/>
        <w:rPr>
          <w:rFonts w:eastAsia="Times New Roman"/>
          <w:lang w:eastAsia="en-AU"/>
        </w:rPr>
      </w:pPr>
      <w:bookmarkStart w:id="15" w:name="_Toc6218515"/>
      <w:r>
        <w:rPr>
          <w:rFonts w:eastAsia="Times New Roman"/>
          <w:lang w:eastAsia="en-AU"/>
        </w:rPr>
        <w:t>Measures indirectly related to addressing violence against women and their children</w:t>
      </w:r>
      <w:bookmarkEnd w:id="15"/>
      <w:r>
        <w:rPr>
          <w:rFonts w:eastAsia="Times New Roman"/>
          <w:lang w:eastAsia="en-AU"/>
        </w:rPr>
        <w:t xml:space="preserve"> </w:t>
      </w:r>
    </w:p>
    <w:p w14:paraId="3BEFB324" w14:textId="3A4DE058" w:rsidR="00A5556F" w:rsidRPr="00AA11C9" w:rsidRDefault="001E10D8" w:rsidP="00AA11C9">
      <w:pPr>
        <w:pStyle w:val="Heading3"/>
      </w:pPr>
      <w:r w:rsidRPr="00AA11C9">
        <w:t xml:space="preserve">Expansion of cashless debit cards trials </w:t>
      </w:r>
    </w:p>
    <w:p w14:paraId="3979D48B" w14:textId="156E9590" w:rsidR="00AA11C9" w:rsidRPr="007142F4" w:rsidRDefault="00AA11C9" w:rsidP="00AA11C9">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 xml:space="preserve">The Government proposed an expansion of the Cashless Debit Card (CDC) trial until 2021 with the total budget of </w:t>
      </w:r>
      <w:r w:rsidR="00A85A3F" w:rsidRPr="007142F4">
        <w:rPr>
          <w:rFonts w:eastAsia="Times New Roman" w:cstheme="majorHAnsi"/>
          <w:lang w:val="en-AU" w:eastAsia="en-AU"/>
        </w:rPr>
        <w:t>$128.8 million</w:t>
      </w:r>
      <w:r w:rsidRPr="007142F4">
        <w:rPr>
          <w:rFonts w:eastAsia="Times New Roman" w:cstheme="majorHAnsi"/>
          <w:lang w:val="en-AU" w:eastAsia="en-AU"/>
        </w:rPr>
        <w:t>.</w:t>
      </w:r>
      <w:r w:rsidRPr="007142F4">
        <w:rPr>
          <w:rStyle w:val="FootnoteReference"/>
          <w:rFonts w:eastAsia="Times New Roman" w:cstheme="majorHAnsi"/>
          <w:lang w:val="en-AU" w:eastAsia="en-AU"/>
        </w:rPr>
        <w:footnoteReference w:id="24"/>
      </w:r>
      <w:r w:rsidRPr="007142F4">
        <w:rPr>
          <w:rFonts w:eastAsia="Times New Roman" w:cstheme="majorHAnsi"/>
          <w:lang w:val="en-AU" w:eastAsia="en-AU"/>
        </w:rPr>
        <w:t xml:space="preserve"> While indicating that this is the extension of the trial until 30 June 2021, the investment is intended over 4 years.</w:t>
      </w:r>
      <w:r w:rsidRPr="007142F4">
        <w:rPr>
          <w:rStyle w:val="FootnoteReference"/>
          <w:rFonts w:eastAsia="Times New Roman" w:cstheme="majorHAnsi"/>
          <w:lang w:val="en-AU" w:eastAsia="en-AU"/>
        </w:rPr>
        <w:footnoteReference w:id="25"/>
      </w:r>
      <w:r w:rsidRPr="007142F4">
        <w:rPr>
          <w:rFonts w:eastAsia="Times New Roman" w:cstheme="majorHAnsi"/>
          <w:lang w:val="en-AU" w:eastAsia="en-AU"/>
        </w:rPr>
        <w:t xml:space="preserve"> </w:t>
      </w:r>
    </w:p>
    <w:p w14:paraId="74A913EE" w14:textId="6E991CF2" w:rsidR="00AA11C9" w:rsidRPr="007142F4" w:rsidRDefault="00873E93" w:rsidP="00873E93">
      <w:pPr>
        <w:shd w:val="clear" w:color="auto" w:fill="FFFFFF"/>
        <w:spacing w:before="120" w:after="120"/>
        <w:rPr>
          <w:rFonts w:eastAsia="Times New Roman" w:cstheme="majorHAnsi"/>
          <w:lang w:val="en-AU" w:eastAsia="en-AU"/>
        </w:rPr>
      </w:pPr>
      <w:r w:rsidRPr="007142F4">
        <w:rPr>
          <w:rFonts w:eastAsia="Times New Roman" w:cstheme="majorHAnsi"/>
          <w:lang w:val="en-AU" w:eastAsia="en-AU"/>
        </w:rPr>
        <w:t xml:space="preserve">AWAVA strongly opposes the CDC trial and calls on the government to completely abandon the program. </w:t>
      </w:r>
      <w:r w:rsidRPr="007142F4">
        <w:rPr>
          <w:lang w:val="en-AU"/>
        </w:rPr>
        <w:t>There is no evidence to suggest any positive outcomes from the compulsory punitive welfare policies. The Auditor General concluded that in the absence of effective evaluation and monitoring mechanism, it is difficult to conclude whether any positive impacts or reduction of social harm has occurred.</w:t>
      </w:r>
      <w:r w:rsidRPr="007142F4">
        <w:rPr>
          <w:rStyle w:val="FootnoteReference"/>
          <w:lang w:val="en-AU"/>
        </w:rPr>
        <w:footnoteReference w:id="26"/>
      </w:r>
      <w:r w:rsidRPr="007142F4">
        <w:rPr>
          <w:lang w:val="en-AU"/>
        </w:rPr>
        <w:t xml:space="preserve"> We call</w:t>
      </w:r>
      <w:r w:rsidR="007142F4">
        <w:rPr>
          <w:lang w:val="en-AU"/>
        </w:rPr>
        <w:t>ed</w:t>
      </w:r>
      <w:r w:rsidRPr="007142F4">
        <w:rPr>
          <w:lang w:val="en-AU"/>
        </w:rPr>
        <w:t xml:space="preserve"> on the government to ensure that every member of the community is treated equally and with </w:t>
      </w:r>
      <w:r w:rsidR="003A06A5">
        <w:rPr>
          <w:lang w:val="en-AU"/>
        </w:rPr>
        <w:t xml:space="preserve">the </w:t>
      </w:r>
      <w:r w:rsidRPr="007142F4">
        <w:rPr>
          <w:lang w:val="en-AU"/>
        </w:rPr>
        <w:t>dignity and respect that they deserve.</w:t>
      </w:r>
    </w:p>
    <w:p w14:paraId="157B7A23" w14:textId="3C9EDC31" w:rsidR="00A85A3F" w:rsidRPr="00873E93" w:rsidRDefault="00A85A3F" w:rsidP="00873E93">
      <w:pPr>
        <w:pStyle w:val="Heading3"/>
      </w:pPr>
      <w:r w:rsidRPr="00A85A3F">
        <w:t>Establishing the National Centre for the Prevention of Child Sexual Abuse</w:t>
      </w:r>
    </w:p>
    <w:p w14:paraId="3D093B6D" w14:textId="3072B47C" w:rsidR="00A85A3F" w:rsidRPr="00A85A3F" w:rsidRDefault="00A85A3F" w:rsidP="00437D46">
      <w:pPr>
        <w:pStyle w:val="Default"/>
        <w:spacing w:before="120" w:after="120"/>
        <w:jc w:val="both"/>
        <w:rPr>
          <w:rFonts w:asciiTheme="majorHAnsi" w:hAnsiTheme="majorHAnsi" w:cstheme="majorHAnsi"/>
          <w:sz w:val="22"/>
          <w:szCs w:val="22"/>
        </w:rPr>
      </w:pPr>
      <w:r w:rsidRPr="00A85A3F">
        <w:rPr>
          <w:rFonts w:asciiTheme="majorHAnsi" w:hAnsiTheme="majorHAnsi" w:cstheme="majorHAnsi"/>
          <w:sz w:val="22"/>
          <w:szCs w:val="22"/>
        </w:rPr>
        <w:t xml:space="preserve">$25.5 million over six years from 2019-20 (including $4.4 million in 2023-24 and in 2024-25) </w:t>
      </w:r>
      <w:r w:rsidR="00873E93">
        <w:rPr>
          <w:rFonts w:asciiTheme="majorHAnsi" w:hAnsiTheme="majorHAnsi" w:cstheme="majorHAnsi"/>
          <w:sz w:val="22"/>
          <w:szCs w:val="22"/>
        </w:rPr>
        <w:t xml:space="preserve">will be provided </w:t>
      </w:r>
      <w:r w:rsidRPr="00A85A3F">
        <w:rPr>
          <w:rFonts w:asciiTheme="majorHAnsi" w:hAnsiTheme="majorHAnsi" w:cstheme="majorHAnsi"/>
          <w:sz w:val="22"/>
          <w:szCs w:val="22"/>
        </w:rPr>
        <w:t xml:space="preserve">to establish an independent National Centre for the Prevention of Child Sexual Abuse (the Centre) to reduce stigma, raise awareness, and prevent child sexual abuse. The Centre will commence operation in 2020-21. </w:t>
      </w:r>
    </w:p>
    <w:p w14:paraId="432430D5" w14:textId="3F18F009" w:rsidR="004D4ADF" w:rsidRDefault="00CC33B7" w:rsidP="00CC33B7">
      <w:pPr>
        <w:pStyle w:val="Heading1"/>
      </w:pPr>
      <w:bookmarkStart w:id="16" w:name="_Toc6218516"/>
      <w:r>
        <w:t>Prime Minister and Cabinet</w:t>
      </w:r>
      <w:bookmarkEnd w:id="16"/>
    </w:p>
    <w:p w14:paraId="2C997555" w14:textId="557AA26E" w:rsidR="00CC33B7" w:rsidRDefault="00CC33B7" w:rsidP="00CC33B7">
      <w:pPr>
        <w:pStyle w:val="Heading2"/>
        <w:rPr>
          <w:rFonts w:eastAsia="Times New Roman"/>
          <w:lang w:eastAsia="en-AU"/>
        </w:rPr>
      </w:pPr>
      <w:bookmarkStart w:id="17" w:name="_Toc6218517"/>
      <w:r>
        <w:rPr>
          <w:rFonts w:eastAsia="Times New Roman"/>
          <w:lang w:eastAsia="en-AU"/>
        </w:rPr>
        <w:t>Measures directly related to addressing violence against women and their children</w:t>
      </w:r>
      <w:bookmarkEnd w:id="17"/>
      <w:r>
        <w:rPr>
          <w:rFonts w:eastAsia="Times New Roman"/>
          <w:lang w:eastAsia="en-AU"/>
        </w:rPr>
        <w:t xml:space="preserve"> </w:t>
      </w:r>
    </w:p>
    <w:p w14:paraId="5CB6496D" w14:textId="43B2E254" w:rsidR="00CC33B7" w:rsidRDefault="00CC33B7" w:rsidP="00CC33B7">
      <w:pPr>
        <w:pStyle w:val="Heading3"/>
      </w:pPr>
      <w:r>
        <w:t>Funding to address financial abuse</w:t>
      </w:r>
    </w:p>
    <w:p w14:paraId="40A19837" w14:textId="00BDD771" w:rsidR="00CC33B7" w:rsidRDefault="009B4EEA" w:rsidP="00CC33B7">
      <w:pPr>
        <w:rPr>
          <w:lang w:eastAsia="en-AU"/>
        </w:rPr>
      </w:pPr>
      <w:r>
        <w:rPr>
          <w:lang w:eastAsia="en-AU"/>
        </w:rPr>
        <w:t xml:space="preserve">The Office for Women has been allocated additional $2million to </w:t>
      </w:r>
      <w:r w:rsidRPr="00A85A3F">
        <w:rPr>
          <w:rFonts w:cstheme="majorHAnsi"/>
        </w:rPr>
        <w:t>support the development of strategies for th</w:t>
      </w:r>
      <w:r>
        <w:rPr>
          <w:rFonts w:cstheme="majorHAnsi"/>
        </w:rPr>
        <w:t xml:space="preserve">e prevention of financial abuse. </w:t>
      </w:r>
      <w:r w:rsidR="007142F4">
        <w:rPr>
          <w:rFonts w:cstheme="majorHAnsi"/>
        </w:rPr>
        <w:t xml:space="preserve">This will include evaluation of the effectiveness of existing initiatives as well as a web-training for financial services providers. </w:t>
      </w:r>
    </w:p>
    <w:p w14:paraId="2356A03E" w14:textId="507E4595" w:rsidR="00CC33B7" w:rsidRDefault="00CC33B7" w:rsidP="00CC33B7">
      <w:pPr>
        <w:pStyle w:val="Heading3"/>
      </w:pPr>
      <w:r>
        <w:t>Funding to Family Violence Prevention Legal Services</w:t>
      </w:r>
    </w:p>
    <w:p w14:paraId="17C5681D" w14:textId="27A3B54D" w:rsidR="009B4EEA" w:rsidRPr="009B4EEA" w:rsidRDefault="009B4EEA" w:rsidP="008C04CC">
      <w:pPr>
        <w:spacing w:before="120" w:after="120"/>
        <w:rPr>
          <w:rFonts w:cstheme="majorHAnsi"/>
          <w:lang w:val="en-AU"/>
        </w:rPr>
      </w:pPr>
      <w:r w:rsidRPr="008C04CC">
        <w:rPr>
          <w:rFonts w:cstheme="majorHAnsi"/>
          <w:lang w:val="en-AU"/>
        </w:rPr>
        <w:t xml:space="preserve">The Prime Minister and Cabinet is responsible for funding Family Violence Prevention Legal Services. Despite the calls from the service, no additional funding has been allocated. </w:t>
      </w:r>
    </w:p>
    <w:p w14:paraId="76264B7B" w14:textId="573B4B37" w:rsidR="009B4EEA" w:rsidRDefault="009B4EEA" w:rsidP="009B4EEA">
      <w:pPr>
        <w:pStyle w:val="Heading3"/>
      </w:pPr>
      <w:r>
        <w:t xml:space="preserve">Funding to the National Women’s Alliances </w:t>
      </w:r>
    </w:p>
    <w:p w14:paraId="4B09E81E" w14:textId="55AB5C7D" w:rsidR="008C04CC" w:rsidRPr="008C04CC" w:rsidRDefault="009B4EEA" w:rsidP="008C04CC">
      <w:pPr>
        <w:spacing w:before="120" w:after="120"/>
        <w:rPr>
          <w:rFonts w:cstheme="majorHAnsi"/>
          <w:lang w:val="en-AU"/>
        </w:rPr>
      </w:pPr>
      <w:r w:rsidRPr="008C04CC">
        <w:rPr>
          <w:rFonts w:cstheme="majorHAnsi"/>
          <w:lang w:val="en-AU"/>
        </w:rPr>
        <w:t xml:space="preserve">The Office for Women has committed to providing funding of $281,000 in both the 2018-19 and 2019-20 years </w:t>
      </w:r>
      <w:r w:rsidR="008C04CC" w:rsidRPr="008C04CC">
        <w:rPr>
          <w:rFonts w:cstheme="majorHAnsi"/>
          <w:lang w:val="en-AU"/>
        </w:rPr>
        <w:t xml:space="preserve">for each of the </w:t>
      </w:r>
      <w:r w:rsidR="007142F4">
        <w:rPr>
          <w:rFonts w:cstheme="majorHAnsi"/>
          <w:lang w:val="en-AU"/>
        </w:rPr>
        <w:t xml:space="preserve">six National Women’s Alliances, including AWAVA. </w:t>
      </w:r>
    </w:p>
    <w:p w14:paraId="0DA21E3C" w14:textId="101D31BD" w:rsidR="008C04CC" w:rsidRPr="008C04CC" w:rsidRDefault="008C04CC" w:rsidP="008C04CC">
      <w:pPr>
        <w:spacing w:before="120" w:after="120"/>
        <w:rPr>
          <w:rFonts w:cstheme="majorHAnsi"/>
          <w:lang w:val="en-AU"/>
        </w:rPr>
      </w:pPr>
      <w:r w:rsidRPr="008C04CC">
        <w:rPr>
          <w:rFonts w:cstheme="majorHAnsi"/>
          <w:lang w:val="en-AU"/>
        </w:rPr>
        <w:t xml:space="preserve">CPI increases have not been accounted for in the funding of the National Women’s Alliances, resulting in a cut in real terms of approximately $29,000 per Alliance over the four years from July 2016 to June 2020 (assuming a CPI of 2.5%pa). This limits the ability of National Women’s Alliances to provide input to government on behalf of the diverse range of women and women’s organisations, and to represent this diversity in decision making and policy outcomes. </w:t>
      </w:r>
    </w:p>
    <w:p w14:paraId="65D5C886" w14:textId="77777777" w:rsidR="00CC33B7" w:rsidRDefault="00CC33B7" w:rsidP="00CC33B7">
      <w:pPr>
        <w:pStyle w:val="Heading2"/>
        <w:rPr>
          <w:rFonts w:eastAsia="Times New Roman"/>
          <w:lang w:eastAsia="en-AU"/>
        </w:rPr>
      </w:pPr>
      <w:bookmarkStart w:id="18" w:name="_Toc6218518"/>
      <w:r>
        <w:rPr>
          <w:rFonts w:eastAsia="Times New Roman"/>
          <w:lang w:eastAsia="en-AU"/>
        </w:rPr>
        <w:t>Measures indirectly related to addressing violence against women and their children</w:t>
      </w:r>
      <w:bookmarkEnd w:id="18"/>
      <w:r>
        <w:rPr>
          <w:rFonts w:eastAsia="Times New Roman"/>
          <w:lang w:eastAsia="en-AU"/>
        </w:rPr>
        <w:t xml:space="preserve"> </w:t>
      </w:r>
    </w:p>
    <w:p w14:paraId="463A60A4" w14:textId="536F3D40" w:rsidR="00BB537C" w:rsidRDefault="00BB537C" w:rsidP="00BB537C">
      <w:pPr>
        <w:pStyle w:val="Heading3"/>
      </w:pPr>
      <w:r w:rsidRPr="00BB537C">
        <w:t>The Workplace Gender Equality Agency (WGEA)</w:t>
      </w:r>
    </w:p>
    <w:p w14:paraId="4939A08F" w14:textId="7C18CE3E" w:rsidR="00BB537C" w:rsidRPr="00BB537C" w:rsidRDefault="00BB537C" w:rsidP="00BB537C">
      <w:pPr>
        <w:spacing w:before="120" w:after="120"/>
        <w:rPr>
          <w:rFonts w:cstheme="majorHAnsi"/>
        </w:rPr>
      </w:pPr>
      <w:r>
        <w:rPr>
          <w:rFonts w:cstheme="majorHAnsi"/>
        </w:rPr>
        <w:t xml:space="preserve">There has been an increase in the funding to the </w:t>
      </w:r>
      <w:r w:rsidRPr="00BB537C">
        <w:rPr>
          <w:rFonts w:cstheme="majorHAnsi"/>
        </w:rPr>
        <w:t>Workplace Gender Equality Agency (WGEA)</w:t>
      </w:r>
      <w:r>
        <w:rPr>
          <w:rFonts w:cstheme="majorHAnsi"/>
        </w:rPr>
        <w:t xml:space="preserve">. According to the </w:t>
      </w:r>
      <w:r w:rsidRPr="00BB537C">
        <w:rPr>
          <w:rFonts w:cstheme="majorHAnsi"/>
        </w:rPr>
        <w:t>Workplace</w:t>
      </w:r>
      <w:r>
        <w:rPr>
          <w:rFonts w:cstheme="majorHAnsi"/>
        </w:rPr>
        <w:t xml:space="preserve"> </w:t>
      </w:r>
      <w:r w:rsidRPr="00BB537C">
        <w:rPr>
          <w:rFonts w:cstheme="majorHAnsi"/>
        </w:rPr>
        <w:t xml:space="preserve">Gender Equality Act 2012 (the Act) </w:t>
      </w:r>
      <w:r>
        <w:rPr>
          <w:rFonts w:cstheme="majorHAnsi"/>
        </w:rPr>
        <w:t>WGEA</w:t>
      </w:r>
      <w:r w:rsidRPr="00BB537C">
        <w:rPr>
          <w:rFonts w:cstheme="majorHAnsi"/>
        </w:rPr>
        <w:t xml:space="preserve"> is charged with promoting and improving</w:t>
      </w:r>
      <w:r>
        <w:rPr>
          <w:rFonts w:cstheme="majorHAnsi"/>
        </w:rPr>
        <w:t xml:space="preserve"> </w:t>
      </w:r>
      <w:r w:rsidRPr="00BB537C">
        <w:rPr>
          <w:rFonts w:cstheme="majorHAnsi"/>
        </w:rPr>
        <w:t>gender equality in Australian workplaces.</w:t>
      </w:r>
      <w:r w:rsidR="009B1FA8">
        <w:rPr>
          <w:rFonts w:cstheme="majorHAnsi"/>
        </w:rPr>
        <w:t xml:space="preserve"> </w:t>
      </w:r>
      <w:r>
        <w:rPr>
          <w:rFonts w:cstheme="majorHAnsi"/>
        </w:rPr>
        <w:t>W</w:t>
      </w:r>
      <w:r w:rsidRPr="00BB537C">
        <w:rPr>
          <w:rFonts w:cstheme="majorHAnsi"/>
        </w:rPr>
        <w:t>GEA annually</w:t>
      </w:r>
      <w:r>
        <w:rPr>
          <w:rFonts w:cstheme="majorHAnsi"/>
        </w:rPr>
        <w:t xml:space="preserve"> collects data</w:t>
      </w:r>
      <w:r w:rsidRPr="00BB537C">
        <w:rPr>
          <w:rFonts w:cstheme="majorHAnsi"/>
        </w:rPr>
        <w:t xml:space="preserve"> against standardised gender equality indications (GEIs):</w:t>
      </w:r>
    </w:p>
    <w:p w14:paraId="42D1737A" w14:textId="1CA3E961" w:rsidR="00BB537C" w:rsidRPr="009B1FA8" w:rsidRDefault="00BB537C" w:rsidP="009B1FA8">
      <w:pPr>
        <w:pStyle w:val="ListParagraph"/>
        <w:numPr>
          <w:ilvl w:val="0"/>
          <w:numId w:val="18"/>
        </w:numPr>
        <w:spacing w:before="120" w:after="120"/>
        <w:rPr>
          <w:rFonts w:cstheme="majorHAnsi"/>
        </w:rPr>
      </w:pPr>
      <w:r w:rsidRPr="009B1FA8">
        <w:rPr>
          <w:rFonts w:cstheme="majorHAnsi"/>
        </w:rPr>
        <w:t>GEI 1: gender composition of the workforce</w:t>
      </w:r>
    </w:p>
    <w:p w14:paraId="7847EDE0" w14:textId="167D332D" w:rsidR="00BB537C" w:rsidRPr="009B1FA8" w:rsidRDefault="00BB537C" w:rsidP="009B1FA8">
      <w:pPr>
        <w:pStyle w:val="ListParagraph"/>
        <w:numPr>
          <w:ilvl w:val="0"/>
          <w:numId w:val="18"/>
        </w:numPr>
        <w:spacing w:before="120" w:after="120"/>
        <w:rPr>
          <w:rFonts w:cstheme="majorHAnsi"/>
        </w:rPr>
      </w:pPr>
      <w:r w:rsidRPr="009B1FA8">
        <w:rPr>
          <w:rFonts w:cstheme="majorHAnsi"/>
        </w:rPr>
        <w:t>GEI 2: gender composition of governing bodies</w:t>
      </w:r>
    </w:p>
    <w:p w14:paraId="7A7DB36A" w14:textId="660DEAD9" w:rsidR="00BB537C" w:rsidRPr="009B1FA8" w:rsidRDefault="00BB537C" w:rsidP="009B1FA8">
      <w:pPr>
        <w:pStyle w:val="ListParagraph"/>
        <w:numPr>
          <w:ilvl w:val="0"/>
          <w:numId w:val="18"/>
        </w:numPr>
        <w:spacing w:before="120" w:after="120"/>
        <w:rPr>
          <w:rFonts w:cstheme="majorHAnsi"/>
        </w:rPr>
      </w:pPr>
      <w:r w:rsidRPr="009B1FA8">
        <w:rPr>
          <w:rFonts w:cstheme="majorHAnsi"/>
        </w:rPr>
        <w:t>GEI 3: equal remuneration between women and men</w:t>
      </w:r>
    </w:p>
    <w:p w14:paraId="6357722D" w14:textId="12D660CC" w:rsidR="00BB537C" w:rsidRPr="009B1FA8" w:rsidRDefault="00BB537C" w:rsidP="009B1FA8">
      <w:pPr>
        <w:pStyle w:val="ListParagraph"/>
        <w:numPr>
          <w:ilvl w:val="0"/>
          <w:numId w:val="18"/>
        </w:numPr>
        <w:spacing w:before="120" w:after="120"/>
        <w:rPr>
          <w:rFonts w:cstheme="majorHAnsi"/>
        </w:rPr>
      </w:pPr>
      <w:r w:rsidRPr="009B1FA8">
        <w:rPr>
          <w:rFonts w:cstheme="majorHAnsi"/>
        </w:rPr>
        <w:t>GEI 4: availability and utility of employment terms, conditions and practices relating to flexible working arrangements for employees and to working</w:t>
      </w:r>
      <w:r w:rsidR="009B1FA8" w:rsidRPr="009B1FA8">
        <w:rPr>
          <w:rFonts w:cstheme="majorHAnsi"/>
        </w:rPr>
        <w:t xml:space="preserve"> </w:t>
      </w:r>
      <w:r w:rsidRPr="009B1FA8">
        <w:rPr>
          <w:rFonts w:cstheme="majorHAnsi"/>
        </w:rPr>
        <w:t>arrangements supporting employees with family or caring responsibilities</w:t>
      </w:r>
    </w:p>
    <w:p w14:paraId="7A9F8E8C" w14:textId="2988A3D7" w:rsidR="00BB537C" w:rsidRPr="009B1FA8" w:rsidRDefault="00BB537C" w:rsidP="009B1FA8">
      <w:pPr>
        <w:pStyle w:val="ListParagraph"/>
        <w:numPr>
          <w:ilvl w:val="0"/>
          <w:numId w:val="18"/>
        </w:numPr>
        <w:spacing w:before="120" w:after="120"/>
        <w:rPr>
          <w:rFonts w:cstheme="majorHAnsi"/>
        </w:rPr>
      </w:pPr>
      <w:r w:rsidRPr="009B1FA8">
        <w:rPr>
          <w:rFonts w:cstheme="majorHAnsi"/>
        </w:rPr>
        <w:t>GEI 5: consultation with employees on issues concerning gender equality in</w:t>
      </w:r>
      <w:r w:rsidR="009B1FA8" w:rsidRPr="009B1FA8">
        <w:rPr>
          <w:rFonts w:cstheme="majorHAnsi"/>
        </w:rPr>
        <w:t xml:space="preserve"> </w:t>
      </w:r>
      <w:r w:rsidRPr="009B1FA8">
        <w:rPr>
          <w:rFonts w:cstheme="majorHAnsi"/>
        </w:rPr>
        <w:t>the workplace</w:t>
      </w:r>
    </w:p>
    <w:p w14:paraId="3E4EA34C" w14:textId="335D47BE" w:rsidR="00CC33B7" w:rsidRDefault="00BB537C" w:rsidP="009B1FA8">
      <w:pPr>
        <w:pStyle w:val="ListParagraph"/>
        <w:numPr>
          <w:ilvl w:val="0"/>
          <w:numId w:val="18"/>
        </w:numPr>
        <w:spacing w:before="120" w:after="120"/>
        <w:rPr>
          <w:rFonts w:cstheme="majorHAnsi"/>
        </w:rPr>
      </w:pPr>
      <w:r w:rsidRPr="009B1FA8">
        <w:rPr>
          <w:rFonts w:cstheme="majorHAnsi"/>
        </w:rPr>
        <w:t>GEI 6: sex-based harassment and discrimination.</w:t>
      </w:r>
    </w:p>
    <w:p w14:paraId="1C9603F1" w14:textId="6D66D730" w:rsidR="009B1FA8" w:rsidRPr="009B1FA8" w:rsidRDefault="009B1FA8" w:rsidP="009B1FA8">
      <w:pPr>
        <w:spacing w:before="120" w:after="120"/>
        <w:rPr>
          <w:rFonts w:cstheme="majorHAnsi"/>
        </w:rPr>
      </w:pPr>
      <w:r>
        <w:rPr>
          <w:rFonts w:cstheme="majorHAnsi"/>
        </w:rPr>
        <w:t xml:space="preserve">The allocated funding is as follows: </w:t>
      </w:r>
    </w:p>
    <w:tbl>
      <w:tblPr>
        <w:tblStyle w:val="PlainTable3"/>
        <w:tblW w:w="8939" w:type="dxa"/>
        <w:tblLook w:val="04A0" w:firstRow="1" w:lastRow="0" w:firstColumn="1" w:lastColumn="0" w:noHBand="0" w:noVBand="1"/>
      </w:tblPr>
      <w:tblGrid>
        <w:gridCol w:w="3119"/>
        <w:gridCol w:w="1252"/>
        <w:gridCol w:w="1142"/>
        <w:gridCol w:w="1142"/>
        <w:gridCol w:w="1142"/>
        <w:gridCol w:w="1142"/>
      </w:tblGrid>
      <w:tr w:rsidR="009B1FA8" w14:paraId="7A6C2F0B" w14:textId="77777777" w:rsidTr="009B1F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FFFFFF" w:themeColor="background1"/>
            </w:tcBorders>
          </w:tcPr>
          <w:p w14:paraId="63897598" w14:textId="77777777" w:rsidR="009B1FA8" w:rsidRDefault="009B1FA8" w:rsidP="00922A8C">
            <w:pPr>
              <w:pStyle w:val="ListParagraph"/>
              <w:spacing w:before="120" w:after="120"/>
              <w:ind w:left="0"/>
              <w:rPr>
                <w:rFonts w:cstheme="majorHAnsi"/>
                <w:b w:val="0"/>
                <w:lang w:val="en-AU"/>
              </w:rPr>
            </w:pPr>
          </w:p>
        </w:tc>
        <w:tc>
          <w:tcPr>
            <w:tcW w:w="1252" w:type="dxa"/>
          </w:tcPr>
          <w:p w14:paraId="2B712D26" w14:textId="77777777" w:rsidR="009B1FA8" w:rsidRDefault="009B1FA8" w:rsidP="00922A8C">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b w:val="0"/>
                <w:lang w:val="en-AU"/>
              </w:rPr>
              <w:t>Millions</w:t>
            </w:r>
          </w:p>
        </w:tc>
        <w:tc>
          <w:tcPr>
            <w:tcW w:w="1142" w:type="dxa"/>
          </w:tcPr>
          <w:p w14:paraId="2FDDD7FB" w14:textId="5C0AF92E" w:rsidR="009B1FA8" w:rsidRPr="009B1FA8" w:rsidRDefault="009B1FA8" w:rsidP="00922A8C">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2017-18</w:t>
            </w:r>
          </w:p>
        </w:tc>
        <w:tc>
          <w:tcPr>
            <w:tcW w:w="1142" w:type="dxa"/>
          </w:tcPr>
          <w:p w14:paraId="6CB39578" w14:textId="0468F38F" w:rsidR="009B1FA8" w:rsidRPr="009B1FA8" w:rsidRDefault="009B1FA8" w:rsidP="00922A8C">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2018-19</w:t>
            </w:r>
          </w:p>
        </w:tc>
        <w:tc>
          <w:tcPr>
            <w:tcW w:w="1142" w:type="dxa"/>
          </w:tcPr>
          <w:p w14:paraId="4079FBE7" w14:textId="788B8C8F" w:rsidR="009B1FA8" w:rsidRPr="009B1FA8" w:rsidRDefault="009B1FA8" w:rsidP="00922A8C">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2019-20</w:t>
            </w:r>
          </w:p>
        </w:tc>
        <w:tc>
          <w:tcPr>
            <w:tcW w:w="1142" w:type="dxa"/>
          </w:tcPr>
          <w:p w14:paraId="22C1A88F" w14:textId="3F5321EB" w:rsidR="009B1FA8" w:rsidRPr="009B1FA8" w:rsidRDefault="009B1FA8" w:rsidP="00922A8C">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2020-21</w:t>
            </w:r>
          </w:p>
        </w:tc>
      </w:tr>
      <w:tr w:rsidR="009B1FA8" w14:paraId="2DE4CC70" w14:textId="77777777" w:rsidTr="009B1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A822D3E" w14:textId="02071761" w:rsidR="009B1FA8" w:rsidRDefault="009B1FA8" w:rsidP="00922A8C">
            <w:pPr>
              <w:pStyle w:val="ListParagraph"/>
              <w:spacing w:before="120" w:after="120"/>
              <w:ind w:left="0"/>
              <w:jc w:val="left"/>
              <w:rPr>
                <w:rFonts w:cstheme="majorHAnsi"/>
                <w:b w:val="0"/>
                <w:lang w:val="en-AU"/>
              </w:rPr>
            </w:pPr>
            <w:r>
              <w:rPr>
                <w:rFonts w:cstheme="majorHAnsi"/>
                <w:lang w:val="en-AU"/>
              </w:rPr>
              <w:t>WGEA</w:t>
            </w:r>
          </w:p>
        </w:tc>
        <w:tc>
          <w:tcPr>
            <w:tcW w:w="1252" w:type="dxa"/>
            <w:tcBorders>
              <w:left w:val="single" w:sz="4" w:space="0" w:color="FFFFFF" w:themeColor="background1"/>
              <w:bottom w:val="single" w:sz="4" w:space="0" w:color="auto"/>
            </w:tcBorders>
            <w:shd w:val="clear" w:color="auto" w:fill="BDD6EE" w:themeFill="accent1" w:themeFillTint="66"/>
          </w:tcPr>
          <w:p w14:paraId="1F0E92B8" w14:textId="77777777" w:rsidR="009B1FA8" w:rsidRDefault="009B1FA8" w:rsidP="00922A8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2019-20</w:t>
            </w:r>
          </w:p>
        </w:tc>
        <w:tc>
          <w:tcPr>
            <w:tcW w:w="1142" w:type="dxa"/>
            <w:tcBorders>
              <w:bottom w:val="single" w:sz="4" w:space="0" w:color="auto"/>
            </w:tcBorders>
            <w:shd w:val="clear" w:color="auto" w:fill="BDD6EE" w:themeFill="accent1" w:themeFillTint="66"/>
          </w:tcPr>
          <w:p w14:paraId="0D1F659A" w14:textId="3E7A090B" w:rsidR="009B1FA8" w:rsidRPr="00E11326" w:rsidRDefault="009B1FA8" w:rsidP="00922A8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6.305</w:t>
            </w:r>
          </w:p>
        </w:tc>
        <w:tc>
          <w:tcPr>
            <w:tcW w:w="1142" w:type="dxa"/>
            <w:tcBorders>
              <w:bottom w:val="single" w:sz="4" w:space="0" w:color="auto"/>
            </w:tcBorders>
            <w:shd w:val="clear" w:color="auto" w:fill="BDD6EE" w:themeFill="accent1" w:themeFillTint="66"/>
          </w:tcPr>
          <w:p w14:paraId="088986BC" w14:textId="7EDC7DF4" w:rsidR="009B1FA8" w:rsidRPr="00E11326" w:rsidRDefault="009B1FA8" w:rsidP="00922A8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6.284</w:t>
            </w:r>
          </w:p>
        </w:tc>
        <w:tc>
          <w:tcPr>
            <w:tcW w:w="1142" w:type="dxa"/>
            <w:tcBorders>
              <w:bottom w:val="single" w:sz="4" w:space="0" w:color="auto"/>
            </w:tcBorders>
            <w:shd w:val="clear" w:color="auto" w:fill="BDD6EE" w:themeFill="accent1" w:themeFillTint="66"/>
          </w:tcPr>
          <w:p w14:paraId="1F02A035" w14:textId="7CA4FB41" w:rsidR="009B1FA8" w:rsidRPr="00E11326" w:rsidRDefault="009B1FA8" w:rsidP="00922A8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9.611</w:t>
            </w:r>
          </w:p>
        </w:tc>
        <w:tc>
          <w:tcPr>
            <w:tcW w:w="1142" w:type="dxa"/>
            <w:tcBorders>
              <w:bottom w:val="single" w:sz="4" w:space="0" w:color="auto"/>
            </w:tcBorders>
            <w:shd w:val="clear" w:color="auto" w:fill="BDD6EE" w:themeFill="accent1" w:themeFillTint="66"/>
          </w:tcPr>
          <w:p w14:paraId="42C8D6CA" w14:textId="4ADCC759" w:rsidR="009B1FA8" w:rsidRPr="00E11326" w:rsidRDefault="009B1FA8" w:rsidP="00922A8C">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p>
        </w:tc>
      </w:tr>
    </w:tbl>
    <w:p w14:paraId="119F4881" w14:textId="5A204244" w:rsidR="009B1FA8" w:rsidRPr="009B1FA8" w:rsidRDefault="009B1FA8" w:rsidP="009B1FA8">
      <w:pPr>
        <w:spacing w:before="120" w:after="120"/>
        <w:rPr>
          <w:rFonts w:cstheme="majorHAnsi"/>
          <w:i/>
        </w:rPr>
      </w:pPr>
      <w:r w:rsidRPr="009B1FA8">
        <w:rPr>
          <w:rFonts w:cstheme="majorHAnsi"/>
          <w:i/>
        </w:rPr>
        <w:t>The Prime Minister and Cabinet, p. 300</w:t>
      </w:r>
    </w:p>
    <w:p w14:paraId="229B00F3" w14:textId="4B59C86B" w:rsidR="009B1FA8" w:rsidRPr="009B1FA8" w:rsidRDefault="009B1FA8" w:rsidP="009B1FA8">
      <w:pPr>
        <w:spacing w:before="120" w:after="120"/>
        <w:rPr>
          <w:rFonts w:cstheme="majorHAnsi"/>
        </w:rPr>
      </w:pPr>
      <w:r>
        <w:rPr>
          <w:rFonts w:cstheme="majorHAnsi"/>
        </w:rPr>
        <w:t xml:space="preserve">There </w:t>
      </w:r>
      <w:r w:rsidR="00F40EF2">
        <w:rPr>
          <w:rFonts w:cstheme="majorHAnsi"/>
        </w:rPr>
        <w:t>are</w:t>
      </w:r>
      <w:r>
        <w:rPr>
          <w:rFonts w:cstheme="majorHAnsi"/>
        </w:rPr>
        <w:t xml:space="preserve"> no forward estimates for this measure. </w:t>
      </w:r>
    </w:p>
    <w:p w14:paraId="5E724387" w14:textId="74143847" w:rsidR="00A85A3F" w:rsidRDefault="00740A7A" w:rsidP="00740A7A">
      <w:pPr>
        <w:pStyle w:val="Heading1"/>
        <w:rPr>
          <w:rFonts w:eastAsia="Times New Roman"/>
          <w:lang w:val="en-AU" w:eastAsia="en-AU"/>
        </w:rPr>
      </w:pPr>
      <w:bookmarkStart w:id="19" w:name="_Toc6218519"/>
      <w:r>
        <w:rPr>
          <w:rFonts w:eastAsia="Times New Roman"/>
          <w:lang w:val="en-AU" w:eastAsia="en-AU"/>
        </w:rPr>
        <w:t>Department of Communications a</w:t>
      </w:r>
      <w:r w:rsidRPr="00740A7A">
        <w:rPr>
          <w:rFonts w:eastAsia="Times New Roman"/>
          <w:lang w:val="en-AU" w:eastAsia="en-AU"/>
        </w:rPr>
        <w:t>nd Arts Portfolio</w:t>
      </w:r>
      <w:bookmarkEnd w:id="19"/>
    </w:p>
    <w:p w14:paraId="5E5274D9" w14:textId="77777777" w:rsidR="00740A7A" w:rsidRDefault="00740A7A" w:rsidP="00740A7A">
      <w:pPr>
        <w:pStyle w:val="Heading2"/>
        <w:rPr>
          <w:rFonts w:eastAsia="Times New Roman"/>
          <w:lang w:eastAsia="en-AU"/>
        </w:rPr>
      </w:pPr>
      <w:bookmarkStart w:id="20" w:name="_Toc6218520"/>
      <w:r>
        <w:rPr>
          <w:rFonts w:eastAsia="Times New Roman"/>
          <w:lang w:eastAsia="en-AU"/>
        </w:rPr>
        <w:t>Measures directly related to addressing violence against women and their children</w:t>
      </w:r>
      <w:bookmarkEnd w:id="20"/>
      <w:r>
        <w:rPr>
          <w:rFonts w:eastAsia="Times New Roman"/>
          <w:lang w:eastAsia="en-AU"/>
        </w:rPr>
        <w:t xml:space="preserve"> </w:t>
      </w:r>
    </w:p>
    <w:p w14:paraId="78C82CF8" w14:textId="42A3D24A" w:rsidR="001A3D00" w:rsidRPr="009D4A0B" w:rsidRDefault="001A3D00" w:rsidP="001A3D00">
      <w:pPr>
        <w:pStyle w:val="Heading3"/>
        <w:spacing w:before="40" w:after="0" w:line="259" w:lineRule="auto"/>
      </w:pPr>
      <w:r w:rsidRPr="009D4A0B">
        <w:t xml:space="preserve">Addressing technology-facilitated violence – Additional funding to the eSafety Commissioner </w:t>
      </w:r>
    </w:p>
    <w:p w14:paraId="327220E7" w14:textId="0212AF94" w:rsidR="001A3D00" w:rsidRDefault="00DC7175" w:rsidP="001A3D00">
      <w:pPr>
        <w:spacing w:before="120" w:after="120"/>
        <w:rPr>
          <w:rFonts w:cstheme="majorHAnsi"/>
          <w:lang w:val="en-AU"/>
        </w:rPr>
      </w:pPr>
      <w:r>
        <w:rPr>
          <w:rFonts w:cstheme="majorHAnsi"/>
          <w:lang w:val="en-AU"/>
        </w:rPr>
        <w:t xml:space="preserve">In the 2018-2019 Budget </w:t>
      </w:r>
      <w:r w:rsidR="001A3D00">
        <w:rPr>
          <w:rFonts w:cstheme="majorHAnsi"/>
          <w:lang w:val="en-AU"/>
        </w:rPr>
        <w:t xml:space="preserve">the Office of the eSafety Commissioner </w:t>
      </w:r>
      <w:r w:rsidR="001A3D00" w:rsidRPr="001A3D00">
        <w:rPr>
          <w:rFonts w:cstheme="majorHAnsi"/>
          <w:lang w:val="en-AU"/>
        </w:rPr>
        <w:t>has been allocated $14.2 mil</w:t>
      </w:r>
      <w:r>
        <w:rPr>
          <w:rFonts w:cstheme="majorHAnsi"/>
          <w:lang w:val="en-AU"/>
        </w:rPr>
        <w:t>lion over 4 years. This included</w:t>
      </w:r>
      <w:r w:rsidR="001A3D00" w:rsidRPr="001A3D00">
        <w:rPr>
          <w:rFonts w:cstheme="majorHAnsi"/>
          <w:lang w:val="en-AU"/>
        </w:rPr>
        <w:t xml:space="preserve"> administering a new civil penalties regime to respond to the non-consensual sharing of intimate images and provide guidance and support to all people of all ages in Australia who experience online abuse. </w:t>
      </w:r>
    </w:p>
    <w:p w14:paraId="1F949AF6" w14:textId="758C3712" w:rsidR="00740A7A" w:rsidRPr="001A3D00" w:rsidRDefault="00DC7175" w:rsidP="001A3D00">
      <w:pPr>
        <w:spacing w:before="120" w:after="120"/>
        <w:rPr>
          <w:rFonts w:cstheme="majorHAnsi"/>
          <w:lang w:val="en-AU"/>
        </w:rPr>
      </w:pPr>
      <w:r>
        <w:rPr>
          <w:rFonts w:cstheme="majorHAnsi"/>
          <w:lang w:val="en-AU"/>
        </w:rPr>
        <w:t xml:space="preserve">The 2019-2020 Budget provides further </w:t>
      </w:r>
      <w:r w:rsidR="001A3D00" w:rsidRPr="001A3D00">
        <w:rPr>
          <w:rFonts w:cstheme="majorHAnsi"/>
          <w:lang w:val="en-AU"/>
        </w:rPr>
        <w:t>$4.0 million for the Australian Communications Media Authority to identify, report and support victims of technology facilitated abuse in high-risk Aboriginal and Torres Strait Islander communities</w:t>
      </w:r>
      <w:r w:rsidR="004A4936">
        <w:rPr>
          <w:rFonts w:cstheme="majorHAnsi"/>
          <w:lang w:val="en-AU"/>
        </w:rPr>
        <w:t xml:space="preserve"> ($2.5 million)</w:t>
      </w:r>
      <w:r w:rsidR="001A3D00" w:rsidRPr="001A3D00">
        <w:rPr>
          <w:rFonts w:cstheme="majorHAnsi"/>
          <w:lang w:val="en-AU"/>
        </w:rPr>
        <w:t xml:space="preserve"> and women who have intellectual disabilities </w:t>
      </w:r>
      <w:r w:rsidR="004A4936">
        <w:rPr>
          <w:rFonts w:cstheme="majorHAnsi"/>
          <w:lang w:val="en-AU"/>
        </w:rPr>
        <w:t>($1.5 million)</w:t>
      </w:r>
      <w:r w:rsidR="001A3D00" w:rsidRPr="001A3D00">
        <w:rPr>
          <w:rFonts w:cstheme="majorHAnsi"/>
          <w:lang w:val="en-AU"/>
        </w:rPr>
        <w:t xml:space="preserve">. </w:t>
      </w:r>
      <w:r>
        <w:rPr>
          <w:rFonts w:cstheme="majorHAnsi"/>
          <w:lang w:val="en-AU"/>
        </w:rPr>
        <w:t xml:space="preserve">This is a part of the $328 million package. </w:t>
      </w:r>
    </w:p>
    <w:p w14:paraId="034859F9" w14:textId="77777777" w:rsidR="00740A7A" w:rsidRDefault="00740A7A" w:rsidP="00740A7A">
      <w:pPr>
        <w:pStyle w:val="Heading2"/>
        <w:rPr>
          <w:rFonts w:eastAsia="Times New Roman"/>
          <w:lang w:eastAsia="en-AU"/>
        </w:rPr>
      </w:pPr>
      <w:bookmarkStart w:id="21" w:name="_Toc6218521"/>
      <w:r>
        <w:rPr>
          <w:rFonts w:eastAsia="Times New Roman"/>
          <w:lang w:eastAsia="en-AU"/>
        </w:rPr>
        <w:t>Measures indirectly related to addressing violence against women and their children</w:t>
      </w:r>
      <w:bookmarkEnd w:id="21"/>
      <w:r>
        <w:rPr>
          <w:rFonts w:eastAsia="Times New Roman"/>
          <w:lang w:eastAsia="en-AU"/>
        </w:rPr>
        <w:t xml:space="preserve"> </w:t>
      </w:r>
    </w:p>
    <w:p w14:paraId="46BFF4A7" w14:textId="774C0833" w:rsidR="00740A7A" w:rsidRDefault="00740A7A" w:rsidP="00740A7A">
      <w:pPr>
        <w:pStyle w:val="Heading3"/>
      </w:pPr>
      <w:r>
        <w:t xml:space="preserve">Online Safety Grants Program </w:t>
      </w:r>
    </w:p>
    <w:tbl>
      <w:tblPr>
        <w:tblStyle w:val="PlainTable3"/>
        <w:tblW w:w="8939" w:type="dxa"/>
        <w:tblLook w:val="04A0" w:firstRow="1" w:lastRow="0" w:firstColumn="1" w:lastColumn="0" w:noHBand="0" w:noVBand="1"/>
      </w:tblPr>
      <w:tblGrid>
        <w:gridCol w:w="3119"/>
        <w:gridCol w:w="1252"/>
        <w:gridCol w:w="1142"/>
        <w:gridCol w:w="1142"/>
        <w:gridCol w:w="1142"/>
        <w:gridCol w:w="1142"/>
      </w:tblGrid>
      <w:tr w:rsidR="00D7441A" w14:paraId="36108277" w14:textId="77777777" w:rsidTr="00922A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Borders>
              <w:bottom w:val="single" w:sz="4" w:space="0" w:color="FFFFFF" w:themeColor="background1"/>
            </w:tcBorders>
          </w:tcPr>
          <w:p w14:paraId="47CE0713" w14:textId="77777777" w:rsidR="00D7441A" w:rsidRDefault="00D7441A" w:rsidP="00D7441A">
            <w:pPr>
              <w:pStyle w:val="ListParagraph"/>
              <w:spacing w:before="120" w:after="120"/>
              <w:ind w:left="0"/>
              <w:rPr>
                <w:rFonts w:cstheme="majorHAnsi"/>
                <w:b w:val="0"/>
                <w:lang w:val="en-AU"/>
              </w:rPr>
            </w:pPr>
          </w:p>
        </w:tc>
        <w:tc>
          <w:tcPr>
            <w:tcW w:w="1252" w:type="dxa"/>
          </w:tcPr>
          <w:p w14:paraId="45F23C51" w14:textId="77777777" w:rsidR="00D7441A" w:rsidRDefault="00D7441A" w:rsidP="00D7441A">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b w:val="0"/>
                <w:lang w:val="en-AU"/>
              </w:rPr>
            </w:pPr>
            <w:r>
              <w:rPr>
                <w:rFonts w:cstheme="majorHAnsi"/>
                <w:b w:val="0"/>
                <w:lang w:val="en-AU"/>
              </w:rPr>
              <w:t>Millions</w:t>
            </w:r>
          </w:p>
        </w:tc>
        <w:tc>
          <w:tcPr>
            <w:tcW w:w="1142" w:type="dxa"/>
          </w:tcPr>
          <w:p w14:paraId="7900D626" w14:textId="32212FE2" w:rsidR="00D7441A" w:rsidRPr="009B1FA8" w:rsidRDefault="00D7441A" w:rsidP="00D7441A">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2018-19</w:t>
            </w:r>
          </w:p>
        </w:tc>
        <w:tc>
          <w:tcPr>
            <w:tcW w:w="1142" w:type="dxa"/>
          </w:tcPr>
          <w:p w14:paraId="30247122" w14:textId="3E36C7B8" w:rsidR="00D7441A" w:rsidRPr="009B1FA8" w:rsidRDefault="00D7441A" w:rsidP="00D7441A">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2019-20</w:t>
            </w:r>
          </w:p>
        </w:tc>
        <w:tc>
          <w:tcPr>
            <w:tcW w:w="1142" w:type="dxa"/>
          </w:tcPr>
          <w:p w14:paraId="0114EC9D" w14:textId="5698B6C8" w:rsidR="00D7441A" w:rsidRPr="009B1FA8" w:rsidRDefault="00D7441A" w:rsidP="00D7441A">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sidRPr="009B1FA8">
              <w:rPr>
                <w:rFonts w:cstheme="majorHAnsi"/>
                <w:lang w:val="en-AU"/>
              </w:rPr>
              <w:t>2020-21</w:t>
            </w:r>
          </w:p>
        </w:tc>
        <w:tc>
          <w:tcPr>
            <w:tcW w:w="1142" w:type="dxa"/>
          </w:tcPr>
          <w:p w14:paraId="1AC5EC8C" w14:textId="2BDDFD71" w:rsidR="00D7441A" w:rsidRPr="009B1FA8" w:rsidRDefault="00D7441A" w:rsidP="00D7441A">
            <w:pPr>
              <w:pStyle w:val="ListParagraph"/>
              <w:spacing w:before="120" w:after="120"/>
              <w:ind w:left="0"/>
              <w:cnfStyle w:val="100000000000" w:firstRow="1" w:lastRow="0" w:firstColumn="0" w:lastColumn="0" w:oddVBand="0" w:evenVBand="0" w:oddHBand="0" w:evenHBand="0" w:firstRowFirstColumn="0" w:firstRowLastColumn="0" w:lastRowFirstColumn="0" w:lastRowLastColumn="0"/>
              <w:rPr>
                <w:rFonts w:cstheme="majorHAnsi"/>
                <w:lang w:val="en-AU"/>
              </w:rPr>
            </w:pPr>
            <w:r>
              <w:rPr>
                <w:rFonts w:cstheme="majorHAnsi"/>
                <w:lang w:val="en-AU"/>
              </w:rPr>
              <w:t>2022-23</w:t>
            </w:r>
          </w:p>
        </w:tc>
      </w:tr>
      <w:tr w:rsidR="00D7441A" w14:paraId="5D8F07F4" w14:textId="77777777" w:rsidTr="00922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269D8C6" w14:textId="09FCFE7B" w:rsidR="00D7441A" w:rsidRDefault="00D7441A" w:rsidP="00D7441A">
            <w:pPr>
              <w:pStyle w:val="ListParagraph"/>
              <w:spacing w:before="120" w:after="120"/>
              <w:ind w:left="0"/>
              <w:jc w:val="left"/>
              <w:rPr>
                <w:rFonts w:cstheme="majorHAnsi"/>
                <w:b w:val="0"/>
                <w:lang w:val="en-AU"/>
              </w:rPr>
            </w:pPr>
            <w:r>
              <w:rPr>
                <w:rFonts w:cstheme="majorHAnsi"/>
                <w:lang w:val="en-AU"/>
              </w:rPr>
              <w:t>Australian Communications and Media Authority</w:t>
            </w:r>
          </w:p>
        </w:tc>
        <w:tc>
          <w:tcPr>
            <w:tcW w:w="1252" w:type="dxa"/>
            <w:tcBorders>
              <w:left w:val="single" w:sz="4" w:space="0" w:color="FFFFFF" w:themeColor="background1"/>
              <w:bottom w:val="single" w:sz="4" w:space="0" w:color="auto"/>
            </w:tcBorders>
            <w:shd w:val="clear" w:color="auto" w:fill="BDD6EE" w:themeFill="accent1" w:themeFillTint="66"/>
          </w:tcPr>
          <w:p w14:paraId="21ADF54E" w14:textId="77777777" w:rsidR="00D7441A" w:rsidRDefault="00D7441A" w:rsidP="00D7441A">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b/>
                <w:lang w:val="en-AU"/>
              </w:rPr>
            </w:pPr>
            <w:r>
              <w:rPr>
                <w:rFonts w:cstheme="majorHAnsi"/>
                <w:b/>
                <w:lang w:val="en-AU"/>
              </w:rPr>
              <w:t>B. 2019-20</w:t>
            </w:r>
          </w:p>
        </w:tc>
        <w:tc>
          <w:tcPr>
            <w:tcW w:w="1142" w:type="dxa"/>
            <w:tcBorders>
              <w:bottom w:val="single" w:sz="4" w:space="0" w:color="auto"/>
            </w:tcBorders>
            <w:shd w:val="clear" w:color="auto" w:fill="BDD6EE" w:themeFill="accent1" w:themeFillTint="66"/>
          </w:tcPr>
          <w:p w14:paraId="29A86EDB" w14:textId="546BAD35" w:rsidR="00D7441A" w:rsidRPr="00E11326" w:rsidRDefault="00D7441A" w:rsidP="00D7441A">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w:t>
            </w:r>
          </w:p>
        </w:tc>
        <w:tc>
          <w:tcPr>
            <w:tcW w:w="1142" w:type="dxa"/>
            <w:tcBorders>
              <w:bottom w:val="single" w:sz="4" w:space="0" w:color="auto"/>
            </w:tcBorders>
            <w:shd w:val="clear" w:color="auto" w:fill="BDD6EE" w:themeFill="accent1" w:themeFillTint="66"/>
          </w:tcPr>
          <w:p w14:paraId="3DB17FE8" w14:textId="5E0A8E3D" w:rsidR="00D7441A" w:rsidRPr="00E11326" w:rsidRDefault="00D7441A" w:rsidP="00D7441A">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2.5</w:t>
            </w:r>
          </w:p>
        </w:tc>
        <w:tc>
          <w:tcPr>
            <w:tcW w:w="1142" w:type="dxa"/>
            <w:tcBorders>
              <w:bottom w:val="single" w:sz="4" w:space="0" w:color="auto"/>
            </w:tcBorders>
            <w:shd w:val="clear" w:color="auto" w:fill="BDD6EE" w:themeFill="accent1" w:themeFillTint="66"/>
          </w:tcPr>
          <w:p w14:paraId="5D84B189" w14:textId="52CD27D5" w:rsidR="00D7441A" w:rsidRPr="00E11326" w:rsidRDefault="00D7441A" w:rsidP="00D7441A">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2.5</w:t>
            </w:r>
          </w:p>
        </w:tc>
        <w:tc>
          <w:tcPr>
            <w:tcW w:w="1142" w:type="dxa"/>
            <w:tcBorders>
              <w:bottom w:val="single" w:sz="4" w:space="0" w:color="auto"/>
            </w:tcBorders>
            <w:shd w:val="clear" w:color="auto" w:fill="BDD6EE" w:themeFill="accent1" w:themeFillTint="66"/>
          </w:tcPr>
          <w:p w14:paraId="469BAED5" w14:textId="797F6778" w:rsidR="00D7441A" w:rsidRPr="00E11326" w:rsidRDefault="00D7441A" w:rsidP="00D7441A">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cstheme="majorHAnsi"/>
                <w:lang w:val="en-AU"/>
              </w:rPr>
            </w:pPr>
            <w:r>
              <w:rPr>
                <w:rFonts w:cstheme="majorHAnsi"/>
                <w:lang w:val="en-AU"/>
              </w:rPr>
              <w:t>2.5</w:t>
            </w:r>
          </w:p>
        </w:tc>
      </w:tr>
    </w:tbl>
    <w:p w14:paraId="146D6680" w14:textId="1C6B6A3D" w:rsidR="00740A7A" w:rsidRPr="00740A7A" w:rsidRDefault="00740A7A" w:rsidP="00740A7A">
      <w:pPr>
        <w:spacing w:before="120" w:after="120"/>
        <w:rPr>
          <w:rFonts w:cstheme="majorHAnsi"/>
          <w:lang w:val="en-AU"/>
        </w:rPr>
      </w:pPr>
      <w:r w:rsidRPr="00740A7A">
        <w:rPr>
          <w:rFonts w:cstheme="majorHAnsi"/>
          <w:lang w:val="en-AU"/>
        </w:rPr>
        <w:t xml:space="preserve">Additional funding </w:t>
      </w:r>
      <w:r w:rsidRPr="00740A7A">
        <w:rPr>
          <w:rFonts w:cstheme="majorHAnsi"/>
          <w:b/>
          <w:lang w:val="en-AU"/>
        </w:rPr>
        <w:t>($10 million</w:t>
      </w:r>
      <w:r w:rsidRPr="00740A7A">
        <w:rPr>
          <w:rFonts w:cstheme="majorHAnsi"/>
          <w:lang w:val="en-AU"/>
        </w:rPr>
        <w:t xml:space="preserve">) to the Office of the eSafety Commissioner to establish a new Online Safety Grants program to support the delivery of online safety education and training projects for children. We welcome this measure and call for the Office to ensure that gender analysis is embedded within the grants guidelines. Online abuse has a strong gendered aspect to it regardless of the age. </w:t>
      </w:r>
      <w:r w:rsidR="003A06A5">
        <w:rPr>
          <w:rFonts w:cstheme="majorHAnsi"/>
          <w:lang w:val="en-AU"/>
        </w:rPr>
        <w:t xml:space="preserve">Development of this grants program </w:t>
      </w:r>
      <w:r w:rsidRPr="00740A7A">
        <w:rPr>
          <w:rFonts w:cstheme="majorHAnsi"/>
          <w:lang w:val="en-AU"/>
        </w:rPr>
        <w:t xml:space="preserve">should factor </w:t>
      </w:r>
      <w:r w:rsidR="003A06A5">
        <w:rPr>
          <w:rFonts w:cstheme="majorHAnsi"/>
          <w:lang w:val="en-AU"/>
        </w:rPr>
        <w:t xml:space="preserve">gender analysis </w:t>
      </w:r>
      <w:r w:rsidRPr="00740A7A">
        <w:rPr>
          <w:rFonts w:cstheme="majorHAnsi"/>
          <w:lang w:val="en-AU"/>
        </w:rPr>
        <w:t xml:space="preserve">in from early on. </w:t>
      </w:r>
    </w:p>
    <w:p w14:paraId="148844FB" w14:textId="57FEE005" w:rsidR="00C71AA6" w:rsidRPr="00A85A3F" w:rsidRDefault="00740A7A" w:rsidP="00437D46">
      <w:pPr>
        <w:spacing w:before="120" w:after="120"/>
        <w:rPr>
          <w:rFonts w:cstheme="majorHAnsi"/>
        </w:rPr>
      </w:pPr>
      <w:r>
        <w:rPr>
          <w:rFonts w:cstheme="majorHAnsi"/>
        </w:rPr>
        <w:t>This measure was announced in February 2019.</w:t>
      </w:r>
      <w:r>
        <w:rPr>
          <w:rStyle w:val="FootnoteReference"/>
          <w:rFonts w:cstheme="majorHAnsi"/>
        </w:rPr>
        <w:footnoteReference w:id="27"/>
      </w:r>
      <w:r>
        <w:rPr>
          <w:rFonts w:cstheme="majorHAnsi"/>
        </w:rPr>
        <w:t xml:space="preserve"> </w:t>
      </w:r>
    </w:p>
    <w:p w14:paraId="057B9DCE" w14:textId="77777777" w:rsidR="00865357" w:rsidRPr="00865357" w:rsidRDefault="00865357" w:rsidP="00865357">
      <w:pPr>
        <w:rPr>
          <w:lang w:val="en-AU" w:eastAsia="en-AU"/>
        </w:rPr>
      </w:pPr>
    </w:p>
    <w:sectPr w:rsidR="00865357" w:rsidRPr="0086535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F505" w14:textId="77777777" w:rsidR="00B73093" w:rsidRDefault="00B73093" w:rsidP="00154E0E">
      <w:r>
        <w:separator/>
      </w:r>
    </w:p>
  </w:endnote>
  <w:endnote w:type="continuationSeparator" w:id="0">
    <w:p w14:paraId="28DF82CF" w14:textId="77777777" w:rsidR="00B73093" w:rsidRDefault="00B73093" w:rsidP="001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50640"/>
      <w:docPartObj>
        <w:docPartGallery w:val="Page Numbers (Bottom of Page)"/>
        <w:docPartUnique/>
      </w:docPartObj>
    </w:sdtPr>
    <w:sdtEndPr/>
    <w:sdtContent>
      <w:sdt>
        <w:sdtPr>
          <w:id w:val="-1769616900"/>
          <w:docPartObj>
            <w:docPartGallery w:val="Page Numbers (Top of Page)"/>
            <w:docPartUnique/>
          </w:docPartObj>
        </w:sdtPr>
        <w:sdtEndPr/>
        <w:sdtContent>
          <w:p w14:paraId="6B31CE60" w14:textId="4F5E3521" w:rsidR="006E0342" w:rsidRDefault="006E03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65DC86A0" w14:textId="77777777" w:rsidR="006E0342" w:rsidRDefault="006E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8018E" w14:textId="77777777" w:rsidR="00B73093" w:rsidRDefault="00B73093" w:rsidP="00154E0E">
      <w:r>
        <w:separator/>
      </w:r>
    </w:p>
  </w:footnote>
  <w:footnote w:type="continuationSeparator" w:id="0">
    <w:p w14:paraId="0D93847F" w14:textId="77777777" w:rsidR="00B73093" w:rsidRDefault="00B73093" w:rsidP="00154E0E">
      <w:r>
        <w:continuationSeparator/>
      </w:r>
    </w:p>
  </w:footnote>
  <w:footnote w:id="1">
    <w:p w14:paraId="4B8B705B" w14:textId="0A655696"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 xml:space="preserve">AWAVA (2018) Position paper on the development of the Fourth Action Plan of the National Plan to Reduce Violence Against Women and their Children </w:t>
      </w:r>
      <w:hyperlink r:id="rId1" w:history="1">
        <w:r w:rsidRPr="00662B89">
          <w:rPr>
            <w:rStyle w:val="Hyperlink"/>
            <w:sz w:val="18"/>
            <w:szCs w:val="18"/>
            <w:lang w:val="en-US"/>
          </w:rPr>
          <w:t>https://awava.org.au/2018/10/08/uncategorized/position-paper-fourth-action-plan?doing_wp_cron=1554265010.0306921005249023437500</w:t>
        </w:r>
      </w:hyperlink>
      <w:r w:rsidRPr="00662B89">
        <w:rPr>
          <w:sz w:val="18"/>
          <w:szCs w:val="18"/>
          <w:lang w:val="en-US"/>
        </w:rPr>
        <w:t xml:space="preserve"> </w:t>
      </w:r>
    </w:p>
  </w:footnote>
  <w:footnote w:id="2">
    <w:p w14:paraId="26EA1B3D" w14:textId="38BB0FAD"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ABS, 2016</w:t>
      </w:r>
    </w:p>
  </w:footnote>
  <w:footnote w:id="3">
    <w:p w14:paraId="7E23F67B" w14:textId="4E6A91AE" w:rsidR="006E0342" w:rsidRPr="00B55BAE" w:rsidRDefault="006E0342" w:rsidP="00F40EF2">
      <w:pPr>
        <w:jc w:val="left"/>
        <w:rPr>
          <w:lang w:val="en-AU"/>
        </w:rPr>
      </w:pPr>
      <w:r>
        <w:rPr>
          <w:rStyle w:val="FootnoteReference"/>
        </w:rPr>
        <w:footnoteRef/>
      </w:r>
      <w:r>
        <w:t xml:space="preserve"> </w:t>
      </w:r>
      <w:hyperlink r:id="rId2" w:history="1">
        <w:r w:rsidRPr="00B55BAE">
          <w:rPr>
            <w:rStyle w:val="Hyperlink"/>
            <w:sz w:val="18"/>
            <w:szCs w:val="18"/>
            <w:lang w:val="en-US"/>
          </w:rPr>
          <w:t>https://www.ourwatch.org.au/What-We-Do/Counting-on-change-A-guide-to-prevention-monitorin</w:t>
        </w:r>
      </w:hyperlink>
    </w:p>
  </w:footnote>
  <w:footnote w:id="4">
    <w:p w14:paraId="631403FE" w14:textId="77777777" w:rsidR="000C6218" w:rsidRDefault="000C6218" w:rsidP="000C6218">
      <w:pPr>
        <w:jc w:val="left"/>
        <w:rPr>
          <w:rFonts w:ascii="Times New Roman" w:hAnsi="Times New Roman"/>
          <w:color w:val="auto"/>
          <w:lang w:val="en-AU" w:eastAsia="en-US"/>
        </w:rPr>
      </w:pPr>
      <w:r>
        <w:rPr>
          <w:rStyle w:val="FootnoteReference"/>
        </w:rPr>
        <w:footnoteRef/>
      </w:r>
      <w:r>
        <w:t xml:space="preserve"> </w:t>
      </w:r>
      <w:r>
        <w:rPr>
          <w:lang w:val="en-AU"/>
        </w:rPr>
        <w:t xml:space="preserve">National Advocacy Group on Women on Temporary Visas Experiencing Violence (2018), ‘Path to Nowhere’ report </w:t>
      </w:r>
      <w:hyperlink r:id="rId3" w:history="1">
        <w:r>
          <w:rPr>
            <w:rStyle w:val="Hyperlink"/>
          </w:rPr>
          <w:t>https://awava.org.au/2018/12/11/research-and-reports/path-to-nowhere-report-women-on-temporary-visas-experiencing-violence-and-their-children?doing_wp_cron=1555039382.2883679866790771484375</w:t>
        </w:r>
      </w:hyperlink>
    </w:p>
    <w:p w14:paraId="5636B69C" w14:textId="4EDF37F9" w:rsidR="000C6218" w:rsidRPr="00F40EF2" w:rsidRDefault="000C6218">
      <w:pPr>
        <w:pStyle w:val="FootnoteText"/>
        <w:rPr>
          <w:lang w:val="en-AU"/>
        </w:rPr>
      </w:pPr>
    </w:p>
  </w:footnote>
  <w:footnote w:id="5">
    <w:p w14:paraId="7B725F29" w14:textId="2B9CE118"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Family Violence Prevention Legal Services, Media Release 2 April 2019 </w:t>
      </w:r>
      <w:hyperlink r:id="rId4" w:history="1">
        <w:r w:rsidRPr="00662B89">
          <w:rPr>
            <w:rStyle w:val="Hyperlink"/>
            <w:sz w:val="18"/>
            <w:szCs w:val="18"/>
          </w:rPr>
          <w:t>http://www.nationalfvpls.org/images/files/20190402_National_FVPLS_Federal_Budget_2019-20_MR.pdf</w:t>
        </w:r>
      </w:hyperlink>
    </w:p>
  </w:footnote>
  <w:footnote w:id="6">
    <w:p w14:paraId="3B3B3BB8" w14:textId="708909A7"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Commonwealth of Australia 2018 Women’s Economic Security Statement 2018 </w:t>
      </w:r>
      <w:hyperlink r:id="rId5" w:history="1">
        <w:r w:rsidRPr="00662B89">
          <w:rPr>
            <w:rStyle w:val="Hyperlink"/>
            <w:sz w:val="18"/>
            <w:szCs w:val="18"/>
          </w:rPr>
          <w:t>https://www.pmc.gov.au/sites/default/files/publications/womens-economic-security-statement-2018.pdf</w:t>
        </w:r>
      </w:hyperlink>
    </w:p>
  </w:footnote>
  <w:footnote w:id="7">
    <w:p w14:paraId="727DB129" w14:textId="7C1121D6"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 xml:space="preserve">For AWAVA’s position in relation to an early release of superannuation benefits in situations of family violence, see our submission at </w:t>
      </w:r>
      <w:hyperlink r:id="rId6" w:history="1">
        <w:r w:rsidRPr="00662B89">
          <w:rPr>
            <w:rStyle w:val="Hyperlink"/>
            <w:sz w:val="18"/>
            <w:szCs w:val="18"/>
          </w:rPr>
          <w:t>https://awava.org.au/2019/02/15/submissions/submission-in-response-to-the-public-consultation-on-the-review-of-early-release-of-superannuation-benefits?doing_wp_cron=1554854017.4550290107727050781250</w:t>
        </w:r>
      </w:hyperlink>
    </w:p>
  </w:footnote>
  <w:footnote w:id="8">
    <w:p w14:paraId="1ED97C6B" w14:textId="0F052C6F" w:rsidR="006E0342" w:rsidRPr="00B55BAE" w:rsidRDefault="006E0342">
      <w:pPr>
        <w:pStyle w:val="FootnoteText"/>
        <w:rPr>
          <w:lang w:val="en-US"/>
        </w:rPr>
      </w:pPr>
      <w:r>
        <w:rPr>
          <w:rStyle w:val="FootnoteReference"/>
        </w:rPr>
        <w:footnoteRef/>
      </w:r>
      <w:r>
        <w:t xml:space="preserve"> </w:t>
      </w:r>
      <w:r>
        <w:rPr>
          <w:lang w:val="en-US"/>
        </w:rPr>
        <w:t>Budget paper 2, page 173</w:t>
      </w:r>
    </w:p>
  </w:footnote>
  <w:footnote w:id="9">
    <w:p w14:paraId="7EAE5624" w14:textId="7E78F7F5" w:rsidR="006E0342" w:rsidRPr="00B55BAE" w:rsidRDefault="006E0342">
      <w:pPr>
        <w:pStyle w:val="FootnoteText"/>
        <w:rPr>
          <w:lang w:val="en-US"/>
        </w:rPr>
      </w:pPr>
      <w:r>
        <w:rPr>
          <w:rStyle w:val="FootnoteReference"/>
        </w:rPr>
        <w:footnoteRef/>
      </w:r>
      <w:r>
        <w:t xml:space="preserve"> </w:t>
      </w:r>
      <w:r>
        <w:rPr>
          <w:lang w:val="en-US"/>
        </w:rPr>
        <w:t>Budget paper 2, p.103</w:t>
      </w:r>
    </w:p>
  </w:footnote>
  <w:footnote w:id="10">
    <w:p w14:paraId="77D7CB16" w14:textId="57038705" w:rsidR="006E0342" w:rsidRPr="00662B89" w:rsidRDefault="006E0342" w:rsidP="00662B89">
      <w:pPr>
        <w:pStyle w:val="FootnoteText"/>
        <w:jc w:val="left"/>
        <w:rPr>
          <w:color w:val="auto"/>
          <w:sz w:val="18"/>
          <w:szCs w:val="18"/>
          <w:lang w:val="en-US"/>
        </w:rPr>
      </w:pPr>
      <w:r w:rsidRPr="00662B89">
        <w:rPr>
          <w:rStyle w:val="FootnoteReference"/>
          <w:sz w:val="18"/>
          <w:szCs w:val="18"/>
        </w:rPr>
        <w:footnoteRef/>
      </w:r>
      <w:r w:rsidRPr="00662B89">
        <w:rPr>
          <w:sz w:val="18"/>
          <w:szCs w:val="18"/>
        </w:rPr>
        <w:t xml:space="preserve"> </w:t>
      </w:r>
      <w:r w:rsidRPr="00662B89">
        <w:rPr>
          <w:color w:val="auto"/>
          <w:sz w:val="18"/>
          <w:szCs w:val="18"/>
          <w:lang w:val="en-US"/>
        </w:rPr>
        <w:t>The improvement in information sharing will also include a scoping review of technological solutions to facilitate information sharing.</w:t>
      </w:r>
    </w:p>
  </w:footnote>
  <w:footnote w:id="11">
    <w:p w14:paraId="16CD2E8B" w14:textId="41BF20B6" w:rsidR="006E0342" w:rsidRPr="00662B89" w:rsidRDefault="006E0342" w:rsidP="00662B89">
      <w:pPr>
        <w:pStyle w:val="FootnoteText"/>
        <w:jc w:val="left"/>
        <w:rPr>
          <w:sz w:val="18"/>
          <w:szCs w:val="18"/>
          <w:lang w:val="en-US"/>
        </w:rPr>
      </w:pPr>
      <w:r w:rsidRPr="00662B89">
        <w:rPr>
          <w:sz w:val="18"/>
          <w:szCs w:val="18"/>
          <w:vertAlign w:val="superscript"/>
          <w:lang w:val="en-US"/>
        </w:rPr>
        <w:footnoteRef/>
      </w:r>
      <w:r w:rsidRPr="00662B89">
        <w:rPr>
          <w:sz w:val="18"/>
          <w:szCs w:val="18"/>
          <w:vertAlign w:val="superscript"/>
          <w:lang w:val="en-US"/>
        </w:rPr>
        <w:t xml:space="preserve"> </w:t>
      </w:r>
      <w:r w:rsidRPr="00662B89">
        <w:rPr>
          <w:sz w:val="18"/>
          <w:szCs w:val="18"/>
          <w:lang w:val="en-US"/>
        </w:rPr>
        <w:t xml:space="preserve">Commonwealth of Australia (2019) Budget 2019 -2020. Building Stronger Regional Communities 2019 – 2020, pp 41-42 </w:t>
      </w:r>
      <w:hyperlink r:id="rId7" w:history="1">
        <w:r w:rsidRPr="00662B89">
          <w:rPr>
            <w:rStyle w:val="Hyperlink"/>
            <w:sz w:val="18"/>
            <w:szCs w:val="18"/>
          </w:rPr>
          <w:t>https://infrastructure.gov.au/department/statements/2019_2020/ministerial-statement/files/Building-stronger-regional-communities-2019-2020.pdf</w:t>
        </w:r>
      </w:hyperlink>
      <w:r w:rsidRPr="00662B89">
        <w:rPr>
          <w:rStyle w:val="Hyperlink"/>
          <w:sz w:val="18"/>
          <w:szCs w:val="18"/>
        </w:rPr>
        <w:t xml:space="preserve">. </w:t>
      </w:r>
    </w:p>
  </w:footnote>
  <w:footnote w:id="12">
    <w:p w14:paraId="2E59F7B5" w14:textId="29924707"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 xml:space="preserve">For more details see AGD media release from Dec 18 2018 </w:t>
      </w:r>
      <w:hyperlink r:id="rId8" w:history="1">
        <w:r w:rsidRPr="00662B89">
          <w:rPr>
            <w:rStyle w:val="Hyperlink"/>
            <w:sz w:val="18"/>
            <w:szCs w:val="18"/>
          </w:rPr>
          <w:t>https://www.attorneygeneral.gov.au/Media/Pages/Additional-funding-for-Family-Violence-support-services-18-december-2018.aspx</w:t>
        </w:r>
      </w:hyperlink>
      <w:r w:rsidRPr="00662B89">
        <w:rPr>
          <w:sz w:val="18"/>
          <w:szCs w:val="18"/>
        </w:rPr>
        <w:t xml:space="preserve"> </w:t>
      </w:r>
    </w:p>
  </w:footnote>
  <w:footnote w:id="13">
    <w:p w14:paraId="52EFBAB7" w14:textId="540C7AD6"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 xml:space="preserve">Commonwealth of Australia (2019) Budget 2019 -2020. Building Stronger Regional Communities 2019 – 2020, p. 42 </w:t>
      </w:r>
      <w:hyperlink r:id="rId9" w:history="1">
        <w:r w:rsidRPr="00662B89">
          <w:rPr>
            <w:rStyle w:val="Hyperlink"/>
            <w:sz w:val="18"/>
            <w:szCs w:val="18"/>
          </w:rPr>
          <w:t>https://infrastructure.gov.au/department/statements/2019_2020/ministerial-statement/files/Building-stronger-regional-communities-2019-2020.pdf</w:t>
        </w:r>
      </w:hyperlink>
    </w:p>
  </w:footnote>
  <w:footnote w:id="14">
    <w:p w14:paraId="1876B354" w14:textId="50897DD3"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hyperlink r:id="rId10" w:history="1">
        <w:r w:rsidRPr="00662B89">
          <w:rPr>
            <w:rStyle w:val="Hyperlink"/>
            <w:sz w:val="18"/>
            <w:szCs w:val="18"/>
          </w:rPr>
          <w:t>https://www.ag.gov.au/FamiliesAndMarriage/Families/Pages/supporting-women-to-recover-financially-after-separation.aspx</w:t>
        </w:r>
      </w:hyperlink>
      <w:r w:rsidRPr="00662B89">
        <w:rPr>
          <w:sz w:val="18"/>
          <w:szCs w:val="18"/>
        </w:rPr>
        <w:t xml:space="preserve"> </w:t>
      </w:r>
    </w:p>
  </w:footnote>
  <w:footnote w:id="15">
    <w:p w14:paraId="55672C11" w14:textId="7DB7E320"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Ibid, p. 43</w:t>
      </w:r>
    </w:p>
  </w:footnote>
  <w:footnote w:id="16">
    <w:p w14:paraId="2656108F" w14:textId="55BF1811"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hyperlink r:id="rId11" w:history="1">
        <w:r w:rsidRPr="00662B89">
          <w:rPr>
            <w:rStyle w:val="Hyperlink"/>
            <w:sz w:val="18"/>
            <w:szCs w:val="18"/>
          </w:rPr>
          <w:t>https://www.ag.gov.au/LegalSystem/Legalaidprogrammes/Pages/Specialist-domestic-violence-assistance.aspx</w:t>
        </w:r>
      </w:hyperlink>
    </w:p>
  </w:footnote>
  <w:footnote w:id="17">
    <w:p w14:paraId="2288099F" w14:textId="7DD2F882"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National Association of Community Legal Centres, Media Releaser 3</w:t>
      </w:r>
      <w:r w:rsidRPr="00662B89">
        <w:rPr>
          <w:sz w:val="18"/>
          <w:szCs w:val="18"/>
          <w:vertAlign w:val="superscript"/>
        </w:rPr>
        <w:t>rd</w:t>
      </w:r>
      <w:r w:rsidRPr="00662B89">
        <w:rPr>
          <w:sz w:val="18"/>
          <w:szCs w:val="18"/>
        </w:rPr>
        <w:t xml:space="preserve"> April 2019 </w:t>
      </w:r>
      <w:hyperlink r:id="rId12" w:history="1">
        <w:r w:rsidRPr="00662B89">
          <w:rPr>
            <w:rStyle w:val="Hyperlink"/>
            <w:sz w:val="18"/>
            <w:szCs w:val="18"/>
          </w:rPr>
          <w:t>http://www.naclc.org.au/resources/190403%20NACLCFederalBudgetMediaReleaseFinal.pdf?fbclid=IwAR14z2lKlMhZDLi4qIEw1iLv0n3UY-MJOMipNMHTOyKvZtnW3ACCdWnVNBo</w:t>
        </w:r>
      </w:hyperlink>
    </w:p>
  </w:footnote>
  <w:footnote w:id="18">
    <w:p w14:paraId="2D312416" w14:textId="2F589623"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hyperlink r:id="rId13" w:tgtFrame="_blank" w:history="1">
        <w:r w:rsidRPr="00662B89">
          <w:rPr>
            <w:rFonts w:eastAsia="Times New Roman" w:cstheme="majorHAnsi"/>
            <w:color w:val="1155CC"/>
            <w:sz w:val="18"/>
            <w:szCs w:val="18"/>
            <w:u w:val="single"/>
            <w:lang w:val="en-AU" w:eastAsia="en-AU"/>
          </w:rPr>
          <w:t>https://www.budget.gov.au/2019-20/content/download/essentials.pdf</w:t>
        </w:r>
      </w:hyperlink>
      <w:r w:rsidRPr="00662B89">
        <w:rPr>
          <w:rFonts w:eastAsia="Times New Roman" w:cstheme="majorHAnsi"/>
          <w:color w:val="1155CC"/>
          <w:sz w:val="18"/>
          <w:szCs w:val="18"/>
          <w:u w:val="single"/>
          <w:lang w:val="en-AU" w:eastAsia="en-AU"/>
        </w:rPr>
        <w:t xml:space="preserve"> </w:t>
      </w:r>
    </w:p>
  </w:footnote>
  <w:footnote w:id="19">
    <w:p w14:paraId="49A8B79D" w14:textId="3255F163" w:rsidR="006E0342" w:rsidRPr="00662B89" w:rsidRDefault="006E0342" w:rsidP="00662B89">
      <w:pPr>
        <w:pStyle w:val="FootnoteText"/>
        <w:jc w:val="left"/>
        <w:rPr>
          <w:sz w:val="18"/>
          <w:szCs w:val="18"/>
        </w:rPr>
      </w:pPr>
      <w:r w:rsidRPr="00662B89">
        <w:rPr>
          <w:rStyle w:val="FootnoteReference"/>
          <w:sz w:val="18"/>
          <w:szCs w:val="18"/>
        </w:rPr>
        <w:footnoteRef/>
      </w:r>
      <w:r w:rsidRPr="00662B89">
        <w:rPr>
          <w:sz w:val="18"/>
          <w:szCs w:val="18"/>
        </w:rPr>
        <w:t xml:space="preserve"> Attorney General’s Portfolio statement, 2019-2020 Budget, p. 134. </w:t>
      </w:r>
    </w:p>
  </w:footnote>
  <w:footnote w:id="20">
    <w:p w14:paraId="22E92DF4" w14:textId="20E9CC3C" w:rsidR="006E0342" w:rsidRPr="00662B89" w:rsidRDefault="006E0342" w:rsidP="00662B89">
      <w:pPr>
        <w:pStyle w:val="FootnoteText"/>
        <w:jc w:val="left"/>
        <w:rPr>
          <w:sz w:val="18"/>
          <w:szCs w:val="18"/>
        </w:rPr>
      </w:pPr>
      <w:r w:rsidRPr="00662B89">
        <w:rPr>
          <w:rStyle w:val="FootnoteReference"/>
          <w:sz w:val="18"/>
          <w:szCs w:val="18"/>
        </w:rPr>
        <w:footnoteRef/>
      </w:r>
      <w:r w:rsidRPr="00662B89">
        <w:rPr>
          <w:sz w:val="18"/>
          <w:szCs w:val="18"/>
        </w:rPr>
        <w:t xml:space="preserve"> Available at </w:t>
      </w:r>
      <w:hyperlink r:id="rId14" w:history="1">
        <w:r w:rsidRPr="00662B89">
          <w:rPr>
            <w:rStyle w:val="Hyperlink"/>
            <w:sz w:val="18"/>
            <w:szCs w:val="18"/>
          </w:rPr>
          <w:t>http://www.fedcourt.gov.au/about/corporate-information/corporate-plan/corporate-services</w:t>
        </w:r>
      </w:hyperlink>
      <w:r w:rsidRPr="00662B89">
        <w:rPr>
          <w:sz w:val="18"/>
          <w:szCs w:val="18"/>
        </w:rPr>
        <w:t xml:space="preserve"> </w:t>
      </w:r>
    </w:p>
  </w:footnote>
  <w:footnote w:id="21">
    <w:p w14:paraId="2425EA0A" w14:textId="66143DD3" w:rsidR="006E0342" w:rsidRPr="00662B89" w:rsidRDefault="006E0342" w:rsidP="00662B89">
      <w:pPr>
        <w:pStyle w:val="FootnoteText"/>
        <w:jc w:val="left"/>
        <w:rPr>
          <w:sz w:val="18"/>
          <w:szCs w:val="18"/>
        </w:rPr>
      </w:pPr>
      <w:r w:rsidRPr="00662B89">
        <w:rPr>
          <w:rStyle w:val="FootnoteReference"/>
          <w:sz w:val="18"/>
          <w:szCs w:val="18"/>
        </w:rPr>
        <w:footnoteRef/>
      </w:r>
      <w:r w:rsidRPr="00662B89">
        <w:rPr>
          <w:sz w:val="18"/>
          <w:szCs w:val="18"/>
        </w:rPr>
        <w:t xml:space="preserve"> </w:t>
      </w:r>
      <w:hyperlink r:id="rId15" w:history="1">
        <w:r w:rsidRPr="00662B89">
          <w:rPr>
            <w:rStyle w:val="Hyperlink"/>
            <w:sz w:val="18"/>
            <w:szCs w:val="18"/>
          </w:rPr>
          <w:t>https://www.aph.gov.au/Parliamentary_Business/Bills_LEGislation/Bills_Search_Results/Result?bId=r6167</w:t>
        </w:r>
      </w:hyperlink>
      <w:r w:rsidRPr="00662B89">
        <w:rPr>
          <w:sz w:val="18"/>
          <w:szCs w:val="18"/>
        </w:rPr>
        <w:t xml:space="preserve"> </w:t>
      </w:r>
    </w:p>
  </w:footnote>
  <w:footnote w:id="22">
    <w:p w14:paraId="10C536AC" w14:textId="77777777" w:rsidR="006E0342" w:rsidRPr="00662B89" w:rsidRDefault="006E0342" w:rsidP="00662B89">
      <w:pPr>
        <w:pStyle w:val="FootnoteText"/>
        <w:jc w:val="left"/>
        <w:rPr>
          <w:sz w:val="18"/>
          <w:szCs w:val="18"/>
        </w:rPr>
      </w:pPr>
      <w:r w:rsidRPr="00662B89">
        <w:rPr>
          <w:rStyle w:val="FootnoteReference"/>
          <w:sz w:val="18"/>
          <w:szCs w:val="18"/>
        </w:rPr>
        <w:footnoteRef/>
      </w:r>
      <w:r w:rsidRPr="00662B89">
        <w:rPr>
          <w:sz w:val="18"/>
          <w:szCs w:val="18"/>
        </w:rPr>
        <w:t xml:space="preserve"> Women’s Legal Services Australia Media release 23 August 2018 </w:t>
      </w:r>
      <w:hyperlink r:id="rId16" w:history="1">
        <w:r w:rsidRPr="00662B89">
          <w:rPr>
            <w:rStyle w:val="Hyperlink"/>
            <w:sz w:val="18"/>
            <w:szCs w:val="18"/>
          </w:rPr>
          <w:t>http://www.wlsa.org.au/media_releases/specialisation_in_family_law_integral_to_women_and_childrens_safety_-_23_august_2018</w:t>
        </w:r>
      </w:hyperlink>
      <w:r w:rsidRPr="00662B89">
        <w:rPr>
          <w:sz w:val="18"/>
          <w:szCs w:val="18"/>
        </w:rPr>
        <w:t xml:space="preserve"> and 10 September 2018 </w:t>
      </w:r>
      <w:hyperlink r:id="rId17" w:history="1">
        <w:r w:rsidRPr="00662B89">
          <w:rPr>
            <w:rStyle w:val="Hyperlink"/>
            <w:sz w:val="18"/>
            <w:szCs w:val="18"/>
          </w:rPr>
          <w:t>http://www.wlsa.org.au/media_releases/wlsa_urges_government_to_extend_reporting_period_before_dismantling_family_court</w:t>
        </w:r>
      </w:hyperlink>
      <w:r w:rsidRPr="00662B89">
        <w:rPr>
          <w:sz w:val="18"/>
          <w:szCs w:val="18"/>
        </w:rPr>
        <w:t xml:space="preserve"> ; Law Council of Australia Media Release 13 December 2018 </w:t>
      </w:r>
      <w:hyperlink r:id="rId18" w:history="1">
        <w:r w:rsidRPr="00662B89">
          <w:rPr>
            <w:rStyle w:val="Hyperlink"/>
            <w:sz w:val="18"/>
            <w:szCs w:val="18"/>
          </w:rPr>
          <w:t>https://www.lawcouncil.asn.au/media/news/proposed-merger-of-the-family-court-of-australia-and-federal-circuit-court</w:t>
        </w:r>
      </w:hyperlink>
      <w:r w:rsidRPr="00662B89">
        <w:rPr>
          <w:sz w:val="18"/>
          <w:szCs w:val="18"/>
        </w:rPr>
        <w:t xml:space="preserve"> </w:t>
      </w:r>
    </w:p>
  </w:footnote>
  <w:footnote w:id="23">
    <w:p w14:paraId="0A3C0893" w14:textId="79A4F15B"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DSS factsheet on the Fourth Action Plan </w:t>
      </w:r>
      <w:hyperlink r:id="rId19" w:history="1">
        <w:r w:rsidRPr="00662B89">
          <w:rPr>
            <w:rStyle w:val="Hyperlink"/>
            <w:sz w:val="18"/>
            <w:szCs w:val="18"/>
          </w:rPr>
          <w:t>https://www.dss.gov.au/sites/default/files/documents/04_2019/pbs-fact-sheet-fourth-action-planifwi89m.pdf</w:t>
        </w:r>
      </w:hyperlink>
    </w:p>
  </w:footnote>
  <w:footnote w:id="24">
    <w:p w14:paraId="4E6C71C7" w14:textId="4B53085E"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r w:rsidRPr="00662B89">
        <w:rPr>
          <w:sz w:val="18"/>
          <w:szCs w:val="18"/>
          <w:lang w:val="en-US"/>
        </w:rPr>
        <w:t xml:space="preserve">Department of Social Service Portfolio Budget Statement p 16, Budget Paper 2 p. 157-158.  </w:t>
      </w:r>
    </w:p>
  </w:footnote>
  <w:footnote w:id="25">
    <w:p w14:paraId="79DE7CDA" w14:textId="7F977F3B"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hyperlink r:id="rId20" w:history="1">
        <w:r w:rsidRPr="00662B89">
          <w:rPr>
            <w:rStyle w:val="Hyperlink"/>
            <w:sz w:val="18"/>
            <w:szCs w:val="18"/>
          </w:rPr>
          <w:t>https://ministers.dss.gov.au/media-releases/4736</w:t>
        </w:r>
      </w:hyperlink>
    </w:p>
  </w:footnote>
  <w:footnote w:id="26">
    <w:p w14:paraId="3B0D3B13" w14:textId="77777777"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Auditor-General Report No.1 2018–1 The Implementation and Performance of the Cashless Debit Card Trial</w:t>
      </w:r>
    </w:p>
  </w:footnote>
  <w:footnote w:id="27">
    <w:p w14:paraId="67E514ED" w14:textId="3F332570" w:rsidR="006E0342" w:rsidRPr="00662B89" w:rsidRDefault="006E0342" w:rsidP="00662B89">
      <w:pPr>
        <w:pStyle w:val="FootnoteText"/>
        <w:jc w:val="left"/>
        <w:rPr>
          <w:sz w:val="18"/>
          <w:szCs w:val="18"/>
          <w:lang w:val="en-US"/>
        </w:rPr>
      </w:pPr>
      <w:r w:rsidRPr="00662B89">
        <w:rPr>
          <w:rStyle w:val="FootnoteReference"/>
          <w:sz w:val="18"/>
          <w:szCs w:val="18"/>
        </w:rPr>
        <w:footnoteRef/>
      </w:r>
      <w:r w:rsidRPr="00662B89">
        <w:rPr>
          <w:sz w:val="18"/>
          <w:szCs w:val="18"/>
        </w:rPr>
        <w:t xml:space="preserve"> </w:t>
      </w:r>
      <w:hyperlink r:id="rId21" w:history="1">
        <w:r w:rsidRPr="00662B89">
          <w:rPr>
            <w:rStyle w:val="Hyperlink"/>
            <w:sz w:val="18"/>
            <w:szCs w:val="18"/>
          </w:rPr>
          <w:t>https://www.communications.gov.au/departmental-news/keeping-our-kids-safe-online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541"/>
    <w:multiLevelType w:val="hybridMultilevel"/>
    <w:tmpl w:val="5764E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E0BBA"/>
    <w:multiLevelType w:val="hybridMultilevel"/>
    <w:tmpl w:val="3384D512"/>
    <w:lvl w:ilvl="0" w:tplc="8B84EF1E">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93AD7"/>
    <w:multiLevelType w:val="hybridMultilevel"/>
    <w:tmpl w:val="0E3436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73F41"/>
    <w:multiLevelType w:val="hybridMultilevel"/>
    <w:tmpl w:val="CC1A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02128"/>
    <w:multiLevelType w:val="hybridMultilevel"/>
    <w:tmpl w:val="6118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02B58"/>
    <w:multiLevelType w:val="hybridMultilevel"/>
    <w:tmpl w:val="26A2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5685C"/>
    <w:multiLevelType w:val="hybridMultilevel"/>
    <w:tmpl w:val="C426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0633E"/>
    <w:multiLevelType w:val="hybridMultilevel"/>
    <w:tmpl w:val="410A85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35471B17"/>
    <w:multiLevelType w:val="hybridMultilevel"/>
    <w:tmpl w:val="DCE6E51E"/>
    <w:lvl w:ilvl="0" w:tplc="E10C05B6">
      <w:numFmt w:val="bullet"/>
      <w:lvlText w:val="-"/>
      <w:lvlJc w:val="left"/>
      <w:pPr>
        <w:ind w:left="1287" w:hanging="360"/>
      </w:pPr>
      <w:rPr>
        <w:rFonts w:ascii="Calibri Light" w:eastAsiaTheme="minorHAnsi" w:hAnsi="Calibri Light" w:cstheme="majorHAns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4065BDB"/>
    <w:multiLevelType w:val="multilevel"/>
    <w:tmpl w:val="707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0914A5"/>
    <w:multiLevelType w:val="multilevel"/>
    <w:tmpl w:val="5D0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E6B7D"/>
    <w:multiLevelType w:val="hybridMultilevel"/>
    <w:tmpl w:val="E44E2C4A"/>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91546"/>
    <w:multiLevelType w:val="hybridMultilevel"/>
    <w:tmpl w:val="2CD8BB90"/>
    <w:lvl w:ilvl="0" w:tplc="0AC0B17A">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64653A6A"/>
    <w:multiLevelType w:val="hybridMultilevel"/>
    <w:tmpl w:val="7AB84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93F74"/>
    <w:multiLevelType w:val="hybridMultilevel"/>
    <w:tmpl w:val="061CA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47229E"/>
    <w:multiLevelType w:val="hybridMultilevel"/>
    <w:tmpl w:val="6F5484F8"/>
    <w:lvl w:ilvl="0" w:tplc="E10C05B6">
      <w:numFmt w:val="bullet"/>
      <w:lvlText w:val="-"/>
      <w:lvlJc w:val="left"/>
      <w:pPr>
        <w:ind w:left="720" w:hanging="360"/>
      </w:pPr>
      <w:rPr>
        <w:rFonts w:ascii="Calibri Light" w:eastAsiaTheme="minorHAnsi" w:hAnsi="Calibri Light"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85807"/>
    <w:multiLevelType w:val="hybridMultilevel"/>
    <w:tmpl w:val="BC56D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0"/>
  </w:num>
  <w:num w:numId="5">
    <w:abstractNumId w:val="13"/>
  </w:num>
  <w:num w:numId="6">
    <w:abstractNumId w:val="4"/>
  </w:num>
  <w:num w:numId="7">
    <w:abstractNumId w:val="6"/>
  </w:num>
  <w:num w:numId="8">
    <w:abstractNumId w:val="15"/>
  </w:num>
  <w:num w:numId="9">
    <w:abstractNumId w:val="8"/>
  </w:num>
  <w:num w:numId="10">
    <w:abstractNumId w:val="11"/>
  </w:num>
  <w:num w:numId="11">
    <w:abstractNumId w:val="10"/>
  </w:num>
  <w:num w:numId="12">
    <w:abstractNumId w:val="12"/>
  </w:num>
  <w:num w:numId="13">
    <w:abstractNumId w:val="12"/>
    <w:lvlOverride w:ilvl="0">
      <w:startOverride w:val="1"/>
    </w:lvlOverride>
  </w:num>
  <w:num w:numId="14">
    <w:abstractNumId w:val="9"/>
  </w:num>
  <w:num w:numId="15">
    <w:abstractNumId w:val="3"/>
  </w:num>
  <w:num w:numId="16">
    <w:abstractNumId w:val="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E0"/>
    <w:rsid w:val="00000CF0"/>
    <w:rsid w:val="00040A8D"/>
    <w:rsid w:val="00041209"/>
    <w:rsid w:val="00060354"/>
    <w:rsid w:val="00060386"/>
    <w:rsid w:val="00074929"/>
    <w:rsid w:val="00092A8C"/>
    <w:rsid w:val="000C1772"/>
    <w:rsid w:val="000C6218"/>
    <w:rsid w:val="00154E0E"/>
    <w:rsid w:val="00186B23"/>
    <w:rsid w:val="001A3D00"/>
    <w:rsid w:val="001D51CD"/>
    <w:rsid w:val="001D679D"/>
    <w:rsid w:val="001E10D8"/>
    <w:rsid w:val="001E67C6"/>
    <w:rsid w:val="00212BBF"/>
    <w:rsid w:val="00221624"/>
    <w:rsid w:val="00227032"/>
    <w:rsid w:val="00231BFE"/>
    <w:rsid w:val="00262EA2"/>
    <w:rsid w:val="002E007B"/>
    <w:rsid w:val="0031112E"/>
    <w:rsid w:val="00323216"/>
    <w:rsid w:val="0032497B"/>
    <w:rsid w:val="00341DC8"/>
    <w:rsid w:val="00360069"/>
    <w:rsid w:val="00366918"/>
    <w:rsid w:val="00376255"/>
    <w:rsid w:val="003959CB"/>
    <w:rsid w:val="003A06A5"/>
    <w:rsid w:val="00422988"/>
    <w:rsid w:val="00424DDD"/>
    <w:rsid w:val="00427232"/>
    <w:rsid w:val="00436E00"/>
    <w:rsid w:val="00437D46"/>
    <w:rsid w:val="00474E2D"/>
    <w:rsid w:val="00492FB4"/>
    <w:rsid w:val="004A4936"/>
    <w:rsid w:val="004B452D"/>
    <w:rsid w:val="004B6003"/>
    <w:rsid w:val="004D4ADF"/>
    <w:rsid w:val="004D6CBF"/>
    <w:rsid w:val="004D7A24"/>
    <w:rsid w:val="004F210C"/>
    <w:rsid w:val="004F23C3"/>
    <w:rsid w:val="0050080D"/>
    <w:rsid w:val="0055463B"/>
    <w:rsid w:val="00575955"/>
    <w:rsid w:val="00585064"/>
    <w:rsid w:val="005A2EC9"/>
    <w:rsid w:val="005A5D9E"/>
    <w:rsid w:val="005C658A"/>
    <w:rsid w:val="00600861"/>
    <w:rsid w:val="00605383"/>
    <w:rsid w:val="00635829"/>
    <w:rsid w:val="006538F7"/>
    <w:rsid w:val="00662B89"/>
    <w:rsid w:val="00664CF6"/>
    <w:rsid w:val="00670126"/>
    <w:rsid w:val="00693E98"/>
    <w:rsid w:val="006A04C5"/>
    <w:rsid w:val="006C3DB5"/>
    <w:rsid w:val="006E0342"/>
    <w:rsid w:val="0070046C"/>
    <w:rsid w:val="00704B41"/>
    <w:rsid w:val="0071084E"/>
    <w:rsid w:val="007142F4"/>
    <w:rsid w:val="00715E08"/>
    <w:rsid w:val="00724290"/>
    <w:rsid w:val="00737D33"/>
    <w:rsid w:val="00740A7A"/>
    <w:rsid w:val="0074294B"/>
    <w:rsid w:val="007429E5"/>
    <w:rsid w:val="0075353C"/>
    <w:rsid w:val="00754702"/>
    <w:rsid w:val="00757E1E"/>
    <w:rsid w:val="007833B8"/>
    <w:rsid w:val="00784ED5"/>
    <w:rsid w:val="00786BCA"/>
    <w:rsid w:val="00794DE7"/>
    <w:rsid w:val="007D0532"/>
    <w:rsid w:val="0080469C"/>
    <w:rsid w:val="00805A29"/>
    <w:rsid w:val="008410D4"/>
    <w:rsid w:val="00865357"/>
    <w:rsid w:val="00873E93"/>
    <w:rsid w:val="008955B3"/>
    <w:rsid w:val="008B5DDA"/>
    <w:rsid w:val="008C04CC"/>
    <w:rsid w:val="008D591D"/>
    <w:rsid w:val="008D7202"/>
    <w:rsid w:val="00907232"/>
    <w:rsid w:val="0091767E"/>
    <w:rsid w:val="00917B78"/>
    <w:rsid w:val="00922A8C"/>
    <w:rsid w:val="00922E44"/>
    <w:rsid w:val="00935DE5"/>
    <w:rsid w:val="0098157B"/>
    <w:rsid w:val="00984D4A"/>
    <w:rsid w:val="009B1FA8"/>
    <w:rsid w:val="009B4EEA"/>
    <w:rsid w:val="009D52F3"/>
    <w:rsid w:val="009D7CE0"/>
    <w:rsid w:val="00A24943"/>
    <w:rsid w:val="00A27C46"/>
    <w:rsid w:val="00A44074"/>
    <w:rsid w:val="00A5556F"/>
    <w:rsid w:val="00A77A1E"/>
    <w:rsid w:val="00A859A5"/>
    <w:rsid w:val="00A85A3F"/>
    <w:rsid w:val="00AA11C9"/>
    <w:rsid w:val="00AC039C"/>
    <w:rsid w:val="00AC1B9D"/>
    <w:rsid w:val="00AD7B7E"/>
    <w:rsid w:val="00B169B4"/>
    <w:rsid w:val="00B43EDF"/>
    <w:rsid w:val="00B55BAE"/>
    <w:rsid w:val="00B60457"/>
    <w:rsid w:val="00B6229F"/>
    <w:rsid w:val="00B73093"/>
    <w:rsid w:val="00B80CB1"/>
    <w:rsid w:val="00BB537C"/>
    <w:rsid w:val="00BC1791"/>
    <w:rsid w:val="00BE3EF7"/>
    <w:rsid w:val="00BF122C"/>
    <w:rsid w:val="00C230BB"/>
    <w:rsid w:val="00C36606"/>
    <w:rsid w:val="00C50D95"/>
    <w:rsid w:val="00C627F7"/>
    <w:rsid w:val="00C62E97"/>
    <w:rsid w:val="00C71AA6"/>
    <w:rsid w:val="00CA28A6"/>
    <w:rsid w:val="00CA320C"/>
    <w:rsid w:val="00CA744C"/>
    <w:rsid w:val="00CB25E2"/>
    <w:rsid w:val="00CC33B7"/>
    <w:rsid w:val="00CC43EC"/>
    <w:rsid w:val="00CF0564"/>
    <w:rsid w:val="00CF7B90"/>
    <w:rsid w:val="00D41444"/>
    <w:rsid w:val="00D65133"/>
    <w:rsid w:val="00D719A5"/>
    <w:rsid w:val="00D7441A"/>
    <w:rsid w:val="00DB5EB4"/>
    <w:rsid w:val="00DC7175"/>
    <w:rsid w:val="00DF416B"/>
    <w:rsid w:val="00E11326"/>
    <w:rsid w:val="00E25207"/>
    <w:rsid w:val="00E27B18"/>
    <w:rsid w:val="00EA2DE4"/>
    <w:rsid w:val="00EA628D"/>
    <w:rsid w:val="00EC28CC"/>
    <w:rsid w:val="00F17E81"/>
    <w:rsid w:val="00F24D55"/>
    <w:rsid w:val="00F40EF2"/>
    <w:rsid w:val="00F7403A"/>
    <w:rsid w:val="00F75165"/>
    <w:rsid w:val="00F82F4D"/>
    <w:rsid w:val="00FA2ABF"/>
    <w:rsid w:val="00FB7D09"/>
    <w:rsid w:val="00FD2DBE"/>
    <w:rsid w:val="00FE3519"/>
    <w:rsid w:val="00FE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9652"/>
  <w15:chartTrackingRefBased/>
  <w15:docId w15:val="{06EE1C07-254F-4198-83FD-B9D3C9B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41A"/>
    <w:pPr>
      <w:spacing w:after="0" w:line="240" w:lineRule="auto"/>
      <w:jc w:val="both"/>
    </w:pPr>
    <w:rPr>
      <w:rFonts w:asciiTheme="majorHAnsi" w:hAnsiTheme="majorHAnsi" w:cs="Times New Roman"/>
      <w:color w:val="000000" w:themeColor="text1"/>
      <w:lang w:val="en-GB"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492FB4"/>
    <w:pPr>
      <w:keepNext/>
      <w:keepLines/>
      <w:spacing w:before="120" w:after="120"/>
      <w:outlineLvl w:val="2"/>
    </w:pPr>
    <w:rPr>
      <w:rFonts w:eastAsia="Times New Roman" w:cstheme="majorHAnsi"/>
      <w:b/>
      <w:color w:val="CC00FF"/>
      <w:szCs w:val="20"/>
      <w:lang w:val="en-US" w:eastAsia="en-AU"/>
    </w:rPr>
  </w:style>
  <w:style w:type="paragraph" w:styleId="Heading4">
    <w:name w:val="heading 4"/>
    <w:basedOn w:val="Normal"/>
    <w:next w:val="Normal"/>
    <w:link w:val="Heading4Char"/>
    <w:autoRedefine/>
    <w:uiPriority w:val="9"/>
    <w:unhideWhenUsed/>
    <w:qFormat/>
    <w:rsid w:val="004D6CBF"/>
    <w:pPr>
      <w:keepNext/>
      <w:keepLines/>
      <w:spacing w:before="120" w:after="12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492FB4"/>
    <w:rPr>
      <w:rFonts w:asciiTheme="majorHAnsi" w:eastAsia="Times New Roman" w:hAnsiTheme="majorHAnsi" w:cstheme="majorHAnsi"/>
      <w:b/>
      <w:color w:val="CC00FF"/>
      <w:szCs w:val="20"/>
      <w:lang w:val="en-US" w:eastAsia="en-AU"/>
    </w:rPr>
  </w:style>
  <w:style w:type="character" w:customStyle="1" w:styleId="Heading4Char">
    <w:name w:val="Heading 4 Char"/>
    <w:basedOn w:val="DefaultParagraphFont"/>
    <w:link w:val="Heading4"/>
    <w:uiPriority w:val="9"/>
    <w:rsid w:val="004D6CBF"/>
    <w:rPr>
      <w:rFonts w:asciiTheme="majorHAnsi" w:eastAsiaTheme="majorEastAsia" w:hAnsiTheme="majorHAnsi" w:cstheme="majorBidi"/>
      <w:b/>
      <w:iCs/>
      <w:color w:val="FF00FF"/>
      <w:lang w:val="en-GB" w:eastAsia="en-GB"/>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character" w:styleId="Hyperlink">
    <w:name w:val="Hyperlink"/>
    <w:basedOn w:val="DefaultParagraphFont"/>
    <w:uiPriority w:val="99"/>
    <w:unhideWhenUsed/>
    <w:rsid w:val="009D7CE0"/>
    <w:rPr>
      <w:color w:val="0000FF"/>
      <w:u w:val="single"/>
    </w:rPr>
  </w:style>
  <w:style w:type="paragraph" w:customStyle="1" w:styleId="Default">
    <w:name w:val="Default"/>
    <w:rsid w:val="00A85A3F"/>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154E0E"/>
    <w:pPr>
      <w:ind w:left="720"/>
      <w:contextualSpacing/>
    </w:pPr>
  </w:style>
  <w:style w:type="paragraph" w:styleId="FootnoteText">
    <w:name w:val="footnote text"/>
    <w:basedOn w:val="Normal"/>
    <w:link w:val="FootnoteTextChar"/>
    <w:uiPriority w:val="99"/>
    <w:semiHidden/>
    <w:unhideWhenUsed/>
    <w:rsid w:val="00154E0E"/>
    <w:rPr>
      <w:sz w:val="20"/>
      <w:szCs w:val="20"/>
    </w:rPr>
  </w:style>
  <w:style w:type="character" w:customStyle="1" w:styleId="FootnoteTextChar">
    <w:name w:val="Footnote Text Char"/>
    <w:basedOn w:val="DefaultParagraphFont"/>
    <w:link w:val="FootnoteText"/>
    <w:uiPriority w:val="99"/>
    <w:semiHidden/>
    <w:rsid w:val="00154E0E"/>
    <w:rPr>
      <w:rFonts w:asciiTheme="majorHAnsi" w:hAnsiTheme="majorHAnsi" w:cs="Times New Roman"/>
      <w:sz w:val="20"/>
      <w:szCs w:val="20"/>
      <w:lang w:val="en-GB" w:eastAsia="en-GB"/>
    </w:rPr>
  </w:style>
  <w:style w:type="character" w:styleId="FootnoteReference">
    <w:name w:val="footnote reference"/>
    <w:basedOn w:val="DefaultParagraphFont"/>
    <w:uiPriority w:val="99"/>
    <w:semiHidden/>
    <w:unhideWhenUsed/>
    <w:rsid w:val="00154E0E"/>
    <w:rPr>
      <w:vertAlign w:val="superscript"/>
    </w:rPr>
  </w:style>
  <w:style w:type="character" w:styleId="CommentReference">
    <w:name w:val="annotation reference"/>
    <w:basedOn w:val="DefaultParagraphFont"/>
    <w:uiPriority w:val="99"/>
    <w:semiHidden/>
    <w:unhideWhenUsed/>
    <w:rsid w:val="00E25207"/>
    <w:rPr>
      <w:sz w:val="16"/>
      <w:szCs w:val="16"/>
    </w:rPr>
  </w:style>
  <w:style w:type="paragraph" w:styleId="CommentText">
    <w:name w:val="annotation text"/>
    <w:basedOn w:val="Normal"/>
    <w:link w:val="CommentTextChar"/>
    <w:uiPriority w:val="99"/>
    <w:semiHidden/>
    <w:unhideWhenUsed/>
    <w:rsid w:val="00E25207"/>
    <w:rPr>
      <w:sz w:val="20"/>
      <w:szCs w:val="20"/>
    </w:rPr>
  </w:style>
  <w:style w:type="character" w:customStyle="1" w:styleId="CommentTextChar">
    <w:name w:val="Comment Text Char"/>
    <w:basedOn w:val="DefaultParagraphFont"/>
    <w:link w:val="CommentText"/>
    <w:uiPriority w:val="99"/>
    <w:semiHidden/>
    <w:rsid w:val="00E25207"/>
    <w:rPr>
      <w:rFonts w:asciiTheme="majorHAnsi" w:hAnsiTheme="majorHAns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25207"/>
    <w:rPr>
      <w:b/>
      <w:bCs/>
    </w:rPr>
  </w:style>
  <w:style w:type="character" w:customStyle="1" w:styleId="CommentSubjectChar">
    <w:name w:val="Comment Subject Char"/>
    <w:basedOn w:val="CommentTextChar"/>
    <w:link w:val="CommentSubject"/>
    <w:uiPriority w:val="99"/>
    <w:semiHidden/>
    <w:rsid w:val="00E25207"/>
    <w:rPr>
      <w:rFonts w:asciiTheme="majorHAnsi" w:hAnsiTheme="majorHAnsi" w:cs="Times New Roman"/>
      <w:b/>
      <w:bCs/>
      <w:sz w:val="20"/>
      <w:szCs w:val="20"/>
      <w:lang w:val="en-GB" w:eastAsia="en-GB"/>
    </w:rPr>
  </w:style>
  <w:style w:type="paragraph" w:styleId="BalloonText">
    <w:name w:val="Balloon Text"/>
    <w:basedOn w:val="Normal"/>
    <w:link w:val="BalloonTextChar"/>
    <w:uiPriority w:val="99"/>
    <w:semiHidden/>
    <w:unhideWhenUsed/>
    <w:rsid w:val="00E2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07"/>
    <w:rPr>
      <w:rFonts w:ascii="Segoe UI" w:hAnsi="Segoe UI" w:cs="Segoe UI"/>
      <w:sz w:val="18"/>
      <w:szCs w:val="18"/>
      <w:lang w:val="en-GB" w:eastAsia="en-GB"/>
    </w:rPr>
  </w:style>
  <w:style w:type="paragraph" w:styleId="Title">
    <w:name w:val="Title"/>
    <w:basedOn w:val="Normal"/>
    <w:next w:val="Normal"/>
    <w:link w:val="TitleChar"/>
    <w:uiPriority w:val="10"/>
    <w:qFormat/>
    <w:rsid w:val="00CC43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43EC"/>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8955B3"/>
    <w:pPr>
      <w:spacing w:after="0" w:line="240" w:lineRule="auto"/>
    </w:pPr>
    <w:rPr>
      <w:rFonts w:asciiTheme="majorHAnsi" w:hAnsiTheme="majorHAnsi" w:cs="Times New Roman"/>
      <w:color w:val="000000" w:themeColor="text1"/>
      <w:lang w:val="en-GB" w:eastAsia="en-GB"/>
    </w:rPr>
  </w:style>
  <w:style w:type="paragraph" w:styleId="Header">
    <w:name w:val="header"/>
    <w:basedOn w:val="Normal"/>
    <w:link w:val="HeaderChar"/>
    <w:uiPriority w:val="99"/>
    <w:unhideWhenUsed/>
    <w:rsid w:val="00664CF6"/>
    <w:pPr>
      <w:tabs>
        <w:tab w:val="center" w:pos="4513"/>
        <w:tab w:val="right" w:pos="9026"/>
      </w:tabs>
    </w:pPr>
  </w:style>
  <w:style w:type="character" w:customStyle="1" w:styleId="HeaderChar">
    <w:name w:val="Header Char"/>
    <w:basedOn w:val="DefaultParagraphFont"/>
    <w:link w:val="Header"/>
    <w:uiPriority w:val="99"/>
    <w:rsid w:val="00664CF6"/>
    <w:rPr>
      <w:rFonts w:asciiTheme="majorHAnsi" w:hAnsiTheme="majorHAnsi" w:cs="Times New Roman"/>
      <w:color w:val="000000" w:themeColor="text1"/>
      <w:lang w:val="en-GB" w:eastAsia="en-GB"/>
    </w:rPr>
  </w:style>
  <w:style w:type="paragraph" w:styleId="Footer">
    <w:name w:val="footer"/>
    <w:basedOn w:val="Normal"/>
    <w:link w:val="FooterChar"/>
    <w:uiPriority w:val="99"/>
    <w:unhideWhenUsed/>
    <w:rsid w:val="00664CF6"/>
    <w:pPr>
      <w:tabs>
        <w:tab w:val="center" w:pos="4513"/>
        <w:tab w:val="right" w:pos="9026"/>
      </w:tabs>
    </w:pPr>
  </w:style>
  <w:style w:type="character" w:customStyle="1" w:styleId="FooterChar">
    <w:name w:val="Footer Char"/>
    <w:basedOn w:val="DefaultParagraphFont"/>
    <w:link w:val="Footer"/>
    <w:uiPriority w:val="99"/>
    <w:rsid w:val="00664CF6"/>
    <w:rPr>
      <w:rFonts w:asciiTheme="majorHAnsi" w:hAnsiTheme="majorHAnsi" w:cs="Times New Roman"/>
      <w:color w:val="000000" w:themeColor="text1"/>
      <w:lang w:val="en-GB" w:eastAsia="en-GB"/>
    </w:rPr>
  </w:style>
  <w:style w:type="table" w:styleId="TableGrid">
    <w:name w:val="Table Grid"/>
    <w:basedOn w:val="TableNormal"/>
    <w:uiPriority w:val="39"/>
    <w:rsid w:val="00A2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4D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40A8D"/>
    <w:rPr>
      <w:color w:val="605E5C"/>
      <w:shd w:val="clear" w:color="auto" w:fill="E1DFDD"/>
    </w:rPr>
  </w:style>
  <w:style w:type="paragraph" w:styleId="NormalWeb">
    <w:name w:val="Normal (Web)"/>
    <w:basedOn w:val="Normal"/>
    <w:uiPriority w:val="99"/>
    <w:semiHidden/>
    <w:unhideWhenUsed/>
    <w:rsid w:val="00FA2ABF"/>
    <w:pPr>
      <w:spacing w:before="100" w:beforeAutospacing="1" w:after="100" w:afterAutospacing="1"/>
      <w:jc w:val="left"/>
    </w:pPr>
    <w:rPr>
      <w:rFonts w:ascii="Times New Roman" w:eastAsia="Times New Roman" w:hAnsi="Times New Roman"/>
      <w:color w:val="auto"/>
      <w:sz w:val="24"/>
      <w:szCs w:val="24"/>
      <w:lang w:val="en-AU" w:eastAsia="en-US"/>
    </w:rPr>
  </w:style>
  <w:style w:type="character" w:styleId="Strong">
    <w:name w:val="Strong"/>
    <w:basedOn w:val="DefaultParagraphFont"/>
    <w:uiPriority w:val="22"/>
    <w:qFormat/>
    <w:rsid w:val="00EA2DE4"/>
    <w:rPr>
      <w:b/>
      <w:bCs/>
    </w:rPr>
  </w:style>
  <w:style w:type="character" w:customStyle="1" w:styleId="apple-converted-space">
    <w:name w:val="apple-converted-space"/>
    <w:basedOn w:val="DefaultParagraphFont"/>
    <w:rsid w:val="001E67C6"/>
  </w:style>
  <w:style w:type="character" w:styleId="FollowedHyperlink">
    <w:name w:val="FollowedHyperlink"/>
    <w:basedOn w:val="DefaultParagraphFont"/>
    <w:uiPriority w:val="99"/>
    <w:semiHidden/>
    <w:unhideWhenUsed/>
    <w:rsid w:val="001E67C6"/>
    <w:rPr>
      <w:color w:val="954F72" w:themeColor="followedHyperlink"/>
      <w:u w:val="single"/>
    </w:rPr>
  </w:style>
  <w:style w:type="paragraph" w:styleId="Subtitle">
    <w:name w:val="Subtitle"/>
    <w:basedOn w:val="Normal"/>
    <w:next w:val="Normal"/>
    <w:link w:val="SubtitleChar"/>
    <w:uiPriority w:val="11"/>
    <w:qFormat/>
    <w:rsid w:val="00922E44"/>
    <w:pPr>
      <w:numPr>
        <w:ilvl w:val="1"/>
      </w:numPr>
      <w:spacing w:after="160" w:line="259" w:lineRule="auto"/>
      <w:jc w:val="left"/>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922E44"/>
    <w:rPr>
      <w:rFonts w:eastAsiaTheme="minorEastAsia"/>
      <w:color w:val="5A5A5A" w:themeColor="text1" w:themeTint="A5"/>
      <w:spacing w:val="15"/>
      <w:lang w:val="en-GB"/>
    </w:rPr>
  </w:style>
  <w:style w:type="character" w:styleId="SubtleEmphasis">
    <w:name w:val="Subtle Emphasis"/>
    <w:basedOn w:val="DefaultParagraphFont"/>
    <w:uiPriority w:val="19"/>
    <w:qFormat/>
    <w:rsid w:val="00922E44"/>
    <w:rPr>
      <w:i/>
      <w:iCs/>
      <w:color w:val="404040" w:themeColor="text1" w:themeTint="BF"/>
    </w:rPr>
  </w:style>
  <w:style w:type="paragraph" w:styleId="TOC1">
    <w:name w:val="toc 1"/>
    <w:basedOn w:val="Normal"/>
    <w:next w:val="Normal"/>
    <w:autoRedefine/>
    <w:uiPriority w:val="39"/>
    <w:unhideWhenUsed/>
    <w:rsid w:val="00C230BB"/>
    <w:pPr>
      <w:spacing w:after="100"/>
    </w:pPr>
  </w:style>
  <w:style w:type="paragraph" w:styleId="TOC2">
    <w:name w:val="toc 2"/>
    <w:basedOn w:val="Normal"/>
    <w:next w:val="Normal"/>
    <w:autoRedefine/>
    <w:uiPriority w:val="39"/>
    <w:unhideWhenUsed/>
    <w:rsid w:val="00C230BB"/>
    <w:pPr>
      <w:spacing w:after="100"/>
      <w:ind w:left="220"/>
    </w:pPr>
  </w:style>
  <w:style w:type="paragraph" w:styleId="TOC3">
    <w:name w:val="toc 3"/>
    <w:basedOn w:val="Normal"/>
    <w:next w:val="Normal"/>
    <w:autoRedefine/>
    <w:uiPriority w:val="39"/>
    <w:unhideWhenUsed/>
    <w:rsid w:val="00C230BB"/>
    <w:pPr>
      <w:spacing w:after="100"/>
      <w:ind w:left="440"/>
    </w:pPr>
  </w:style>
  <w:style w:type="character" w:styleId="UnresolvedMention">
    <w:name w:val="Unresolved Mention"/>
    <w:basedOn w:val="DefaultParagraphFont"/>
    <w:uiPriority w:val="99"/>
    <w:semiHidden/>
    <w:unhideWhenUsed/>
    <w:rsid w:val="0042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09881">
      <w:bodyDiv w:val="1"/>
      <w:marLeft w:val="0"/>
      <w:marRight w:val="0"/>
      <w:marTop w:val="0"/>
      <w:marBottom w:val="0"/>
      <w:divBdr>
        <w:top w:val="none" w:sz="0" w:space="0" w:color="auto"/>
        <w:left w:val="none" w:sz="0" w:space="0" w:color="auto"/>
        <w:bottom w:val="none" w:sz="0" w:space="0" w:color="auto"/>
        <w:right w:val="none" w:sz="0" w:space="0" w:color="auto"/>
      </w:divBdr>
      <w:divsChild>
        <w:div w:id="529492464">
          <w:marLeft w:val="0"/>
          <w:marRight w:val="0"/>
          <w:marTop w:val="0"/>
          <w:marBottom w:val="0"/>
          <w:divBdr>
            <w:top w:val="none" w:sz="0" w:space="0" w:color="auto"/>
            <w:left w:val="none" w:sz="0" w:space="0" w:color="auto"/>
            <w:bottom w:val="none" w:sz="0" w:space="0" w:color="auto"/>
            <w:right w:val="none" w:sz="0" w:space="0" w:color="auto"/>
          </w:divBdr>
        </w:div>
        <w:div w:id="1173571613">
          <w:marLeft w:val="0"/>
          <w:marRight w:val="0"/>
          <w:marTop w:val="0"/>
          <w:marBottom w:val="0"/>
          <w:divBdr>
            <w:top w:val="none" w:sz="0" w:space="0" w:color="auto"/>
            <w:left w:val="none" w:sz="0" w:space="0" w:color="auto"/>
            <w:bottom w:val="none" w:sz="0" w:space="0" w:color="auto"/>
            <w:right w:val="none" w:sz="0" w:space="0" w:color="auto"/>
          </w:divBdr>
        </w:div>
        <w:div w:id="317804222">
          <w:marLeft w:val="0"/>
          <w:marRight w:val="0"/>
          <w:marTop w:val="0"/>
          <w:marBottom w:val="0"/>
          <w:divBdr>
            <w:top w:val="none" w:sz="0" w:space="0" w:color="auto"/>
            <w:left w:val="none" w:sz="0" w:space="0" w:color="auto"/>
            <w:bottom w:val="none" w:sz="0" w:space="0" w:color="auto"/>
            <w:right w:val="none" w:sz="0" w:space="0" w:color="auto"/>
          </w:divBdr>
        </w:div>
        <w:div w:id="1743717517">
          <w:marLeft w:val="0"/>
          <w:marRight w:val="0"/>
          <w:marTop w:val="0"/>
          <w:marBottom w:val="0"/>
          <w:divBdr>
            <w:top w:val="none" w:sz="0" w:space="0" w:color="auto"/>
            <w:left w:val="none" w:sz="0" w:space="0" w:color="auto"/>
            <w:bottom w:val="none" w:sz="0" w:space="0" w:color="auto"/>
            <w:right w:val="none" w:sz="0" w:space="0" w:color="auto"/>
          </w:divBdr>
        </w:div>
        <w:div w:id="384332660">
          <w:marLeft w:val="0"/>
          <w:marRight w:val="0"/>
          <w:marTop w:val="0"/>
          <w:marBottom w:val="0"/>
          <w:divBdr>
            <w:top w:val="none" w:sz="0" w:space="0" w:color="auto"/>
            <w:left w:val="none" w:sz="0" w:space="0" w:color="auto"/>
            <w:bottom w:val="none" w:sz="0" w:space="0" w:color="auto"/>
            <w:right w:val="none" w:sz="0" w:space="0" w:color="auto"/>
          </w:divBdr>
          <w:divsChild>
            <w:div w:id="425922011">
              <w:marLeft w:val="0"/>
              <w:marRight w:val="0"/>
              <w:marTop w:val="0"/>
              <w:marBottom w:val="0"/>
              <w:divBdr>
                <w:top w:val="none" w:sz="0" w:space="0" w:color="auto"/>
                <w:left w:val="none" w:sz="0" w:space="0" w:color="auto"/>
                <w:bottom w:val="none" w:sz="0" w:space="0" w:color="auto"/>
                <w:right w:val="none" w:sz="0" w:space="0" w:color="auto"/>
              </w:divBdr>
            </w:div>
          </w:divsChild>
        </w:div>
        <w:div w:id="1635673172">
          <w:marLeft w:val="0"/>
          <w:marRight w:val="0"/>
          <w:marTop w:val="0"/>
          <w:marBottom w:val="0"/>
          <w:divBdr>
            <w:top w:val="none" w:sz="0" w:space="0" w:color="auto"/>
            <w:left w:val="none" w:sz="0" w:space="0" w:color="auto"/>
            <w:bottom w:val="none" w:sz="0" w:space="0" w:color="auto"/>
            <w:right w:val="none" w:sz="0" w:space="0" w:color="auto"/>
          </w:divBdr>
        </w:div>
        <w:div w:id="260721142">
          <w:marLeft w:val="0"/>
          <w:marRight w:val="0"/>
          <w:marTop w:val="0"/>
          <w:marBottom w:val="0"/>
          <w:divBdr>
            <w:top w:val="none" w:sz="0" w:space="0" w:color="auto"/>
            <w:left w:val="none" w:sz="0" w:space="0" w:color="auto"/>
            <w:bottom w:val="none" w:sz="0" w:space="0" w:color="auto"/>
            <w:right w:val="none" w:sz="0" w:space="0" w:color="auto"/>
          </w:divBdr>
        </w:div>
        <w:div w:id="2041010125">
          <w:marLeft w:val="0"/>
          <w:marRight w:val="0"/>
          <w:marTop w:val="0"/>
          <w:marBottom w:val="0"/>
          <w:divBdr>
            <w:top w:val="none" w:sz="0" w:space="0" w:color="auto"/>
            <w:left w:val="none" w:sz="0" w:space="0" w:color="auto"/>
            <w:bottom w:val="none" w:sz="0" w:space="0" w:color="auto"/>
            <w:right w:val="none" w:sz="0" w:space="0" w:color="auto"/>
          </w:divBdr>
        </w:div>
        <w:div w:id="137461091">
          <w:marLeft w:val="0"/>
          <w:marRight w:val="0"/>
          <w:marTop w:val="0"/>
          <w:marBottom w:val="0"/>
          <w:divBdr>
            <w:top w:val="none" w:sz="0" w:space="0" w:color="auto"/>
            <w:left w:val="none" w:sz="0" w:space="0" w:color="auto"/>
            <w:bottom w:val="none" w:sz="0" w:space="0" w:color="auto"/>
            <w:right w:val="none" w:sz="0" w:space="0" w:color="auto"/>
          </w:divBdr>
        </w:div>
        <w:div w:id="1699307840">
          <w:marLeft w:val="0"/>
          <w:marRight w:val="0"/>
          <w:marTop w:val="0"/>
          <w:marBottom w:val="0"/>
          <w:divBdr>
            <w:top w:val="none" w:sz="0" w:space="0" w:color="auto"/>
            <w:left w:val="none" w:sz="0" w:space="0" w:color="auto"/>
            <w:bottom w:val="none" w:sz="0" w:space="0" w:color="auto"/>
            <w:right w:val="none" w:sz="0" w:space="0" w:color="auto"/>
          </w:divBdr>
        </w:div>
        <w:div w:id="1845631537">
          <w:marLeft w:val="0"/>
          <w:marRight w:val="0"/>
          <w:marTop w:val="0"/>
          <w:marBottom w:val="0"/>
          <w:divBdr>
            <w:top w:val="none" w:sz="0" w:space="0" w:color="auto"/>
            <w:left w:val="none" w:sz="0" w:space="0" w:color="auto"/>
            <w:bottom w:val="none" w:sz="0" w:space="0" w:color="auto"/>
            <w:right w:val="none" w:sz="0" w:space="0" w:color="auto"/>
          </w:divBdr>
        </w:div>
        <w:div w:id="1578828659">
          <w:marLeft w:val="0"/>
          <w:marRight w:val="0"/>
          <w:marTop w:val="0"/>
          <w:marBottom w:val="0"/>
          <w:divBdr>
            <w:top w:val="none" w:sz="0" w:space="0" w:color="auto"/>
            <w:left w:val="none" w:sz="0" w:space="0" w:color="auto"/>
            <w:bottom w:val="none" w:sz="0" w:space="0" w:color="auto"/>
            <w:right w:val="none" w:sz="0" w:space="0" w:color="auto"/>
          </w:divBdr>
        </w:div>
        <w:div w:id="1328245044">
          <w:marLeft w:val="0"/>
          <w:marRight w:val="0"/>
          <w:marTop w:val="0"/>
          <w:marBottom w:val="0"/>
          <w:divBdr>
            <w:top w:val="none" w:sz="0" w:space="0" w:color="auto"/>
            <w:left w:val="none" w:sz="0" w:space="0" w:color="auto"/>
            <w:bottom w:val="none" w:sz="0" w:space="0" w:color="auto"/>
            <w:right w:val="none" w:sz="0" w:space="0" w:color="auto"/>
          </w:divBdr>
        </w:div>
        <w:div w:id="236089259">
          <w:marLeft w:val="0"/>
          <w:marRight w:val="0"/>
          <w:marTop w:val="0"/>
          <w:marBottom w:val="0"/>
          <w:divBdr>
            <w:top w:val="none" w:sz="0" w:space="0" w:color="auto"/>
            <w:left w:val="none" w:sz="0" w:space="0" w:color="auto"/>
            <w:bottom w:val="none" w:sz="0" w:space="0" w:color="auto"/>
            <w:right w:val="none" w:sz="0" w:space="0" w:color="auto"/>
          </w:divBdr>
        </w:div>
      </w:divsChild>
    </w:div>
    <w:div w:id="601299510">
      <w:bodyDiv w:val="1"/>
      <w:marLeft w:val="0"/>
      <w:marRight w:val="0"/>
      <w:marTop w:val="0"/>
      <w:marBottom w:val="0"/>
      <w:divBdr>
        <w:top w:val="none" w:sz="0" w:space="0" w:color="auto"/>
        <w:left w:val="none" w:sz="0" w:space="0" w:color="auto"/>
        <w:bottom w:val="none" w:sz="0" w:space="0" w:color="auto"/>
        <w:right w:val="none" w:sz="0" w:space="0" w:color="auto"/>
      </w:divBdr>
    </w:div>
    <w:div w:id="784887861">
      <w:bodyDiv w:val="1"/>
      <w:marLeft w:val="0"/>
      <w:marRight w:val="0"/>
      <w:marTop w:val="0"/>
      <w:marBottom w:val="0"/>
      <w:divBdr>
        <w:top w:val="none" w:sz="0" w:space="0" w:color="auto"/>
        <w:left w:val="none" w:sz="0" w:space="0" w:color="auto"/>
        <w:bottom w:val="none" w:sz="0" w:space="0" w:color="auto"/>
        <w:right w:val="none" w:sz="0" w:space="0" w:color="auto"/>
      </w:divBdr>
    </w:div>
    <w:div w:id="852189717">
      <w:bodyDiv w:val="1"/>
      <w:marLeft w:val="0"/>
      <w:marRight w:val="0"/>
      <w:marTop w:val="0"/>
      <w:marBottom w:val="0"/>
      <w:divBdr>
        <w:top w:val="none" w:sz="0" w:space="0" w:color="auto"/>
        <w:left w:val="none" w:sz="0" w:space="0" w:color="auto"/>
        <w:bottom w:val="none" w:sz="0" w:space="0" w:color="auto"/>
        <w:right w:val="none" w:sz="0" w:space="0" w:color="auto"/>
      </w:divBdr>
      <w:divsChild>
        <w:div w:id="1797988689">
          <w:marLeft w:val="0"/>
          <w:marRight w:val="0"/>
          <w:marTop w:val="0"/>
          <w:marBottom w:val="0"/>
          <w:divBdr>
            <w:top w:val="none" w:sz="0" w:space="0" w:color="auto"/>
            <w:left w:val="none" w:sz="0" w:space="0" w:color="auto"/>
            <w:bottom w:val="none" w:sz="0" w:space="0" w:color="auto"/>
            <w:right w:val="none" w:sz="0" w:space="0" w:color="auto"/>
          </w:divBdr>
          <w:divsChild>
            <w:div w:id="1550529419">
              <w:marLeft w:val="0"/>
              <w:marRight w:val="0"/>
              <w:marTop w:val="0"/>
              <w:marBottom w:val="0"/>
              <w:divBdr>
                <w:top w:val="none" w:sz="0" w:space="0" w:color="auto"/>
                <w:left w:val="none" w:sz="0" w:space="0" w:color="auto"/>
                <w:bottom w:val="none" w:sz="0" w:space="0" w:color="auto"/>
                <w:right w:val="none" w:sz="0" w:space="0" w:color="auto"/>
              </w:divBdr>
              <w:divsChild>
                <w:div w:id="1862621062">
                  <w:marLeft w:val="0"/>
                  <w:marRight w:val="0"/>
                  <w:marTop w:val="0"/>
                  <w:marBottom w:val="0"/>
                  <w:divBdr>
                    <w:top w:val="none" w:sz="0" w:space="0" w:color="auto"/>
                    <w:left w:val="none" w:sz="0" w:space="0" w:color="auto"/>
                    <w:bottom w:val="none" w:sz="0" w:space="0" w:color="auto"/>
                    <w:right w:val="none" w:sz="0" w:space="0" w:color="auto"/>
                  </w:divBdr>
                  <w:divsChild>
                    <w:div w:id="1356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5152">
      <w:bodyDiv w:val="1"/>
      <w:marLeft w:val="0"/>
      <w:marRight w:val="0"/>
      <w:marTop w:val="0"/>
      <w:marBottom w:val="0"/>
      <w:divBdr>
        <w:top w:val="none" w:sz="0" w:space="0" w:color="auto"/>
        <w:left w:val="none" w:sz="0" w:space="0" w:color="auto"/>
        <w:bottom w:val="none" w:sz="0" w:space="0" w:color="auto"/>
        <w:right w:val="none" w:sz="0" w:space="0" w:color="auto"/>
      </w:divBdr>
    </w:div>
    <w:div w:id="1137458622">
      <w:bodyDiv w:val="1"/>
      <w:marLeft w:val="0"/>
      <w:marRight w:val="0"/>
      <w:marTop w:val="0"/>
      <w:marBottom w:val="0"/>
      <w:divBdr>
        <w:top w:val="none" w:sz="0" w:space="0" w:color="auto"/>
        <w:left w:val="none" w:sz="0" w:space="0" w:color="auto"/>
        <w:bottom w:val="none" w:sz="0" w:space="0" w:color="auto"/>
        <w:right w:val="none" w:sz="0" w:space="0" w:color="auto"/>
      </w:divBdr>
      <w:divsChild>
        <w:div w:id="557932917">
          <w:marLeft w:val="0"/>
          <w:marRight w:val="0"/>
          <w:marTop w:val="0"/>
          <w:marBottom w:val="0"/>
          <w:divBdr>
            <w:top w:val="none" w:sz="0" w:space="0" w:color="auto"/>
            <w:left w:val="none" w:sz="0" w:space="0" w:color="auto"/>
            <w:bottom w:val="none" w:sz="0" w:space="0" w:color="auto"/>
            <w:right w:val="none" w:sz="0" w:space="0" w:color="auto"/>
          </w:divBdr>
        </w:div>
        <w:div w:id="1724284257">
          <w:marLeft w:val="0"/>
          <w:marRight w:val="0"/>
          <w:marTop w:val="0"/>
          <w:marBottom w:val="0"/>
          <w:divBdr>
            <w:top w:val="none" w:sz="0" w:space="0" w:color="auto"/>
            <w:left w:val="none" w:sz="0" w:space="0" w:color="auto"/>
            <w:bottom w:val="none" w:sz="0" w:space="0" w:color="auto"/>
            <w:right w:val="none" w:sz="0" w:space="0" w:color="auto"/>
          </w:divBdr>
        </w:div>
        <w:div w:id="310328309">
          <w:marLeft w:val="0"/>
          <w:marRight w:val="0"/>
          <w:marTop w:val="0"/>
          <w:marBottom w:val="0"/>
          <w:divBdr>
            <w:top w:val="none" w:sz="0" w:space="0" w:color="auto"/>
            <w:left w:val="none" w:sz="0" w:space="0" w:color="auto"/>
            <w:bottom w:val="none" w:sz="0" w:space="0" w:color="auto"/>
            <w:right w:val="none" w:sz="0" w:space="0" w:color="auto"/>
          </w:divBdr>
        </w:div>
      </w:divsChild>
    </w:div>
    <w:div w:id="1149592522">
      <w:bodyDiv w:val="1"/>
      <w:marLeft w:val="0"/>
      <w:marRight w:val="0"/>
      <w:marTop w:val="0"/>
      <w:marBottom w:val="0"/>
      <w:divBdr>
        <w:top w:val="none" w:sz="0" w:space="0" w:color="auto"/>
        <w:left w:val="none" w:sz="0" w:space="0" w:color="auto"/>
        <w:bottom w:val="none" w:sz="0" w:space="0" w:color="auto"/>
        <w:right w:val="none" w:sz="0" w:space="0" w:color="auto"/>
      </w:divBdr>
    </w:div>
    <w:div w:id="1303656878">
      <w:bodyDiv w:val="1"/>
      <w:marLeft w:val="0"/>
      <w:marRight w:val="0"/>
      <w:marTop w:val="0"/>
      <w:marBottom w:val="0"/>
      <w:divBdr>
        <w:top w:val="none" w:sz="0" w:space="0" w:color="auto"/>
        <w:left w:val="none" w:sz="0" w:space="0" w:color="auto"/>
        <w:bottom w:val="none" w:sz="0" w:space="0" w:color="auto"/>
        <w:right w:val="none" w:sz="0" w:space="0" w:color="auto"/>
      </w:divBdr>
      <w:divsChild>
        <w:div w:id="1198155495">
          <w:marLeft w:val="0"/>
          <w:marRight w:val="0"/>
          <w:marTop w:val="0"/>
          <w:marBottom w:val="0"/>
          <w:divBdr>
            <w:top w:val="none" w:sz="0" w:space="0" w:color="auto"/>
            <w:left w:val="none" w:sz="0" w:space="0" w:color="auto"/>
            <w:bottom w:val="none" w:sz="0" w:space="0" w:color="auto"/>
            <w:right w:val="none" w:sz="0" w:space="0" w:color="auto"/>
          </w:divBdr>
          <w:divsChild>
            <w:div w:id="1840273376">
              <w:marLeft w:val="0"/>
              <w:marRight w:val="0"/>
              <w:marTop w:val="0"/>
              <w:marBottom w:val="0"/>
              <w:divBdr>
                <w:top w:val="none" w:sz="0" w:space="0" w:color="auto"/>
                <w:left w:val="none" w:sz="0" w:space="0" w:color="auto"/>
                <w:bottom w:val="none" w:sz="0" w:space="0" w:color="auto"/>
                <w:right w:val="none" w:sz="0" w:space="0" w:color="auto"/>
              </w:divBdr>
              <w:divsChild>
                <w:div w:id="6155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1704">
      <w:bodyDiv w:val="1"/>
      <w:marLeft w:val="0"/>
      <w:marRight w:val="0"/>
      <w:marTop w:val="0"/>
      <w:marBottom w:val="0"/>
      <w:divBdr>
        <w:top w:val="none" w:sz="0" w:space="0" w:color="auto"/>
        <w:left w:val="none" w:sz="0" w:space="0" w:color="auto"/>
        <w:bottom w:val="none" w:sz="0" w:space="0" w:color="auto"/>
        <w:right w:val="none" w:sz="0" w:space="0" w:color="auto"/>
      </w:divBdr>
      <w:divsChild>
        <w:div w:id="777797618">
          <w:marLeft w:val="0"/>
          <w:marRight w:val="0"/>
          <w:marTop w:val="0"/>
          <w:marBottom w:val="0"/>
          <w:divBdr>
            <w:top w:val="none" w:sz="0" w:space="0" w:color="auto"/>
            <w:left w:val="none" w:sz="0" w:space="0" w:color="auto"/>
            <w:bottom w:val="none" w:sz="0" w:space="0" w:color="auto"/>
            <w:right w:val="none" w:sz="0" w:space="0" w:color="auto"/>
          </w:divBdr>
          <w:divsChild>
            <w:div w:id="1490319203">
              <w:marLeft w:val="0"/>
              <w:marRight w:val="0"/>
              <w:marTop w:val="0"/>
              <w:marBottom w:val="0"/>
              <w:divBdr>
                <w:top w:val="none" w:sz="0" w:space="0" w:color="auto"/>
                <w:left w:val="none" w:sz="0" w:space="0" w:color="auto"/>
                <w:bottom w:val="none" w:sz="0" w:space="0" w:color="auto"/>
                <w:right w:val="none" w:sz="0" w:space="0" w:color="auto"/>
              </w:divBdr>
              <w:divsChild>
                <w:div w:id="13998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18280">
      <w:bodyDiv w:val="1"/>
      <w:marLeft w:val="0"/>
      <w:marRight w:val="0"/>
      <w:marTop w:val="0"/>
      <w:marBottom w:val="0"/>
      <w:divBdr>
        <w:top w:val="none" w:sz="0" w:space="0" w:color="auto"/>
        <w:left w:val="none" w:sz="0" w:space="0" w:color="auto"/>
        <w:bottom w:val="none" w:sz="0" w:space="0" w:color="auto"/>
        <w:right w:val="none" w:sz="0" w:space="0" w:color="auto"/>
      </w:divBdr>
    </w:div>
    <w:div w:id="1599558134">
      <w:bodyDiv w:val="1"/>
      <w:marLeft w:val="0"/>
      <w:marRight w:val="0"/>
      <w:marTop w:val="0"/>
      <w:marBottom w:val="0"/>
      <w:divBdr>
        <w:top w:val="none" w:sz="0" w:space="0" w:color="auto"/>
        <w:left w:val="none" w:sz="0" w:space="0" w:color="auto"/>
        <w:bottom w:val="none" w:sz="0" w:space="0" w:color="auto"/>
        <w:right w:val="none" w:sz="0" w:space="0" w:color="auto"/>
      </w:divBdr>
    </w:div>
    <w:div w:id="1689871305">
      <w:bodyDiv w:val="1"/>
      <w:marLeft w:val="0"/>
      <w:marRight w:val="0"/>
      <w:marTop w:val="0"/>
      <w:marBottom w:val="0"/>
      <w:divBdr>
        <w:top w:val="none" w:sz="0" w:space="0" w:color="auto"/>
        <w:left w:val="none" w:sz="0" w:space="0" w:color="auto"/>
        <w:bottom w:val="none" w:sz="0" w:space="0" w:color="auto"/>
        <w:right w:val="none" w:sz="0" w:space="0" w:color="auto"/>
      </w:divBdr>
      <w:divsChild>
        <w:div w:id="2004161827">
          <w:marLeft w:val="0"/>
          <w:marRight w:val="0"/>
          <w:marTop w:val="0"/>
          <w:marBottom w:val="0"/>
          <w:divBdr>
            <w:top w:val="none" w:sz="0" w:space="0" w:color="auto"/>
            <w:left w:val="none" w:sz="0" w:space="0" w:color="auto"/>
            <w:bottom w:val="none" w:sz="0" w:space="0" w:color="auto"/>
            <w:right w:val="none" w:sz="0" w:space="0" w:color="auto"/>
          </w:divBdr>
        </w:div>
        <w:div w:id="2140412272">
          <w:marLeft w:val="0"/>
          <w:marRight w:val="0"/>
          <w:marTop w:val="0"/>
          <w:marBottom w:val="0"/>
          <w:divBdr>
            <w:top w:val="none" w:sz="0" w:space="0" w:color="auto"/>
            <w:left w:val="none" w:sz="0" w:space="0" w:color="auto"/>
            <w:bottom w:val="none" w:sz="0" w:space="0" w:color="auto"/>
            <w:right w:val="none" w:sz="0" w:space="0" w:color="auto"/>
          </w:divBdr>
        </w:div>
        <w:div w:id="2111923784">
          <w:marLeft w:val="0"/>
          <w:marRight w:val="0"/>
          <w:marTop w:val="0"/>
          <w:marBottom w:val="0"/>
          <w:divBdr>
            <w:top w:val="none" w:sz="0" w:space="0" w:color="auto"/>
            <w:left w:val="none" w:sz="0" w:space="0" w:color="auto"/>
            <w:bottom w:val="none" w:sz="0" w:space="0" w:color="auto"/>
            <w:right w:val="none" w:sz="0" w:space="0" w:color="auto"/>
          </w:divBdr>
        </w:div>
        <w:div w:id="294532568">
          <w:marLeft w:val="0"/>
          <w:marRight w:val="0"/>
          <w:marTop w:val="0"/>
          <w:marBottom w:val="0"/>
          <w:divBdr>
            <w:top w:val="none" w:sz="0" w:space="0" w:color="auto"/>
            <w:left w:val="none" w:sz="0" w:space="0" w:color="auto"/>
            <w:bottom w:val="none" w:sz="0" w:space="0" w:color="auto"/>
            <w:right w:val="none" w:sz="0" w:space="0" w:color="auto"/>
          </w:divBdr>
        </w:div>
        <w:div w:id="747730037">
          <w:marLeft w:val="0"/>
          <w:marRight w:val="0"/>
          <w:marTop w:val="0"/>
          <w:marBottom w:val="0"/>
          <w:divBdr>
            <w:top w:val="none" w:sz="0" w:space="0" w:color="auto"/>
            <w:left w:val="none" w:sz="0" w:space="0" w:color="auto"/>
            <w:bottom w:val="none" w:sz="0" w:space="0" w:color="auto"/>
            <w:right w:val="none" w:sz="0" w:space="0" w:color="auto"/>
          </w:divBdr>
        </w:div>
        <w:div w:id="1236206229">
          <w:marLeft w:val="0"/>
          <w:marRight w:val="0"/>
          <w:marTop w:val="0"/>
          <w:marBottom w:val="0"/>
          <w:divBdr>
            <w:top w:val="none" w:sz="0" w:space="0" w:color="auto"/>
            <w:left w:val="none" w:sz="0" w:space="0" w:color="auto"/>
            <w:bottom w:val="none" w:sz="0" w:space="0" w:color="auto"/>
            <w:right w:val="none" w:sz="0" w:space="0" w:color="auto"/>
          </w:divBdr>
        </w:div>
        <w:div w:id="435440073">
          <w:marLeft w:val="0"/>
          <w:marRight w:val="0"/>
          <w:marTop w:val="0"/>
          <w:marBottom w:val="0"/>
          <w:divBdr>
            <w:top w:val="none" w:sz="0" w:space="0" w:color="auto"/>
            <w:left w:val="none" w:sz="0" w:space="0" w:color="auto"/>
            <w:bottom w:val="none" w:sz="0" w:space="0" w:color="auto"/>
            <w:right w:val="none" w:sz="0" w:space="0" w:color="auto"/>
          </w:divBdr>
        </w:div>
        <w:div w:id="902715328">
          <w:marLeft w:val="0"/>
          <w:marRight w:val="0"/>
          <w:marTop w:val="0"/>
          <w:marBottom w:val="0"/>
          <w:divBdr>
            <w:top w:val="none" w:sz="0" w:space="0" w:color="auto"/>
            <w:left w:val="none" w:sz="0" w:space="0" w:color="auto"/>
            <w:bottom w:val="none" w:sz="0" w:space="0" w:color="auto"/>
            <w:right w:val="none" w:sz="0" w:space="0" w:color="auto"/>
          </w:divBdr>
        </w:div>
        <w:div w:id="170990835">
          <w:marLeft w:val="0"/>
          <w:marRight w:val="0"/>
          <w:marTop w:val="0"/>
          <w:marBottom w:val="0"/>
          <w:divBdr>
            <w:top w:val="none" w:sz="0" w:space="0" w:color="auto"/>
            <w:left w:val="none" w:sz="0" w:space="0" w:color="auto"/>
            <w:bottom w:val="none" w:sz="0" w:space="0" w:color="auto"/>
            <w:right w:val="none" w:sz="0" w:space="0" w:color="auto"/>
          </w:divBdr>
        </w:div>
        <w:div w:id="461926670">
          <w:marLeft w:val="0"/>
          <w:marRight w:val="0"/>
          <w:marTop w:val="0"/>
          <w:marBottom w:val="0"/>
          <w:divBdr>
            <w:top w:val="none" w:sz="0" w:space="0" w:color="auto"/>
            <w:left w:val="none" w:sz="0" w:space="0" w:color="auto"/>
            <w:bottom w:val="none" w:sz="0" w:space="0" w:color="auto"/>
            <w:right w:val="none" w:sz="0" w:space="0" w:color="auto"/>
          </w:divBdr>
        </w:div>
        <w:div w:id="29885904">
          <w:marLeft w:val="0"/>
          <w:marRight w:val="0"/>
          <w:marTop w:val="0"/>
          <w:marBottom w:val="0"/>
          <w:divBdr>
            <w:top w:val="none" w:sz="0" w:space="0" w:color="auto"/>
            <w:left w:val="none" w:sz="0" w:space="0" w:color="auto"/>
            <w:bottom w:val="none" w:sz="0" w:space="0" w:color="auto"/>
            <w:right w:val="none" w:sz="0" w:space="0" w:color="auto"/>
          </w:divBdr>
          <w:divsChild>
            <w:div w:id="1398553089">
              <w:marLeft w:val="0"/>
              <w:marRight w:val="0"/>
              <w:marTop w:val="0"/>
              <w:marBottom w:val="0"/>
              <w:divBdr>
                <w:top w:val="none" w:sz="0" w:space="0" w:color="auto"/>
                <w:left w:val="none" w:sz="0" w:space="0" w:color="auto"/>
                <w:bottom w:val="none" w:sz="0" w:space="0" w:color="auto"/>
                <w:right w:val="none" w:sz="0" w:space="0" w:color="auto"/>
              </w:divBdr>
            </w:div>
            <w:div w:id="1400401835">
              <w:marLeft w:val="0"/>
              <w:marRight w:val="0"/>
              <w:marTop w:val="0"/>
              <w:marBottom w:val="0"/>
              <w:divBdr>
                <w:top w:val="none" w:sz="0" w:space="0" w:color="auto"/>
                <w:left w:val="none" w:sz="0" w:space="0" w:color="auto"/>
                <w:bottom w:val="none" w:sz="0" w:space="0" w:color="auto"/>
                <w:right w:val="none" w:sz="0" w:space="0" w:color="auto"/>
              </w:divBdr>
            </w:div>
            <w:div w:id="606698332">
              <w:marLeft w:val="0"/>
              <w:marRight w:val="0"/>
              <w:marTop w:val="0"/>
              <w:marBottom w:val="0"/>
              <w:divBdr>
                <w:top w:val="none" w:sz="0" w:space="0" w:color="auto"/>
                <w:left w:val="none" w:sz="0" w:space="0" w:color="auto"/>
                <w:bottom w:val="none" w:sz="0" w:space="0" w:color="auto"/>
                <w:right w:val="none" w:sz="0" w:space="0" w:color="auto"/>
              </w:divBdr>
            </w:div>
            <w:div w:id="543907896">
              <w:marLeft w:val="0"/>
              <w:marRight w:val="0"/>
              <w:marTop w:val="0"/>
              <w:marBottom w:val="0"/>
              <w:divBdr>
                <w:top w:val="none" w:sz="0" w:space="0" w:color="auto"/>
                <w:left w:val="none" w:sz="0" w:space="0" w:color="auto"/>
                <w:bottom w:val="none" w:sz="0" w:space="0" w:color="auto"/>
                <w:right w:val="none" w:sz="0" w:space="0" w:color="auto"/>
              </w:divBdr>
            </w:div>
            <w:div w:id="1611276298">
              <w:marLeft w:val="0"/>
              <w:marRight w:val="0"/>
              <w:marTop w:val="0"/>
              <w:marBottom w:val="0"/>
              <w:divBdr>
                <w:top w:val="none" w:sz="0" w:space="0" w:color="auto"/>
                <w:left w:val="none" w:sz="0" w:space="0" w:color="auto"/>
                <w:bottom w:val="none" w:sz="0" w:space="0" w:color="auto"/>
                <w:right w:val="none" w:sz="0" w:space="0" w:color="auto"/>
              </w:divBdr>
            </w:div>
            <w:div w:id="513494007">
              <w:marLeft w:val="0"/>
              <w:marRight w:val="0"/>
              <w:marTop w:val="0"/>
              <w:marBottom w:val="0"/>
              <w:divBdr>
                <w:top w:val="none" w:sz="0" w:space="0" w:color="auto"/>
                <w:left w:val="none" w:sz="0" w:space="0" w:color="auto"/>
                <w:bottom w:val="none" w:sz="0" w:space="0" w:color="auto"/>
                <w:right w:val="none" w:sz="0" w:space="0" w:color="auto"/>
              </w:divBdr>
            </w:div>
            <w:div w:id="1698922353">
              <w:marLeft w:val="0"/>
              <w:marRight w:val="0"/>
              <w:marTop w:val="0"/>
              <w:marBottom w:val="0"/>
              <w:divBdr>
                <w:top w:val="none" w:sz="0" w:space="0" w:color="auto"/>
                <w:left w:val="none" w:sz="0" w:space="0" w:color="auto"/>
                <w:bottom w:val="none" w:sz="0" w:space="0" w:color="auto"/>
                <w:right w:val="none" w:sz="0" w:space="0" w:color="auto"/>
              </w:divBdr>
            </w:div>
            <w:div w:id="827401699">
              <w:marLeft w:val="0"/>
              <w:marRight w:val="0"/>
              <w:marTop w:val="0"/>
              <w:marBottom w:val="0"/>
              <w:divBdr>
                <w:top w:val="none" w:sz="0" w:space="0" w:color="auto"/>
                <w:left w:val="none" w:sz="0" w:space="0" w:color="auto"/>
                <w:bottom w:val="none" w:sz="0" w:space="0" w:color="auto"/>
                <w:right w:val="none" w:sz="0" w:space="0" w:color="auto"/>
              </w:divBdr>
            </w:div>
            <w:div w:id="2071033530">
              <w:marLeft w:val="0"/>
              <w:marRight w:val="0"/>
              <w:marTop w:val="0"/>
              <w:marBottom w:val="0"/>
              <w:divBdr>
                <w:top w:val="none" w:sz="0" w:space="0" w:color="auto"/>
                <w:left w:val="none" w:sz="0" w:space="0" w:color="auto"/>
                <w:bottom w:val="none" w:sz="0" w:space="0" w:color="auto"/>
                <w:right w:val="none" w:sz="0" w:space="0" w:color="auto"/>
              </w:divBdr>
            </w:div>
            <w:div w:id="1943683197">
              <w:marLeft w:val="0"/>
              <w:marRight w:val="0"/>
              <w:marTop w:val="0"/>
              <w:marBottom w:val="0"/>
              <w:divBdr>
                <w:top w:val="none" w:sz="0" w:space="0" w:color="auto"/>
                <w:left w:val="none" w:sz="0" w:space="0" w:color="auto"/>
                <w:bottom w:val="none" w:sz="0" w:space="0" w:color="auto"/>
                <w:right w:val="none" w:sz="0" w:space="0" w:color="auto"/>
              </w:divBdr>
            </w:div>
            <w:div w:id="469714774">
              <w:marLeft w:val="0"/>
              <w:marRight w:val="0"/>
              <w:marTop w:val="0"/>
              <w:marBottom w:val="0"/>
              <w:divBdr>
                <w:top w:val="none" w:sz="0" w:space="0" w:color="auto"/>
                <w:left w:val="none" w:sz="0" w:space="0" w:color="auto"/>
                <w:bottom w:val="none" w:sz="0" w:space="0" w:color="auto"/>
                <w:right w:val="none" w:sz="0" w:space="0" w:color="auto"/>
              </w:divBdr>
            </w:div>
            <w:div w:id="1157962042">
              <w:marLeft w:val="0"/>
              <w:marRight w:val="0"/>
              <w:marTop w:val="0"/>
              <w:marBottom w:val="0"/>
              <w:divBdr>
                <w:top w:val="none" w:sz="0" w:space="0" w:color="auto"/>
                <w:left w:val="none" w:sz="0" w:space="0" w:color="auto"/>
                <w:bottom w:val="none" w:sz="0" w:space="0" w:color="auto"/>
                <w:right w:val="none" w:sz="0" w:space="0" w:color="auto"/>
              </w:divBdr>
            </w:div>
            <w:div w:id="1186015495">
              <w:marLeft w:val="0"/>
              <w:marRight w:val="0"/>
              <w:marTop w:val="0"/>
              <w:marBottom w:val="0"/>
              <w:divBdr>
                <w:top w:val="none" w:sz="0" w:space="0" w:color="auto"/>
                <w:left w:val="none" w:sz="0" w:space="0" w:color="auto"/>
                <w:bottom w:val="none" w:sz="0" w:space="0" w:color="auto"/>
                <w:right w:val="none" w:sz="0" w:space="0" w:color="auto"/>
              </w:divBdr>
            </w:div>
            <w:div w:id="77412308">
              <w:marLeft w:val="0"/>
              <w:marRight w:val="0"/>
              <w:marTop w:val="0"/>
              <w:marBottom w:val="0"/>
              <w:divBdr>
                <w:top w:val="none" w:sz="0" w:space="0" w:color="auto"/>
                <w:left w:val="none" w:sz="0" w:space="0" w:color="auto"/>
                <w:bottom w:val="none" w:sz="0" w:space="0" w:color="auto"/>
                <w:right w:val="none" w:sz="0" w:space="0" w:color="auto"/>
              </w:divBdr>
            </w:div>
            <w:div w:id="1722903416">
              <w:marLeft w:val="0"/>
              <w:marRight w:val="0"/>
              <w:marTop w:val="0"/>
              <w:marBottom w:val="0"/>
              <w:divBdr>
                <w:top w:val="none" w:sz="0" w:space="0" w:color="auto"/>
                <w:left w:val="none" w:sz="0" w:space="0" w:color="auto"/>
                <w:bottom w:val="none" w:sz="0" w:space="0" w:color="auto"/>
                <w:right w:val="none" w:sz="0" w:space="0" w:color="auto"/>
              </w:divBdr>
            </w:div>
            <w:div w:id="2035499903">
              <w:marLeft w:val="0"/>
              <w:marRight w:val="0"/>
              <w:marTop w:val="0"/>
              <w:marBottom w:val="0"/>
              <w:divBdr>
                <w:top w:val="none" w:sz="0" w:space="0" w:color="auto"/>
                <w:left w:val="none" w:sz="0" w:space="0" w:color="auto"/>
                <w:bottom w:val="none" w:sz="0" w:space="0" w:color="auto"/>
                <w:right w:val="none" w:sz="0" w:space="0" w:color="auto"/>
              </w:divBdr>
            </w:div>
          </w:divsChild>
        </w:div>
        <w:div w:id="285740396">
          <w:marLeft w:val="0"/>
          <w:marRight w:val="0"/>
          <w:marTop w:val="0"/>
          <w:marBottom w:val="0"/>
          <w:divBdr>
            <w:top w:val="none" w:sz="0" w:space="0" w:color="auto"/>
            <w:left w:val="none" w:sz="0" w:space="0" w:color="auto"/>
            <w:bottom w:val="none" w:sz="0" w:space="0" w:color="auto"/>
            <w:right w:val="none" w:sz="0" w:space="0" w:color="auto"/>
          </w:divBdr>
        </w:div>
        <w:div w:id="933590070">
          <w:marLeft w:val="0"/>
          <w:marRight w:val="0"/>
          <w:marTop w:val="0"/>
          <w:marBottom w:val="0"/>
          <w:divBdr>
            <w:top w:val="none" w:sz="0" w:space="0" w:color="auto"/>
            <w:left w:val="none" w:sz="0" w:space="0" w:color="auto"/>
            <w:bottom w:val="none" w:sz="0" w:space="0" w:color="auto"/>
            <w:right w:val="none" w:sz="0" w:space="0" w:color="auto"/>
          </w:divBdr>
          <w:divsChild>
            <w:div w:id="1831940344">
              <w:marLeft w:val="0"/>
              <w:marRight w:val="0"/>
              <w:marTop w:val="0"/>
              <w:marBottom w:val="0"/>
              <w:divBdr>
                <w:top w:val="none" w:sz="0" w:space="0" w:color="auto"/>
                <w:left w:val="none" w:sz="0" w:space="0" w:color="auto"/>
                <w:bottom w:val="none" w:sz="0" w:space="0" w:color="auto"/>
                <w:right w:val="none" w:sz="0" w:space="0" w:color="auto"/>
              </w:divBdr>
            </w:div>
            <w:div w:id="1042753714">
              <w:marLeft w:val="0"/>
              <w:marRight w:val="0"/>
              <w:marTop w:val="0"/>
              <w:marBottom w:val="0"/>
              <w:divBdr>
                <w:top w:val="none" w:sz="0" w:space="0" w:color="auto"/>
                <w:left w:val="none" w:sz="0" w:space="0" w:color="auto"/>
                <w:bottom w:val="none" w:sz="0" w:space="0" w:color="auto"/>
                <w:right w:val="none" w:sz="0" w:space="0" w:color="auto"/>
              </w:divBdr>
            </w:div>
            <w:div w:id="1389915574">
              <w:marLeft w:val="0"/>
              <w:marRight w:val="0"/>
              <w:marTop w:val="0"/>
              <w:marBottom w:val="0"/>
              <w:divBdr>
                <w:top w:val="none" w:sz="0" w:space="0" w:color="auto"/>
                <w:left w:val="none" w:sz="0" w:space="0" w:color="auto"/>
                <w:bottom w:val="none" w:sz="0" w:space="0" w:color="auto"/>
                <w:right w:val="none" w:sz="0" w:space="0" w:color="auto"/>
              </w:divBdr>
            </w:div>
            <w:div w:id="347685175">
              <w:marLeft w:val="0"/>
              <w:marRight w:val="0"/>
              <w:marTop w:val="0"/>
              <w:marBottom w:val="0"/>
              <w:divBdr>
                <w:top w:val="none" w:sz="0" w:space="0" w:color="auto"/>
                <w:left w:val="none" w:sz="0" w:space="0" w:color="auto"/>
                <w:bottom w:val="none" w:sz="0" w:space="0" w:color="auto"/>
                <w:right w:val="none" w:sz="0" w:space="0" w:color="auto"/>
              </w:divBdr>
            </w:div>
            <w:div w:id="1789860902">
              <w:marLeft w:val="0"/>
              <w:marRight w:val="0"/>
              <w:marTop w:val="0"/>
              <w:marBottom w:val="0"/>
              <w:divBdr>
                <w:top w:val="none" w:sz="0" w:space="0" w:color="auto"/>
                <w:left w:val="none" w:sz="0" w:space="0" w:color="auto"/>
                <w:bottom w:val="none" w:sz="0" w:space="0" w:color="auto"/>
                <w:right w:val="none" w:sz="0" w:space="0" w:color="auto"/>
              </w:divBdr>
            </w:div>
            <w:div w:id="1947998707">
              <w:marLeft w:val="0"/>
              <w:marRight w:val="0"/>
              <w:marTop w:val="0"/>
              <w:marBottom w:val="0"/>
              <w:divBdr>
                <w:top w:val="none" w:sz="0" w:space="0" w:color="auto"/>
                <w:left w:val="none" w:sz="0" w:space="0" w:color="auto"/>
                <w:bottom w:val="none" w:sz="0" w:space="0" w:color="auto"/>
                <w:right w:val="none" w:sz="0" w:space="0" w:color="auto"/>
              </w:divBdr>
            </w:div>
            <w:div w:id="435175503">
              <w:marLeft w:val="0"/>
              <w:marRight w:val="0"/>
              <w:marTop w:val="0"/>
              <w:marBottom w:val="0"/>
              <w:divBdr>
                <w:top w:val="none" w:sz="0" w:space="0" w:color="auto"/>
                <w:left w:val="none" w:sz="0" w:space="0" w:color="auto"/>
                <w:bottom w:val="none" w:sz="0" w:space="0" w:color="auto"/>
                <w:right w:val="none" w:sz="0" w:space="0" w:color="auto"/>
              </w:divBdr>
            </w:div>
            <w:div w:id="728113961">
              <w:marLeft w:val="0"/>
              <w:marRight w:val="0"/>
              <w:marTop w:val="0"/>
              <w:marBottom w:val="0"/>
              <w:divBdr>
                <w:top w:val="none" w:sz="0" w:space="0" w:color="auto"/>
                <w:left w:val="none" w:sz="0" w:space="0" w:color="auto"/>
                <w:bottom w:val="none" w:sz="0" w:space="0" w:color="auto"/>
                <w:right w:val="none" w:sz="0" w:space="0" w:color="auto"/>
              </w:divBdr>
            </w:div>
            <w:div w:id="2085056627">
              <w:marLeft w:val="0"/>
              <w:marRight w:val="0"/>
              <w:marTop w:val="0"/>
              <w:marBottom w:val="0"/>
              <w:divBdr>
                <w:top w:val="none" w:sz="0" w:space="0" w:color="auto"/>
                <w:left w:val="none" w:sz="0" w:space="0" w:color="auto"/>
                <w:bottom w:val="none" w:sz="0" w:space="0" w:color="auto"/>
                <w:right w:val="none" w:sz="0" w:space="0" w:color="auto"/>
              </w:divBdr>
            </w:div>
            <w:div w:id="235096780">
              <w:marLeft w:val="0"/>
              <w:marRight w:val="0"/>
              <w:marTop w:val="0"/>
              <w:marBottom w:val="0"/>
              <w:divBdr>
                <w:top w:val="none" w:sz="0" w:space="0" w:color="auto"/>
                <w:left w:val="none" w:sz="0" w:space="0" w:color="auto"/>
                <w:bottom w:val="none" w:sz="0" w:space="0" w:color="auto"/>
                <w:right w:val="none" w:sz="0" w:space="0" w:color="auto"/>
              </w:divBdr>
            </w:div>
            <w:div w:id="1054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6152">
      <w:bodyDiv w:val="1"/>
      <w:marLeft w:val="0"/>
      <w:marRight w:val="0"/>
      <w:marTop w:val="0"/>
      <w:marBottom w:val="0"/>
      <w:divBdr>
        <w:top w:val="none" w:sz="0" w:space="0" w:color="auto"/>
        <w:left w:val="none" w:sz="0" w:space="0" w:color="auto"/>
        <w:bottom w:val="none" w:sz="0" w:space="0" w:color="auto"/>
        <w:right w:val="none" w:sz="0" w:space="0" w:color="auto"/>
      </w:divBdr>
      <w:divsChild>
        <w:div w:id="1063681017">
          <w:marLeft w:val="0"/>
          <w:marRight w:val="0"/>
          <w:marTop w:val="0"/>
          <w:marBottom w:val="0"/>
          <w:divBdr>
            <w:top w:val="none" w:sz="0" w:space="0" w:color="auto"/>
            <w:left w:val="none" w:sz="0" w:space="0" w:color="auto"/>
            <w:bottom w:val="none" w:sz="0" w:space="0" w:color="auto"/>
            <w:right w:val="none" w:sz="0" w:space="0" w:color="auto"/>
          </w:divBdr>
        </w:div>
        <w:div w:id="999162315">
          <w:marLeft w:val="0"/>
          <w:marRight w:val="0"/>
          <w:marTop w:val="0"/>
          <w:marBottom w:val="0"/>
          <w:divBdr>
            <w:top w:val="none" w:sz="0" w:space="0" w:color="auto"/>
            <w:left w:val="none" w:sz="0" w:space="0" w:color="auto"/>
            <w:bottom w:val="none" w:sz="0" w:space="0" w:color="auto"/>
            <w:right w:val="none" w:sz="0" w:space="0" w:color="auto"/>
          </w:divBdr>
        </w:div>
        <w:div w:id="1610505442">
          <w:marLeft w:val="0"/>
          <w:marRight w:val="0"/>
          <w:marTop w:val="0"/>
          <w:marBottom w:val="0"/>
          <w:divBdr>
            <w:top w:val="none" w:sz="0" w:space="0" w:color="auto"/>
            <w:left w:val="none" w:sz="0" w:space="0" w:color="auto"/>
            <w:bottom w:val="none" w:sz="0" w:space="0" w:color="auto"/>
            <w:right w:val="none" w:sz="0" w:space="0" w:color="auto"/>
          </w:divBdr>
        </w:div>
        <w:div w:id="1544248323">
          <w:marLeft w:val="0"/>
          <w:marRight w:val="0"/>
          <w:marTop w:val="0"/>
          <w:marBottom w:val="0"/>
          <w:divBdr>
            <w:top w:val="none" w:sz="0" w:space="0" w:color="auto"/>
            <w:left w:val="none" w:sz="0" w:space="0" w:color="auto"/>
            <w:bottom w:val="none" w:sz="0" w:space="0" w:color="auto"/>
            <w:right w:val="none" w:sz="0" w:space="0" w:color="auto"/>
          </w:divBdr>
        </w:div>
        <w:div w:id="2062627652">
          <w:marLeft w:val="0"/>
          <w:marRight w:val="0"/>
          <w:marTop w:val="0"/>
          <w:marBottom w:val="0"/>
          <w:divBdr>
            <w:top w:val="none" w:sz="0" w:space="0" w:color="auto"/>
            <w:left w:val="none" w:sz="0" w:space="0" w:color="auto"/>
            <w:bottom w:val="none" w:sz="0" w:space="0" w:color="auto"/>
            <w:right w:val="none" w:sz="0" w:space="0" w:color="auto"/>
          </w:divBdr>
        </w:div>
        <w:div w:id="1519780355">
          <w:marLeft w:val="0"/>
          <w:marRight w:val="0"/>
          <w:marTop w:val="0"/>
          <w:marBottom w:val="0"/>
          <w:divBdr>
            <w:top w:val="none" w:sz="0" w:space="0" w:color="auto"/>
            <w:left w:val="none" w:sz="0" w:space="0" w:color="auto"/>
            <w:bottom w:val="none" w:sz="0" w:space="0" w:color="auto"/>
            <w:right w:val="none" w:sz="0" w:space="0" w:color="auto"/>
          </w:divBdr>
        </w:div>
        <w:div w:id="799568816">
          <w:marLeft w:val="0"/>
          <w:marRight w:val="0"/>
          <w:marTop w:val="0"/>
          <w:marBottom w:val="0"/>
          <w:divBdr>
            <w:top w:val="none" w:sz="0" w:space="0" w:color="auto"/>
            <w:left w:val="none" w:sz="0" w:space="0" w:color="auto"/>
            <w:bottom w:val="none" w:sz="0" w:space="0" w:color="auto"/>
            <w:right w:val="none" w:sz="0" w:space="0" w:color="auto"/>
          </w:divBdr>
        </w:div>
        <w:div w:id="1618297682">
          <w:marLeft w:val="0"/>
          <w:marRight w:val="0"/>
          <w:marTop w:val="0"/>
          <w:marBottom w:val="0"/>
          <w:divBdr>
            <w:top w:val="none" w:sz="0" w:space="0" w:color="auto"/>
            <w:left w:val="none" w:sz="0" w:space="0" w:color="auto"/>
            <w:bottom w:val="none" w:sz="0" w:space="0" w:color="auto"/>
            <w:right w:val="none" w:sz="0" w:space="0" w:color="auto"/>
          </w:divBdr>
        </w:div>
        <w:div w:id="1072198533">
          <w:marLeft w:val="0"/>
          <w:marRight w:val="0"/>
          <w:marTop w:val="0"/>
          <w:marBottom w:val="0"/>
          <w:divBdr>
            <w:top w:val="none" w:sz="0" w:space="0" w:color="auto"/>
            <w:left w:val="none" w:sz="0" w:space="0" w:color="auto"/>
            <w:bottom w:val="none" w:sz="0" w:space="0" w:color="auto"/>
            <w:right w:val="none" w:sz="0" w:space="0" w:color="auto"/>
          </w:divBdr>
        </w:div>
        <w:div w:id="1518037196">
          <w:marLeft w:val="0"/>
          <w:marRight w:val="0"/>
          <w:marTop w:val="0"/>
          <w:marBottom w:val="0"/>
          <w:divBdr>
            <w:top w:val="none" w:sz="0" w:space="0" w:color="auto"/>
            <w:left w:val="none" w:sz="0" w:space="0" w:color="auto"/>
            <w:bottom w:val="none" w:sz="0" w:space="0" w:color="auto"/>
            <w:right w:val="none" w:sz="0" w:space="0" w:color="auto"/>
          </w:divBdr>
        </w:div>
        <w:div w:id="630326780">
          <w:marLeft w:val="0"/>
          <w:marRight w:val="0"/>
          <w:marTop w:val="0"/>
          <w:marBottom w:val="0"/>
          <w:divBdr>
            <w:top w:val="none" w:sz="0" w:space="0" w:color="auto"/>
            <w:left w:val="none" w:sz="0" w:space="0" w:color="auto"/>
            <w:bottom w:val="none" w:sz="0" w:space="0" w:color="auto"/>
            <w:right w:val="none" w:sz="0" w:space="0" w:color="auto"/>
          </w:divBdr>
          <w:divsChild>
            <w:div w:id="48920029">
              <w:marLeft w:val="0"/>
              <w:marRight w:val="0"/>
              <w:marTop w:val="0"/>
              <w:marBottom w:val="0"/>
              <w:divBdr>
                <w:top w:val="none" w:sz="0" w:space="0" w:color="auto"/>
                <w:left w:val="none" w:sz="0" w:space="0" w:color="auto"/>
                <w:bottom w:val="none" w:sz="0" w:space="0" w:color="auto"/>
                <w:right w:val="none" w:sz="0" w:space="0" w:color="auto"/>
              </w:divBdr>
            </w:div>
            <w:div w:id="1491750563">
              <w:marLeft w:val="0"/>
              <w:marRight w:val="0"/>
              <w:marTop w:val="0"/>
              <w:marBottom w:val="0"/>
              <w:divBdr>
                <w:top w:val="none" w:sz="0" w:space="0" w:color="auto"/>
                <w:left w:val="none" w:sz="0" w:space="0" w:color="auto"/>
                <w:bottom w:val="none" w:sz="0" w:space="0" w:color="auto"/>
                <w:right w:val="none" w:sz="0" w:space="0" w:color="auto"/>
              </w:divBdr>
            </w:div>
            <w:div w:id="1948929673">
              <w:marLeft w:val="0"/>
              <w:marRight w:val="0"/>
              <w:marTop w:val="0"/>
              <w:marBottom w:val="0"/>
              <w:divBdr>
                <w:top w:val="none" w:sz="0" w:space="0" w:color="auto"/>
                <w:left w:val="none" w:sz="0" w:space="0" w:color="auto"/>
                <w:bottom w:val="none" w:sz="0" w:space="0" w:color="auto"/>
                <w:right w:val="none" w:sz="0" w:space="0" w:color="auto"/>
              </w:divBdr>
            </w:div>
            <w:div w:id="1858764766">
              <w:marLeft w:val="0"/>
              <w:marRight w:val="0"/>
              <w:marTop w:val="0"/>
              <w:marBottom w:val="0"/>
              <w:divBdr>
                <w:top w:val="none" w:sz="0" w:space="0" w:color="auto"/>
                <w:left w:val="none" w:sz="0" w:space="0" w:color="auto"/>
                <w:bottom w:val="none" w:sz="0" w:space="0" w:color="auto"/>
                <w:right w:val="none" w:sz="0" w:space="0" w:color="auto"/>
              </w:divBdr>
            </w:div>
            <w:div w:id="595288708">
              <w:marLeft w:val="0"/>
              <w:marRight w:val="0"/>
              <w:marTop w:val="0"/>
              <w:marBottom w:val="0"/>
              <w:divBdr>
                <w:top w:val="none" w:sz="0" w:space="0" w:color="auto"/>
                <w:left w:val="none" w:sz="0" w:space="0" w:color="auto"/>
                <w:bottom w:val="none" w:sz="0" w:space="0" w:color="auto"/>
                <w:right w:val="none" w:sz="0" w:space="0" w:color="auto"/>
              </w:divBdr>
            </w:div>
            <w:div w:id="2123332237">
              <w:marLeft w:val="0"/>
              <w:marRight w:val="0"/>
              <w:marTop w:val="0"/>
              <w:marBottom w:val="0"/>
              <w:divBdr>
                <w:top w:val="none" w:sz="0" w:space="0" w:color="auto"/>
                <w:left w:val="none" w:sz="0" w:space="0" w:color="auto"/>
                <w:bottom w:val="none" w:sz="0" w:space="0" w:color="auto"/>
                <w:right w:val="none" w:sz="0" w:space="0" w:color="auto"/>
              </w:divBdr>
            </w:div>
            <w:div w:id="453329789">
              <w:marLeft w:val="0"/>
              <w:marRight w:val="0"/>
              <w:marTop w:val="0"/>
              <w:marBottom w:val="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
            <w:div w:id="522474911">
              <w:marLeft w:val="0"/>
              <w:marRight w:val="0"/>
              <w:marTop w:val="0"/>
              <w:marBottom w:val="0"/>
              <w:divBdr>
                <w:top w:val="none" w:sz="0" w:space="0" w:color="auto"/>
                <w:left w:val="none" w:sz="0" w:space="0" w:color="auto"/>
                <w:bottom w:val="none" w:sz="0" w:space="0" w:color="auto"/>
                <w:right w:val="none" w:sz="0" w:space="0" w:color="auto"/>
              </w:divBdr>
            </w:div>
            <w:div w:id="1420130061">
              <w:marLeft w:val="0"/>
              <w:marRight w:val="0"/>
              <w:marTop w:val="0"/>
              <w:marBottom w:val="0"/>
              <w:divBdr>
                <w:top w:val="none" w:sz="0" w:space="0" w:color="auto"/>
                <w:left w:val="none" w:sz="0" w:space="0" w:color="auto"/>
                <w:bottom w:val="none" w:sz="0" w:space="0" w:color="auto"/>
                <w:right w:val="none" w:sz="0" w:space="0" w:color="auto"/>
              </w:divBdr>
            </w:div>
            <w:div w:id="1271933377">
              <w:marLeft w:val="0"/>
              <w:marRight w:val="0"/>
              <w:marTop w:val="0"/>
              <w:marBottom w:val="0"/>
              <w:divBdr>
                <w:top w:val="none" w:sz="0" w:space="0" w:color="auto"/>
                <w:left w:val="none" w:sz="0" w:space="0" w:color="auto"/>
                <w:bottom w:val="none" w:sz="0" w:space="0" w:color="auto"/>
                <w:right w:val="none" w:sz="0" w:space="0" w:color="auto"/>
              </w:divBdr>
            </w:div>
            <w:div w:id="1678269998">
              <w:marLeft w:val="0"/>
              <w:marRight w:val="0"/>
              <w:marTop w:val="0"/>
              <w:marBottom w:val="0"/>
              <w:divBdr>
                <w:top w:val="none" w:sz="0" w:space="0" w:color="auto"/>
                <w:left w:val="none" w:sz="0" w:space="0" w:color="auto"/>
                <w:bottom w:val="none" w:sz="0" w:space="0" w:color="auto"/>
                <w:right w:val="none" w:sz="0" w:space="0" w:color="auto"/>
              </w:divBdr>
            </w:div>
            <w:div w:id="987829368">
              <w:marLeft w:val="0"/>
              <w:marRight w:val="0"/>
              <w:marTop w:val="0"/>
              <w:marBottom w:val="0"/>
              <w:divBdr>
                <w:top w:val="none" w:sz="0" w:space="0" w:color="auto"/>
                <w:left w:val="none" w:sz="0" w:space="0" w:color="auto"/>
                <w:bottom w:val="none" w:sz="0" w:space="0" w:color="auto"/>
                <w:right w:val="none" w:sz="0" w:space="0" w:color="auto"/>
              </w:divBdr>
            </w:div>
            <w:div w:id="1271083251">
              <w:marLeft w:val="0"/>
              <w:marRight w:val="0"/>
              <w:marTop w:val="0"/>
              <w:marBottom w:val="0"/>
              <w:divBdr>
                <w:top w:val="none" w:sz="0" w:space="0" w:color="auto"/>
                <w:left w:val="none" w:sz="0" w:space="0" w:color="auto"/>
                <w:bottom w:val="none" w:sz="0" w:space="0" w:color="auto"/>
                <w:right w:val="none" w:sz="0" w:space="0" w:color="auto"/>
              </w:divBdr>
            </w:div>
            <w:div w:id="1921862364">
              <w:marLeft w:val="0"/>
              <w:marRight w:val="0"/>
              <w:marTop w:val="0"/>
              <w:marBottom w:val="0"/>
              <w:divBdr>
                <w:top w:val="none" w:sz="0" w:space="0" w:color="auto"/>
                <w:left w:val="none" w:sz="0" w:space="0" w:color="auto"/>
                <w:bottom w:val="none" w:sz="0" w:space="0" w:color="auto"/>
                <w:right w:val="none" w:sz="0" w:space="0" w:color="auto"/>
              </w:divBdr>
            </w:div>
            <w:div w:id="152528631">
              <w:marLeft w:val="0"/>
              <w:marRight w:val="0"/>
              <w:marTop w:val="0"/>
              <w:marBottom w:val="0"/>
              <w:divBdr>
                <w:top w:val="none" w:sz="0" w:space="0" w:color="auto"/>
                <w:left w:val="none" w:sz="0" w:space="0" w:color="auto"/>
                <w:bottom w:val="none" w:sz="0" w:space="0" w:color="auto"/>
                <w:right w:val="none" w:sz="0" w:space="0" w:color="auto"/>
              </w:divBdr>
            </w:div>
          </w:divsChild>
        </w:div>
        <w:div w:id="431894749">
          <w:marLeft w:val="0"/>
          <w:marRight w:val="0"/>
          <w:marTop w:val="0"/>
          <w:marBottom w:val="0"/>
          <w:divBdr>
            <w:top w:val="none" w:sz="0" w:space="0" w:color="auto"/>
            <w:left w:val="none" w:sz="0" w:space="0" w:color="auto"/>
            <w:bottom w:val="none" w:sz="0" w:space="0" w:color="auto"/>
            <w:right w:val="none" w:sz="0" w:space="0" w:color="auto"/>
          </w:divBdr>
        </w:div>
        <w:div w:id="96603286">
          <w:marLeft w:val="0"/>
          <w:marRight w:val="0"/>
          <w:marTop w:val="0"/>
          <w:marBottom w:val="0"/>
          <w:divBdr>
            <w:top w:val="none" w:sz="0" w:space="0" w:color="auto"/>
            <w:left w:val="none" w:sz="0" w:space="0" w:color="auto"/>
            <w:bottom w:val="none" w:sz="0" w:space="0" w:color="auto"/>
            <w:right w:val="none" w:sz="0" w:space="0" w:color="auto"/>
          </w:divBdr>
          <w:divsChild>
            <w:div w:id="504439971">
              <w:marLeft w:val="0"/>
              <w:marRight w:val="0"/>
              <w:marTop w:val="0"/>
              <w:marBottom w:val="0"/>
              <w:divBdr>
                <w:top w:val="none" w:sz="0" w:space="0" w:color="auto"/>
                <w:left w:val="none" w:sz="0" w:space="0" w:color="auto"/>
                <w:bottom w:val="none" w:sz="0" w:space="0" w:color="auto"/>
                <w:right w:val="none" w:sz="0" w:space="0" w:color="auto"/>
              </w:divBdr>
            </w:div>
            <w:div w:id="27686622">
              <w:marLeft w:val="0"/>
              <w:marRight w:val="0"/>
              <w:marTop w:val="0"/>
              <w:marBottom w:val="0"/>
              <w:divBdr>
                <w:top w:val="none" w:sz="0" w:space="0" w:color="auto"/>
                <w:left w:val="none" w:sz="0" w:space="0" w:color="auto"/>
                <w:bottom w:val="none" w:sz="0" w:space="0" w:color="auto"/>
                <w:right w:val="none" w:sz="0" w:space="0" w:color="auto"/>
              </w:divBdr>
            </w:div>
            <w:div w:id="1145898682">
              <w:marLeft w:val="0"/>
              <w:marRight w:val="0"/>
              <w:marTop w:val="0"/>
              <w:marBottom w:val="0"/>
              <w:divBdr>
                <w:top w:val="none" w:sz="0" w:space="0" w:color="auto"/>
                <w:left w:val="none" w:sz="0" w:space="0" w:color="auto"/>
                <w:bottom w:val="none" w:sz="0" w:space="0" w:color="auto"/>
                <w:right w:val="none" w:sz="0" w:space="0" w:color="auto"/>
              </w:divBdr>
            </w:div>
            <w:div w:id="308245386">
              <w:marLeft w:val="0"/>
              <w:marRight w:val="0"/>
              <w:marTop w:val="0"/>
              <w:marBottom w:val="0"/>
              <w:divBdr>
                <w:top w:val="none" w:sz="0" w:space="0" w:color="auto"/>
                <w:left w:val="none" w:sz="0" w:space="0" w:color="auto"/>
                <w:bottom w:val="none" w:sz="0" w:space="0" w:color="auto"/>
                <w:right w:val="none" w:sz="0" w:space="0" w:color="auto"/>
              </w:divBdr>
            </w:div>
            <w:div w:id="720908899">
              <w:marLeft w:val="0"/>
              <w:marRight w:val="0"/>
              <w:marTop w:val="0"/>
              <w:marBottom w:val="0"/>
              <w:divBdr>
                <w:top w:val="none" w:sz="0" w:space="0" w:color="auto"/>
                <w:left w:val="none" w:sz="0" w:space="0" w:color="auto"/>
                <w:bottom w:val="none" w:sz="0" w:space="0" w:color="auto"/>
                <w:right w:val="none" w:sz="0" w:space="0" w:color="auto"/>
              </w:divBdr>
            </w:div>
            <w:div w:id="384063544">
              <w:marLeft w:val="0"/>
              <w:marRight w:val="0"/>
              <w:marTop w:val="0"/>
              <w:marBottom w:val="0"/>
              <w:divBdr>
                <w:top w:val="none" w:sz="0" w:space="0" w:color="auto"/>
                <w:left w:val="none" w:sz="0" w:space="0" w:color="auto"/>
                <w:bottom w:val="none" w:sz="0" w:space="0" w:color="auto"/>
                <w:right w:val="none" w:sz="0" w:space="0" w:color="auto"/>
              </w:divBdr>
            </w:div>
            <w:div w:id="160512241">
              <w:marLeft w:val="0"/>
              <w:marRight w:val="0"/>
              <w:marTop w:val="0"/>
              <w:marBottom w:val="0"/>
              <w:divBdr>
                <w:top w:val="none" w:sz="0" w:space="0" w:color="auto"/>
                <w:left w:val="none" w:sz="0" w:space="0" w:color="auto"/>
                <w:bottom w:val="none" w:sz="0" w:space="0" w:color="auto"/>
                <w:right w:val="none" w:sz="0" w:space="0" w:color="auto"/>
              </w:divBdr>
            </w:div>
            <w:div w:id="148713521">
              <w:marLeft w:val="0"/>
              <w:marRight w:val="0"/>
              <w:marTop w:val="0"/>
              <w:marBottom w:val="0"/>
              <w:divBdr>
                <w:top w:val="none" w:sz="0" w:space="0" w:color="auto"/>
                <w:left w:val="none" w:sz="0" w:space="0" w:color="auto"/>
                <w:bottom w:val="none" w:sz="0" w:space="0" w:color="auto"/>
                <w:right w:val="none" w:sz="0" w:space="0" w:color="auto"/>
              </w:divBdr>
            </w:div>
            <w:div w:id="1508011283">
              <w:marLeft w:val="0"/>
              <w:marRight w:val="0"/>
              <w:marTop w:val="0"/>
              <w:marBottom w:val="0"/>
              <w:divBdr>
                <w:top w:val="none" w:sz="0" w:space="0" w:color="auto"/>
                <w:left w:val="none" w:sz="0" w:space="0" w:color="auto"/>
                <w:bottom w:val="none" w:sz="0" w:space="0" w:color="auto"/>
                <w:right w:val="none" w:sz="0" w:space="0" w:color="auto"/>
              </w:divBdr>
            </w:div>
            <w:div w:id="527446614">
              <w:marLeft w:val="0"/>
              <w:marRight w:val="0"/>
              <w:marTop w:val="0"/>
              <w:marBottom w:val="0"/>
              <w:divBdr>
                <w:top w:val="none" w:sz="0" w:space="0" w:color="auto"/>
                <w:left w:val="none" w:sz="0" w:space="0" w:color="auto"/>
                <w:bottom w:val="none" w:sz="0" w:space="0" w:color="auto"/>
                <w:right w:val="none" w:sz="0" w:space="0" w:color="auto"/>
              </w:divBdr>
            </w:div>
            <w:div w:id="551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4230">
      <w:bodyDiv w:val="1"/>
      <w:marLeft w:val="0"/>
      <w:marRight w:val="0"/>
      <w:marTop w:val="0"/>
      <w:marBottom w:val="0"/>
      <w:divBdr>
        <w:top w:val="none" w:sz="0" w:space="0" w:color="auto"/>
        <w:left w:val="none" w:sz="0" w:space="0" w:color="auto"/>
        <w:bottom w:val="none" w:sz="0" w:space="0" w:color="auto"/>
        <w:right w:val="none" w:sz="0" w:space="0" w:color="auto"/>
      </w:divBdr>
    </w:div>
    <w:div w:id="2056074821">
      <w:bodyDiv w:val="1"/>
      <w:marLeft w:val="0"/>
      <w:marRight w:val="0"/>
      <w:marTop w:val="0"/>
      <w:marBottom w:val="0"/>
      <w:divBdr>
        <w:top w:val="none" w:sz="0" w:space="0" w:color="auto"/>
        <w:left w:val="none" w:sz="0" w:space="0" w:color="auto"/>
        <w:bottom w:val="none" w:sz="0" w:space="0" w:color="auto"/>
        <w:right w:val="none" w:sz="0" w:space="0" w:color="auto"/>
      </w:divBdr>
      <w:divsChild>
        <w:div w:id="196704878">
          <w:marLeft w:val="0"/>
          <w:marRight w:val="0"/>
          <w:marTop w:val="0"/>
          <w:marBottom w:val="0"/>
          <w:divBdr>
            <w:top w:val="none" w:sz="0" w:space="0" w:color="auto"/>
            <w:left w:val="none" w:sz="0" w:space="0" w:color="auto"/>
            <w:bottom w:val="none" w:sz="0" w:space="0" w:color="auto"/>
            <w:right w:val="none" w:sz="0" w:space="0" w:color="auto"/>
          </w:divBdr>
          <w:divsChild>
            <w:div w:id="1041857278">
              <w:marLeft w:val="0"/>
              <w:marRight w:val="0"/>
              <w:marTop w:val="0"/>
              <w:marBottom w:val="0"/>
              <w:divBdr>
                <w:top w:val="none" w:sz="0" w:space="0" w:color="auto"/>
                <w:left w:val="none" w:sz="0" w:space="0" w:color="auto"/>
                <w:bottom w:val="none" w:sz="0" w:space="0" w:color="auto"/>
                <w:right w:val="none" w:sz="0" w:space="0" w:color="auto"/>
              </w:divBdr>
              <w:divsChild>
                <w:div w:id="14368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4027">
      <w:bodyDiv w:val="1"/>
      <w:marLeft w:val="0"/>
      <w:marRight w:val="0"/>
      <w:marTop w:val="0"/>
      <w:marBottom w:val="0"/>
      <w:divBdr>
        <w:top w:val="none" w:sz="0" w:space="0" w:color="auto"/>
        <w:left w:val="none" w:sz="0" w:space="0" w:color="auto"/>
        <w:bottom w:val="none" w:sz="0" w:space="0" w:color="auto"/>
        <w:right w:val="none" w:sz="0" w:space="0" w:color="auto"/>
      </w:divBdr>
    </w:div>
    <w:div w:id="2097091094">
      <w:bodyDiv w:val="1"/>
      <w:marLeft w:val="0"/>
      <w:marRight w:val="0"/>
      <w:marTop w:val="0"/>
      <w:marBottom w:val="0"/>
      <w:divBdr>
        <w:top w:val="none" w:sz="0" w:space="0" w:color="auto"/>
        <w:left w:val="none" w:sz="0" w:space="0" w:color="auto"/>
        <w:bottom w:val="none" w:sz="0" w:space="0" w:color="auto"/>
        <w:right w:val="none" w:sz="0" w:space="0" w:color="auto"/>
      </w:divBdr>
    </w:div>
    <w:div w:id="21120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wava.org.au/2019/04/15/blog/10million-for-specialised-fvservices-why-are-womens-safety-advocates-so-concerned"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wava.org.au/2018/09/03/submissions/submission-to-the-consultation-on-the-development-of-the-national-plan-on-elder-abuse?doing_wp_cron=1554780805.7734129428863525390625" TargetMode="External"/><Relationship Id="rId7" Type="http://schemas.openxmlformats.org/officeDocument/2006/relationships/endnotes" Target="endnotes.xml"/><Relationship Id="rId12" Type="http://schemas.openxmlformats.org/officeDocument/2006/relationships/hyperlink" Target="https://awava.org.au/2019/02/11/media-release/awava-statement-78-million?doing_wp_cron=1554854466.8224658966064453125000"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wava.org.au/2018/11/16/submissions/submission-to-the-inquiry-into-the-federal-circuit-and-family-court-of-australia-consequential-amendments-and-transitional-provision-bill-2018-and-federal-circuit-and-family-court-of-australia-bill?doing_wp_cron=1554778672.8222460746765136718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s://awava.org.au/2018/10/08/uncategorized/position-paper-fourth-action-plan?doing_wp_cron=1554265010.0306921005249023437500" TargetMode="External"/><Relationship Id="rId19" Type="http://schemas.openxmlformats.org/officeDocument/2006/relationships/hyperlink" Target="https://awava.org.au/2018/09/03/submissions/submission-to-the-consultation-on-the-development-of-the-national-plan-on-elder-abuse?doing_wp_cron=1554865888.3336880207061767578125" TargetMode="External"/><Relationship Id="rId4" Type="http://schemas.openxmlformats.org/officeDocument/2006/relationships/settings" Target="settings.xml"/><Relationship Id="rId9" Type="http://schemas.openxmlformats.org/officeDocument/2006/relationships/hyperlink" Target="https://awava.org.au/2019/03/06/media-release/awava-response-to-our-investment-in-womens-safety-package?doing_wp_cron=1554259688.7029290199279785156250" TargetMode="External"/><Relationship Id="rId14" Type="http://schemas.openxmlformats.org/officeDocument/2006/relationships/hyperlink" Target="https://www.dss.gov.au/sites/default/files/documents/03_2019/our-investment-womens-safety-5-march-2019.pdf" TargetMode="External"/><Relationship Id="rId22" Type="http://schemas.openxmlformats.org/officeDocument/2006/relationships/hyperlink" Target="https://www.ag.gov.au/RightsAndProtections/protecting-the-rights-of-older-australians/Documents/National-plan-to-respond-to-the-abuse-of-older-australians-elde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ttorneygeneral.gov.au/Media/Pages/Additional-funding-for-Family-Violence-support-services-18-december-2018.aspx" TargetMode="External"/><Relationship Id="rId13" Type="http://schemas.openxmlformats.org/officeDocument/2006/relationships/hyperlink" Target="https://www.budget.gov.au/2019-20/content/download/essentials.pdf" TargetMode="External"/><Relationship Id="rId18" Type="http://schemas.openxmlformats.org/officeDocument/2006/relationships/hyperlink" Target="https://www.lawcouncil.asn.au/media/news/proposed-merger-of-the-family-court-of-australia-and-federal-circuit-court" TargetMode="External"/><Relationship Id="rId3" Type="http://schemas.openxmlformats.org/officeDocument/2006/relationships/hyperlink" Target="https://awava.org.au/2018/12/11/research-and-reports/path-to-nowhere-report-women-on-temporary-visas-experiencing-violence-and-their-children?doing_wp_cron=1555039382.2883679866790771484375" TargetMode="External"/><Relationship Id="rId21" Type="http://schemas.openxmlformats.org/officeDocument/2006/relationships/hyperlink" Target="https://www.communications.gov.au/departmental-news/keeping-our-kids-safe-online" TargetMode="External"/><Relationship Id="rId7" Type="http://schemas.openxmlformats.org/officeDocument/2006/relationships/hyperlink" Target="https://infrastructure.gov.au/department/statements/2019_2020/ministerial-statement/files/Building-stronger-regional-communities-2019-2020.pdf" TargetMode="External"/><Relationship Id="rId12" Type="http://schemas.openxmlformats.org/officeDocument/2006/relationships/hyperlink" Target="http://www.naclc.org.au/resources/190403%20NACLCFederalBudgetMediaReleaseFinal.pdf?fbclid=IwAR14z2lKlMhZDLi4qIEw1iLv0n3UY-MJOMipNMHTOyKvZtnW3ACCdWnVNBo" TargetMode="External"/><Relationship Id="rId17" Type="http://schemas.openxmlformats.org/officeDocument/2006/relationships/hyperlink" Target="http://www.wlsa.org.au/media_releases/wlsa_urges_government_to_extend_reporting_period_before_dismantling_family_court" TargetMode="External"/><Relationship Id="rId2" Type="http://schemas.openxmlformats.org/officeDocument/2006/relationships/hyperlink" Target="https://www.ourwatch.org.au/What-We-Do/Counting-on-change-A-guide-to-prevention-monitorin" TargetMode="External"/><Relationship Id="rId16" Type="http://schemas.openxmlformats.org/officeDocument/2006/relationships/hyperlink" Target="http://www.wlsa.org.au/media_releases/specialisation_in_family_law_integral_to_women_and_childrens_safety_-_23_august_2018" TargetMode="External"/><Relationship Id="rId20" Type="http://schemas.openxmlformats.org/officeDocument/2006/relationships/hyperlink" Target="https://ministers.dss.gov.au/media-releases/4736" TargetMode="External"/><Relationship Id="rId1" Type="http://schemas.openxmlformats.org/officeDocument/2006/relationships/hyperlink" Target="https://awava.org.au/2018/10/08/uncategorized/position-paper-fourth-action-plan?doing_wp_cron=1554265010.0306921005249023437500" TargetMode="External"/><Relationship Id="rId6" Type="http://schemas.openxmlformats.org/officeDocument/2006/relationships/hyperlink" Target="https://awava.org.au/2019/02/15/submissions/submission-in-response-to-the-public-consultation-on-the-review-of-early-release-of-superannuation-benefits?doing_wp_cron=1554854017.4550290107727050781250" TargetMode="External"/><Relationship Id="rId11" Type="http://schemas.openxmlformats.org/officeDocument/2006/relationships/hyperlink" Target="https://www.ag.gov.au/LegalSystem/Legalaidprogrammes/Pages/Specialist-domestic-violence-assistance.aspx" TargetMode="External"/><Relationship Id="rId5" Type="http://schemas.openxmlformats.org/officeDocument/2006/relationships/hyperlink" Target="https://www.pmc.gov.au/sites/default/files/publications/womens-economic-security-statement-2018.pdf" TargetMode="External"/><Relationship Id="rId15" Type="http://schemas.openxmlformats.org/officeDocument/2006/relationships/hyperlink" Target="https://www.aph.gov.au/Parliamentary_Business/Bills_LEGislation/Bills_Search_Results/Result?bId=r6167" TargetMode="External"/><Relationship Id="rId10" Type="http://schemas.openxmlformats.org/officeDocument/2006/relationships/hyperlink" Target="https://www.ag.gov.au/FamiliesAndMarriage/Families/Pages/supporting-women-to-recover-financially-after-separation.aspx" TargetMode="External"/><Relationship Id="rId19" Type="http://schemas.openxmlformats.org/officeDocument/2006/relationships/hyperlink" Target="https://www.dss.gov.au/sites/default/files/documents/04_2019/pbs-fact-sheet-fourth-action-planifwi89m.pdf" TargetMode="External"/><Relationship Id="rId4" Type="http://schemas.openxmlformats.org/officeDocument/2006/relationships/hyperlink" Target="http://www.nationalfvpls.org/images/files/20190402_National_FVPLS_Federal_Budget_2019-20_MR.pdf" TargetMode="External"/><Relationship Id="rId9" Type="http://schemas.openxmlformats.org/officeDocument/2006/relationships/hyperlink" Target="https://infrastructure.gov.au/department/statements/2019_2020/ministerial-statement/files/Building-stronger-regional-communities-2019-2020.pdf" TargetMode="External"/><Relationship Id="rId14" Type="http://schemas.openxmlformats.org/officeDocument/2006/relationships/hyperlink" Target="http://www.fedcourt.gov.au/about/corporate-information/corporate-plan/corporat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8ECD-D8D3-FC41-AC21-2759B22D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5614</Words>
  <Characters>34471</Characters>
  <Application>Microsoft Office Word</Application>
  <DocSecurity>0</DocSecurity>
  <Lines>689</Lines>
  <Paragraphs>320</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tina.n.dixson@gmail.com</cp:lastModifiedBy>
  <cp:revision>4</cp:revision>
  <dcterms:created xsi:type="dcterms:W3CDTF">2019-04-12T03:35:00Z</dcterms:created>
  <dcterms:modified xsi:type="dcterms:W3CDTF">2019-04-15T01:29:00Z</dcterms:modified>
</cp:coreProperties>
</file>