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7D759" w14:textId="5481E406" w:rsidR="00842B66" w:rsidRPr="000B633C" w:rsidRDefault="00842B66" w:rsidP="00842B66">
      <w:pPr>
        <w:tabs>
          <w:tab w:val="left" w:pos="6136"/>
        </w:tabs>
        <w:jc w:val="left"/>
      </w:pPr>
      <w:r w:rsidRPr="000B633C">
        <w:t>Early Release Review</w:t>
      </w:r>
      <w:r w:rsidR="007156EF">
        <w:t xml:space="preserve">, </w:t>
      </w:r>
      <w:r w:rsidRPr="000B633C">
        <w:t>Retirement Income Policy Division</w:t>
      </w:r>
      <w:r w:rsidRPr="000B633C">
        <w:br/>
      </w:r>
      <w:proofErr w:type="gramStart"/>
      <w:r w:rsidRPr="000B633C">
        <w:t>The</w:t>
      </w:r>
      <w:proofErr w:type="gramEnd"/>
      <w:r w:rsidRPr="000B633C">
        <w:t xml:space="preserve"> Treasury</w:t>
      </w:r>
      <w:r w:rsidRPr="000B633C">
        <w:br/>
        <w:t>Australian Government</w:t>
      </w:r>
      <w:r w:rsidRPr="000B633C">
        <w:br/>
        <w:t xml:space="preserve">By email: </w:t>
      </w:r>
      <w:hyperlink r:id="rId8" w:history="1">
        <w:r w:rsidRPr="000B633C">
          <w:rPr>
            <w:rStyle w:val="Hyperlink"/>
          </w:rPr>
          <w:t>superannuation@treasury.gov.au</w:t>
        </w:r>
      </w:hyperlink>
      <w:r w:rsidRPr="000B633C">
        <w:t xml:space="preserve"> </w:t>
      </w:r>
    </w:p>
    <w:p w14:paraId="36D09426" w14:textId="2FA35D08" w:rsidR="00FF67BE" w:rsidRPr="000B633C" w:rsidRDefault="00842B66" w:rsidP="00842B66">
      <w:pPr>
        <w:tabs>
          <w:tab w:val="left" w:pos="6136"/>
        </w:tabs>
        <w:spacing w:line="276" w:lineRule="auto"/>
        <w:jc w:val="left"/>
        <w:rPr>
          <w:lang w:val="en-US"/>
        </w:rPr>
      </w:pPr>
      <w:r w:rsidRPr="000B633C">
        <w:rPr>
          <w:lang w:val="en-US"/>
        </w:rPr>
        <w:t xml:space="preserve">Date: </w:t>
      </w:r>
      <w:r w:rsidR="00FF67BE" w:rsidRPr="000B633C">
        <w:rPr>
          <w:lang w:val="en-US"/>
        </w:rPr>
        <w:t>14 February 2019</w:t>
      </w:r>
    </w:p>
    <w:p w14:paraId="00A79194" w14:textId="77777777" w:rsidR="00842B66" w:rsidRPr="00842B66" w:rsidRDefault="00842B66" w:rsidP="00842B66">
      <w:pPr>
        <w:spacing w:before="120" w:after="120"/>
        <w:contextualSpacing/>
        <w:jc w:val="left"/>
        <w:rPr>
          <w:rFonts w:ascii="Calibri Light" w:eastAsia="Times New Roman" w:hAnsi="Calibri Light" w:cs="Calibri Light"/>
          <w:b/>
          <w:spacing w:val="-10"/>
          <w:kern w:val="28"/>
          <w:lang w:val="en-US" w:eastAsia="en-US"/>
        </w:rPr>
      </w:pPr>
    </w:p>
    <w:p w14:paraId="5A054584" w14:textId="77777777" w:rsidR="00842B66" w:rsidRDefault="00842B66" w:rsidP="00842B66">
      <w:pPr>
        <w:spacing w:before="120" w:after="120"/>
        <w:contextualSpacing/>
        <w:jc w:val="center"/>
        <w:rPr>
          <w:rFonts w:ascii="Calibri Light" w:eastAsia="Times New Roman" w:hAnsi="Calibri Light" w:cs="Calibri Light"/>
          <w:b/>
          <w:spacing w:val="-10"/>
          <w:kern w:val="28"/>
          <w:sz w:val="32"/>
          <w:szCs w:val="28"/>
          <w:lang w:val="en-US" w:eastAsia="en-US"/>
        </w:rPr>
      </w:pPr>
      <w:r w:rsidRPr="00E70BCD">
        <w:rPr>
          <w:rFonts w:ascii="Calibri Light" w:eastAsia="Times New Roman" w:hAnsi="Calibri Light" w:cs="Calibri Light"/>
          <w:b/>
          <w:spacing w:val="-10"/>
          <w:kern w:val="28"/>
          <w:sz w:val="32"/>
          <w:szCs w:val="28"/>
          <w:lang w:val="en-US" w:eastAsia="en-US"/>
        </w:rPr>
        <w:t xml:space="preserve">Submission in </w:t>
      </w:r>
      <w:r>
        <w:rPr>
          <w:rFonts w:ascii="Calibri Light" w:eastAsia="Times New Roman" w:hAnsi="Calibri Light" w:cs="Calibri Light"/>
          <w:b/>
          <w:spacing w:val="-10"/>
          <w:kern w:val="28"/>
          <w:sz w:val="32"/>
          <w:szCs w:val="28"/>
          <w:lang w:val="en-US" w:eastAsia="en-US"/>
        </w:rPr>
        <w:t xml:space="preserve">response to the public consultation </w:t>
      </w:r>
    </w:p>
    <w:p w14:paraId="09EFCF22" w14:textId="6B55EA2A" w:rsidR="00842B66" w:rsidRPr="00E70BCD" w:rsidRDefault="00842B66" w:rsidP="00842B66">
      <w:pPr>
        <w:spacing w:before="120" w:after="120"/>
        <w:contextualSpacing/>
        <w:jc w:val="center"/>
        <w:rPr>
          <w:rFonts w:ascii="Calibri Light" w:eastAsia="Times New Roman" w:hAnsi="Calibri Light" w:cs="Calibri Light"/>
          <w:b/>
          <w:spacing w:val="-10"/>
          <w:kern w:val="28"/>
          <w:sz w:val="32"/>
          <w:szCs w:val="28"/>
          <w:lang w:val="en-AU" w:eastAsia="en-AU"/>
        </w:rPr>
      </w:pPr>
      <w:r>
        <w:rPr>
          <w:rFonts w:ascii="Calibri Light" w:eastAsia="Times New Roman" w:hAnsi="Calibri Light" w:cs="Calibri Light"/>
          <w:b/>
          <w:spacing w:val="-10"/>
          <w:kern w:val="28"/>
          <w:sz w:val="32"/>
          <w:szCs w:val="28"/>
          <w:lang w:val="en-US" w:eastAsia="en-US"/>
        </w:rPr>
        <w:t xml:space="preserve">on the review of early release of superannuation benefits </w:t>
      </w:r>
    </w:p>
    <w:p w14:paraId="4FEA0858" w14:textId="68961220" w:rsidR="00842B66" w:rsidRDefault="00842B66" w:rsidP="00842B66">
      <w:pPr>
        <w:spacing w:before="120" w:after="120"/>
        <w:rPr>
          <w:lang w:val="en-US"/>
        </w:rPr>
      </w:pPr>
      <w:r w:rsidRPr="00842B66">
        <w:rPr>
          <w:rFonts w:ascii="Calibri Light" w:eastAsia="Calibri" w:hAnsi="Calibri Light" w:cs="Calibri Light"/>
          <w:lang w:val="en-AU" w:eastAsia="en-US"/>
        </w:rPr>
        <w:t xml:space="preserve">Thank-you for the opportunity to make a submission in response to the public consultation on the review of early release of superannuation benefits. </w:t>
      </w:r>
      <w:r>
        <w:rPr>
          <w:lang w:val="en-US"/>
        </w:rPr>
        <w:t>We have made a submission</w:t>
      </w:r>
      <w:r w:rsidR="0029644A">
        <w:rPr>
          <w:rStyle w:val="FootnoteReference"/>
          <w:lang w:val="en-US"/>
        </w:rPr>
        <w:footnoteReference w:id="1"/>
      </w:r>
      <w:r>
        <w:rPr>
          <w:lang w:val="en-US"/>
        </w:rPr>
        <w:t xml:space="preserve"> to the previous </w:t>
      </w:r>
      <w:r w:rsidR="003F79BC">
        <w:rPr>
          <w:lang w:val="en-US"/>
        </w:rPr>
        <w:t>consultation</w:t>
      </w:r>
      <w:r>
        <w:rPr>
          <w:lang w:val="en-US"/>
        </w:rPr>
        <w:t xml:space="preserve"> and </w:t>
      </w:r>
      <w:r w:rsidR="003F79BC">
        <w:rPr>
          <w:lang w:val="en-US"/>
        </w:rPr>
        <w:t xml:space="preserve">are pleased </w:t>
      </w:r>
      <w:r>
        <w:rPr>
          <w:lang w:val="en-US"/>
        </w:rPr>
        <w:t>to see some of our concerns reflected in the issues paper. We would like to provide further input in relation to the early release of superannuation in situations of family violence.</w:t>
      </w:r>
    </w:p>
    <w:p w14:paraId="7BD96B0C" w14:textId="6F477ACB" w:rsidR="00FE3CBE" w:rsidRPr="00842B66" w:rsidRDefault="00FE3CBE" w:rsidP="00842B66">
      <w:pPr>
        <w:spacing w:before="120" w:after="120"/>
        <w:rPr>
          <w:rFonts w:ascii="Calibri Light" w:eastAsia="Calibri" w:hAnsi="Calibri Light" w:cs="Calibri Light"/>
          <w:lang w:val="en-AU" w:eastAsia="en-US"/>
        </w:rPr>
      </w:pPr>
      <w:r>
        <w:rPr>
          <w:lang w:val="en-US"/>
        </w:rPr>
        <w:t xml:space="preserve">In addition, AWAVA endorses </w:t>
      </w:r>
      <w:r w:rsidR="006E47AC">
        <w:rPr>
          <w:lang w:val="en-US"/>
        </w:rPr>
        <w:t>the</w:t>
      </w:r>
      <w:r>
        <w:rPr>
          <w:lang w:val="en-US"/>
        </w:rPr>
        <w:t xml:space="preserve"> submission made by Domestic Violence Victoria to this consultation. </w:t>
      </w:r>
    </w:p>
    <w:p w14:paraId="4ECAAD71" w14:textId="77777777" w:rsidR="00842B66" w:rsidRPr="00842B66" w:rsidRDefault="00842B66" w:rsidP="00842B66">
      <w:pPr>
        <w:pStyle w:val="Heading3"/>
        <w:rPr>
          <w:rFonts w:eastAsia="Times New Roman"/>
          <w:szCs w:val="22"/>
          <w:lang w:eastAsia="en-US"/>
        </w:rPr>
      </w:pPr>
      <w:r w:rsidRPr="00842B66">
        <w:rPr>
          <w:rFonts w:eastAsia="Times New Roman"/>
          <w:szCs w:val="22"/>
          <w:lang w:eastAsia="en-US"/>
        </w:rPr>
        <w:t xml:space="preserve">About Australian Women Against Violence Alliance </w:t>
      </w:r>
    </w:p>
    <w:p w14:paraId="506C9F7E" w14:textId="6A2417A1" w:rsidR="00842B66" w:rsidRPr="00842B66" w:rsidRDefault="00842B66" w:rsidP="00842B66">
      <w:pPr>
        <w:spacing w:before="120" w:after="120"/>
        <w:rPr>
          <w:rFonts w:ascii="Calibri Light" w:eastAsia="Calibri" w:hAnsi="Calibri Light" w:cs="Calibri Light"/>
          <w:lang w:val="en-AU" w:eastAsia="en-US"/>
        </w:rPr>
      </w:pPr>
      <w:r w:rsidRPr="00842B66">
        <w:rPr>
          <w:rFonts w:ascii="Calibri Light" w:eastAsia="Calibri" w:hAnsi="Calibri Light" w:cs="Calibri Light"/>
          <w:lang w:val="en-AU" w:eastAsia="en-US"/>
        </w:rPr>
        <w:t xml:space="preserve">Australian Women Against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w:t>
      </w:r>
      <w:r w:rsidR="003F79BC">
        <w:rPr>
          <w:rFonts w:ascii="Calibri Light" w:eastAsia="Calibri" w:hAnsi="Calibri Light" w:cs="Calibri Light"/>
          <w:lang w:val="en-AU" w:eastAsia="en-US"/>
        </w:rPr>
        <w:t xml:space="preserve">services working with women in the sex industry, </w:t>
      </w:r>
      <w:r w:rsidRPr="00842B66">
        <w:rPr>
          <w:rFonts w:ascii="Calibri Light" w:eastAsia="Calibri" w:hAnsi="Calibri Light" w:cs="Calibri Light"/>
          <w:lang w:val="en-AU" w:eastAsia="en-US"/>
        </w:rPr>
        <w:t>and women’s legal services, as well as organisations representing Aboriginal and Torres Strait Islander women</w:t>
      </w:r>
      <w:r w:rsidR="003F79BC">
        <w:rPr>
          <w:rFonts w:ascii="Calibri Light" w:eastAsia="Calibri" w:hAnsi="Calibri Light" w:cs="Calibri Light"/>
          <w:lang w:val="en-AU" w:eastAsia="en-US"/>
        </w:rPr>
        <w:t xml:space="preserve">, young women, women educators </w:t>
      </w:r>
      <w:r w:rsidRPr="00842B66">
        <w:rPr>
          <w:rFonts w:ascii="Calibri Light" w:eastAsia="Calibri" w:hAnsi="Calibri Light" w:cs="Calibri Light"/>
          <w:lang w:val="en-AU" w:eastAsia="en-US"/>
        </w:rPr>
        <w:t>and other groups. AWAVA's contract manager is the Women's Services Network (WESNET).</w:t>
      </w:r>
    </w:p>
    <w:p w14:paraId="0312ECF7" w14:textId="5EC11F03" w:rsidR="000B633C" w:rsidRDefault="000B633C" w:rsidP="003364C7">
      <w:pPr>
        <w:pStyle w:val="Heading3"/>
      </w:pPr>
      <w:r>
        <w:t>Summary of Recommendations:</w:t>
      </w:r>
    </w:p>
    <w:p w14:paraId="4E16B711" w14:textId="77777777" w:rsidR="000B633C" w:rsidRPr="000B633C" w:rsidRDefault="000B633C" w:rsidP="000B633C">
      <w:pPr>
        <w:pStyle w:val="ListParagraph"/>
        <w:numPr>
          <w:ilvl w:val="0"/>
          <w:numId w:val="8"/>
        </w:numPr>
        <w:spacing w:before="120" w:after="120"/>
        <w:ind w:left="0" w:firstLine="0"/>
        <w:rPr>
          <w:lang w:val="en-US"/>
        </w:rPr>
      </w:pPr>
      <w:r w:rsidRPr="000B633C">
        <w:rPr>
          <w:lang w:val="en-US"/>
        </w:rPr>
        <w:t>That the Australian Government pursue agreement through COAG that all States and Territories will implement flexible financial support programs for victims/survivors along the lines of the Victorian model;</w:t>
      </w:r>
    </w:p>
    <w:p w14:paraId="5879EA88" w14:textId="77777777" w:rsidR="000B633C" w:rsidRPr="000B633C" w:rsidRDefault="000B633C" w:rsidP="000B633C">
      <w:pPr>
        <w:pStyle w:val="ListParagraph"/>
        <w:numPr>
          <w:ilvl w:val="0"/>
          <w:numId w:val="8"/>
        </w:numPr>
        <w:spacing w:before="120" w:after="120"/>
        <w:ind w:left="0" w:firstLine="0"/>
        <w:rPr>
          <w:rFonts w:cstheme="majorHAnsi"/>
          <w:lang w:val="en-AU"/>
        </w:rPr>
      </w:pPr>
      <w:r w:rsidRPr="000B633C">
        <w:rPr>
          <w:lang w:val="en-US"/>
        </w:rPr>
        <w:t xml:space="preserve">That these programs be co-designed with specialist women’s services and domestic, family and sexual violence peak bodies and underpinned by a set of agreed principles, including that </w:t>
      </w:r>
      <w:r w:rsidRPr="000B633C">
        <w:rPr>
          <w:rFonts w:cstheme="majorHAnsi"/>
          <w:lang w:val="en-AU"/>
        </w:rPr>
        <w:t>models for implementation in each jurisdiction limit the reporting requirements, maximise flexibility for individual victims/survivors and services, and include funding for case management within an integrated system focused where possible on enabling women and their children to remain in their own homes.</w:t>
      </w:r>
    </w:p>
    <w:p w14:paraId="79B24AD3" w14:textId="77777777" w:rsidR="000B633C" w:rsidRPr="000B633C" w:rsidRDefault="000B633C" w:rsidP="000B633C">
      <w:pPr>
        <w:pStyle w:val="ListParagraph"/>
        <w:numPr>
          <w:ilvl w:val="0"/>
          <w:numId w:val="8"/>
        </w:numPr>
        <w:spacing w:before="120" w:after="120"/>
        <w:ind w:left="0" w:firstLine="0"/>
        <w:rPr>
          <w:rFonts w:cstheme="minorHAnsi"/>
          <w:color w:val="000000"/>
        </w:rPr>
      </w:pPr>
      <w:r w:rsidRPr="000B633C">
        <w:rPr>
          <w:rFonts w:cstheme="minorHAnsi"/>
          <w:color w:val="000000"/>
        </w:rPr>
        <w:t xml:space="preserve">Amend and simplify evidentiary requirements to provide one piece of evidence regardless whether of judiciary or non-judiciary nature while accessing an early release of superannuation benefits. </w:t>
      </w:r>
    </w:p>
    <w:p w14:paraId="20DAEF38" w14:textId="77777777" w:rsidR="000B633C" w:rsidRPr="000B633C" w:rsidRDefault="000B633C" w:rsidP="000B633C">
      <w:pPr>
        <w:pStyle w:val="ListParagraph"/>
        <w:numPr>
          <w:ilvl w:val="0"/>
          <w:numId w:val="8"/>
        </w:numPr>
        <w:spacing w:before="120" w:after="120"/>
        <w:ind w:left="0" w:firstLine="0"/>
        <w:rPr>
          <w:lang w:val="en-US"/>
        </w:rPr>
      </w:pPr>
      <w:r w:rsidRPr="000B633C">
        <w:rPr>
          <w:lang w:val="en-US"/>
        </w:rPr>
        <w:t xml:space="preserve">Ensure that comprehensive training on the nature and dynamics of domestic and family violence is provided to all relevant Regulator employees. </w:t>
      </w:r>
    </w:p>
    <w:p w14:paraId="6B8C9FA7" w14:textId="02DD6907" w:rsidR="00842B66" w:rsidRDefault="003364C7" w:rsidP="003364C7">
      <w:pPr>
        <w:pStyle w:val="Heading3"/>
      </w:pPr>
      <w:r>
        <w:lastRenderedPageBreak/>
        <w:t xml:space="preserve">General Comments </w:t>
      </w:r>
    </w:p>
    <w:p w14:paraId="0E24C78A" w14:textId="2B900C96" w:rsidR="00525D61" w:rsidRDefault="00FF67BE" w:rsidP="004D6AE4">
      <w:pPr>
        <w:spacing w:before="120" w:after="120"/>
        <w:rPr>
          <w:lang w:val="en-US"/>
        </w:rPr>
      </w:pPr>
      <w:r>
        <w:rPr>
          <w:lang w:val="en-US"/>
        </w:rPr>
        <w:t xml:space="preserve">AWAVA </w:t>
      </w:r>
      <w:r w:rsidR="00E62CBF">
        <w:rPr>
          <w:lang w:val="en-US"/>
        </w:rPr>
        <w:t>wishes to</w:t>
      </w:r>
      <w:r>
        <w:rPr>
          <w:lang w:val="en-US"/>
        </w:rPr>
        <w:t xml:space="preserve"> reiterate that victims/survivors should not have to rely on their personal savings to rebuild their lives affected by violence. While we </w:t>
      </w:r>
      <w:r w:rsidR="00B342C0">
        <w:rPr>
          <w:lang w:val="en-US"/>
        </w:rPr>
        <w:t>acknowledge that the Review proposes that “</w:t>
      </w:r>
      <w:r w:rsidR="00B342C0" w:rsidRPr="00B342C0">
        <w:rPr>
          <w:lang w:val="en-US"/>
        </w:rPr>
        <w:t xml:space="preserve">the early release of superannuation regime </w:t>
      </w:r>
      <w:r w:rsidR="003364C7">
        <w:rPr>
          <w:lang w:val="en-US"/>
        </w:rPr>
        <w:t>[</w:t>
      </w:r>
      <w:r w:rsidR="006E47AC">
        <w:rPr>
          <w:lang w:val="en-US"/>
        </w:rPr>
        <w:t>i</w:t>
      </w:r>
      <w:r w:rsidR="003364C7">
        <w:rPr>
          <w:lang w:val="en-US"/>
        </w:rPr>
        <w:t>s]</w:t>
      </w:r>
      <w:r w:rsidR="003364C7" w:rsidRPr="00B342C0">
        <w:rPr>
          <w:lang w:val="en-US"/>
        </w:rPr>
        <w:t xml:space="preserve"> </w:t>
      </w:r>
      <w:r w:rsidR="00B342C0" w:rsidRPr="00B342C0">
        <w:rPr>
          <w:lang w:val="en-US"/>
        </w:rPr>
        <w:t>not intended to be a substitute for adequate government support</w:t>
      </w:r>
      <w:r w:rsidR="00B342C0">
        <w:rPr>
          <w:lang w:val="en-US"/>
        </w:rPr>
        <w:t>”</w:t>
      </w:r>
      <w:r w:rsidR="0029644A">
        <w:rPr>
          <w:rStyle w:val="FootnoteReference"/>
          <w:lang w:val="en-US"/>
        </w:rPr>
        <w:footnoteReference w:id="2"/>
      </w:r>
      <w:r>
        <w:rPr>
          <w:lang w:val="en-US"/>
        </w:rPr>
        <w:t xml:space="preserve">, and </w:t>
      </w:r>
      <w:r w:rsidR="006E47AC">
        <w:rPr>
          <w:lang w:val="en-US"/>
        </w:rPr>
        <w:t xml:space="preserve">that there is some support for </w:t>
      </w:r>
      <w:r>
        <w:rPr>
          <w:lang w:val="en-US"/>
        </w:rPr>
        <w:t xml:space="preserve">these proposals among the sector, we strongly believe that </w:t>
      </w:r>
      <w:r w:rsidR="00E62CBF">
        <w:rPr>
          <w:lang w:val="en-US"/>
        </w:rPr>
        <w:t>these proposals</w:t>
      </w:r>
      <w:r>
        <w:rPr>
          <w:lang w:val="en-US"/>
        </w:rPr>
        <w:t xml:space="preserve"> signal </w:t>
      </w:r>
      <w:r w:rsidR="00E62CBF">
        <w:rPr>
          <w:lang w:val="en-US"/>
        </w:rPr>
        <w:t>a shift of responsibility from government response</w:t>
      </w:r>
      <w:r w:rsidR="006E47AC">
        <w:rPr>
          <w:lang w:val="en-US"/>
        </w:rPr>
        <w:t>s</w:t>
      </w:r>
      <w:r w:rsidR="00E62CBF">
        <w:rPr>
          <w:lang w:val="en-US"/>
        </w:rPr>
        <w:t xml:space="preserve"> onto </w:t>
      </w:r>
      <w:r w:rsidR="006E47AC">
        <w:rPr>
          <w:lang w:val="en-US"/>
        </w:rPr>
        <w:t xml:space="preserve">the </w:t>
      </w:r>
      <w:r w:rsidR="00E62CBF">
        <w:rPr>
          <w:lang w:val="en-US"/>
        </w:rPr>
        <w:t>individual.</w:t>
      </w:r>
      <w:r>
        <w:rPr>
          <w:lang w:val="en-US"/>
        </w:rPr>
        <w:t xml:space="preserve"> </w:t>
      </w:r>
      <w:r w:rsidR="006E47AC">
        <w:rPr>
          <w:lang w:val="en-US"/>
        </w:rPr>
        <w:t xml:space="preserve">The proposals therefore appear to shift the </w:t>
      </w:r>
      <w:r>
        <w:rPr>
          <w:lang w:val="en-US"/>
        </w:rPr>
        <w:t>onus of rebuilding one’s life after family violence on</w:t>
      </w:r>
      <w:r w:rsidR="006E47AC">
        <w:rPr>
          <w:lang w:val="en-US"/>
        </w:rPr>
        <w:t>to</w:t>
      </w:r>
      <w:r>
        <w:rPr>
          <w:lang w:val="en-US"/>
        </w:rPr>
        <w:t xml:space="preserve"> </w:t>
      </w:r>
      <w:r w:rsidR="006E47AC">
        <w:rPr>
          <w:lang w:val="en-US"/>
        </w:rPr>
        <w:t xml:space="preserve">the </w:t>
      </w:r>
      <w:r>
        <w:rPr>
          <w:lang w:val="en-US"/>
        </w:rPr>
        <w:t xml:space="preserve">victim/survivor. This </w:t>
      </w:r>
      <w:r w:rsidR="006E47AC">
        <w:rPr>
          <w:lang w:val="en-US"/>
        </w:rPr>
        <w:t xml:space="preserve">reinforces </w:t>
      </w:r>
      <w:r>
        <w:rPr>
          <w:lang w:val="en-US"/>
        </w:rPr>
        <w:t>outdate</w:t>
      </w:r>
      <w:r w:rsidR="006E47AC">
        <w:rPr>
          <w:lang w:val="en-US"/>
        </w:rPr>
        <w:t>d</w:t>
      </w:r>
      <w:r>
        <w:rPr>
          <w:lang w:val="en-US"/>
        </w:rPr>
        <w:t xml:space="preserve"> stereotypes </w:t>
      </w:r>
      <w:r w:rsidR="006E47AC">
        <w:rPr>
          <w:lang w:val="en-US"/>
        </w:rPr>
        <w:t xml:space="preserve">about </w:t>
      </w:r>
      <w:r>
        <w:rPr>
          <w:lang w:val="en-US"/>
        </w:rPr>
        <w:t xml:space="preserve">family violence being a private issue rather than being a government responsibility to ensure </w:t>
      </w:r>
      <w:r w:rsidR="006E47AC">
        <w:rPr>
          <w:lang w:val="en-US"/>
        </w:rPr>
        <w:t xml:space="preserve">the </w:t>
      </w:r>
      <w:r>
        <w:rPr>
          <w:lang w:val="en-US"/>
        </w:rPr>
        <w:t xml:space="preserve">safety of all women in Australia. </w:t>
      </w:r>
    </w:p>
    <w:p w14:paraId="5B8E10B8" w14:textId="2FA608B9" w:rsidR="00525D61" w:rsidRDefault="00525D61" w:rsidP="004D6AE4">
      <w:pPr>
        <w:spacing w:before="120" w:after="120"/>
        <w:rPr>
          <w:lang w:val="en-US"/>
        </w:rPr>
      </w:pPr>
      <w:r>
        <w:rPr>
          <w:lang w:val="en-US"/>
        </w:rPr>
        <w:t xml:space="preserve">We are concerned that in </w:t>
      </w:r>
      <w:r w:rsidR="006E47AC">
        <w:rPr>
          <w:lang w:val="en-US"/>
        </w:rPr>
        <w:t xml:space="preserve">an </w:t>
      </w:r>
      <w:r>
        <w:rPr>
          <w:lang w:val="en-US"/>
        </w:rPr>
        <w:t>environment where women are earning</w:t>
      </w:r>
      <w:r w:rsidR="00E62CBF">
        <w:rPr>
          <w:lang w:val="en-US"/>
        </w:rPr>
        <w:t xml:space="preserve"> less</w:t>
      </w:r>
      <w:r>
        <w:rPr>
          <w:lang w:val="en-US"/>
        </w:rPr>
        <w:t xml:space="preserve"> and retiring with less money than men and are subjected to financial abuse in the context of family and post separation (for instance, through protracted legal battles in the Family </w:t>
      </w:r>
      <w:r w:rsidR="003F79BC">
        <w:rPr>
          <w:lang w:val="en-US"/>
        </w:rPr>
        <w:t>C</w:t>
      </w:r>
      <w:r>
        <w:rPr>
          <w:lang w:val="en-US"/>
        </w:rPr>
        <w:t>ourts especially with abus</w:t>
      </w:r>
      <w:r w:rsidR="006E47AC">
        <w:rPr>
          <w:lang w:val="en-US"/>
        </w:rPr>
        <w:t>ive</w:t>
      </w:r>
      <w:r>
        <w:rPr>
          <w:lang w:val="en-US"/>
        </w:rPr>
        <w:t xml:space="preserve"> partners lodging claims without merit), proposals to further </w:t>
      </w:r>
      <w:r w:rsidR="006E47AC">
        <w:rPr>
          <w:lang w:val="en-US"/>
        </w:rPr>
        <w:t xml:space="preserve">rely on </w:t>
      </w:r>
      <w:r>
        <w:rPr>
          <w:lang w:val="en-US"/>
        </w:rPr>
        <w:t>personal savings do not provide long-term solution</w:t>
      </w:r>
      <w:r w:rsidR="00E62CBF">
        <w:rPr>
          <w:lang w:val="en-US"/>
        </w:rPr>
        <w:t>s</w:t>
      </w:r>
      <w:r>
        <w:rPr>
          <w:lang w:val="en-US"/>
        </w:rPr>
        <w:t xml:space="preserve"> and recovery for victims/survivors. </w:t>
      </w:r>
    </w:p>
    <w:p w14:paraId="29BFF804" w14:textId="4C0F5C9E" w:rsidR="008A246B" w:rsidRDefault="00525D61" w:rsidP="00BA4DA3">
      <w:pPr>
        <w:spacing w:before="120" w:after="120"/>
      </w:pPr>
      <w:r>
        <w:rPr>
          <w:lang w:val="en-US"/>
        </w:rPr>
        <w:t xml:space="preserve">In addition, </w:t>
      </w:r>
      <w:r w:rsidR="006E47AC">
        <w:rPr>
          <w:lang w:val="en-US"/>
        </w:rPr>
        <w:t xml:space="preserve">regarding the </w:t>
      </w:r>
      <w:r>
        <w:rPr>
          <w:lang w:val="en-US"/>
        </w:rPr>
        <w:t xml:space="preserve">gender gap in superannuation savings, it is important to note that </w:t>
      </w:r>
      <w:r w:rsidR="008428B8">
        <w:rPr>
          <w:lang w:val="en-US"/>
        </w:rPr>
        <w:t>women from culturally and linguistically diverse backgroun</w:t>
      </w:r>
      <w:r w:rsidR="00772281">
        <w:rPr>
          <w:lang w:val="en-US"/>
        </w:rPr>
        <w:t>ds may not have access to “</w:t>
      </w:r>
      <w:r w:rsidR="00772281">
        <w:t xml:space="preserve">the full benefits of superannuation because they are mostly in casual and precarious work, and </w:t>
      </w:r>
      <w:r w:rsidR="003F79BC">
        <w:t xml:space="preserve">are </w:t>
      </w:r>
      <w:r w:rsidR="00772281">
        <w:t>often in and out of work due to family responsibilities and/or lack of available jobs.”</w:t>
      </w:r>
      <w:r w:rsidR="00772281">
        <w:rPr>
          <w:rStyle w:val="FootnoteReference"/>
        </w:rPr>
        <w:footnoteReference w:id="3"/>
      </w:r>
      <w:r w:rsidR="00772281">
        <w:t xml:space="preserve"> Other barriers exist such as language, recognition of prior qualifications,</w:t>
      </w:r>
      <w:r w:rsidR="006E47AC">
        <w:t xml:space="preserve"> and</w:t>
      </w:r>
      <w:r w:rsidR="00772281">
        <w:t xml:space="preserve"> access to transport. Women who are on temporary visas and are experiencing violence may not have any superannuation savings at all given the restrictions on work rights, </w:t>
      </w:r>
      <w:r w:rsidR="006E47AC">
        <w:t xml:space="preserve">the </w:t>
      </w:r>
      <w:r w:rsidR="00772281">
        <w:t xml:space="preserve">nature of their visas or simply </w:t>
      </w:r>
      <w:r w:rsidR="006E47AC">
        <w:t xml:space="preserve">their </w:t>
      </w:r>
      <w:r w:rsidR="00772281">
        <w:t xml:space="preserve">lack of employment. </w:t>
      </w:r>
      <w:r w:rsidR="008A246B">
        <w:t xml:space="preserve">In this regard, these cohorts of women are </w:t>
      </w:r>
      <w:r w:rsidR="006E47AC">
        <w:t xml:space="preserve">unlikely to </w:t>
      </w:r>
      <w:r w:rsidR="008A246B">
        <w:t xml:space="preserve">benefit </w:t>
      </w:r>
      <w:r w:rsidR="006E47AC">
        <w:t xml:space="preserve">substantially if at all </w:t>
      </w:r>
      <w:r w:rsidR="008A246B">
        <w:t xml:space="preserve">from these proposals. </w:t>
      </w:r>
    </w:p>
    <w:p w14:paraId="3A0EC273" w14:textId="322D3C03" w:rsidR="00B710FE" w:rsidRDefault="006870B8" w:rsidP="004D6AE4">
      <w:pPr>
        <w:spacing w:before="120" w:after="120"/>
        <w:rPr>
          <w:lang w:val="en-US"/>
        </w:rPr>
      </w:pPr>
      <w:r>
        <w:rPr>
          <w:lang w:val="en-US"/>
        </w:rPr>
        <w:t>We support</w:t>
      </w:r>
      <w:r w:rsidR="006E47AC">
        <w:rPr>
          <w:lang w:val="en-US"/>
        </w:rPr>
        <w:t xml:space="preserve"> the principle that </w:t>
      </w:r>
      <w:r>
        <w:rPr>
          <w:lang w:val="en-US"/>
        </w:rPr>
        <w:t>access</w:t>
      </w:r>
      <w:r w:rsidR="006E47AC">
        <w:rPr>
          <w:lang w:val="en-US"/>
        </w:rPr>
        <w:t>ing</w:t>
      </w:r>
      <w:r>
        <w:rPr>
          <w:lang w:val="en-US"/>
        </w:rPr>
        <w:t xml:space="preserve"> personal savings to </w:t>
      </w:r>
      <w:r w:rsidR="006E47AC">
        <w:rPr>
          <w:lang w:val="en-US"/>
        </w:rPr>
        <w:t xml:space="preserve">build a life free of </w:t>
      </w:r>
      <w:r>
        <w:rPr>
          <w:lang w:val="en-US"/>
        </w:rPr>
        <w:t xml:space="preserve">domestic and family violence needs to be the last resort. However, it is unclear from the proposals how this will be determined. For these purposes it is essential that fully resourced case management provided by specialist women’s service </w:t>
      </w:r>
      <w:r w:rsidR="006E47AC">
        <w:rPr>
          <w:lang w:val="en-US"/>
        </w:rPr>
        <w:t xml:space="preserve">is </w:t>
      </w:r>
      <w:r>
        <w:rPr>
          <w:lang w:val="en-US"/>
        </w:rPr>
        <w:t xml:space="preserve">in place to assist victims/survivors of DFV. </w:t>
      </w:r>
      <w:r w:rsidR="003364C7">
        <w:rPr>
          <w:lang w:val="en-US"/>
        </w:rPr>
        <w:t>We wish to stress that a</w:t>
      </w:r>
      <w:r w:rsidR="0061021E">
        <w:rPr>
          <w:lang w:val="en-US"/>
        </w:rPr>
        <w:t xml:space="preserve">longside measures </w:t>
      </w:r>
      <w:r w:rsidR="003364C7">
        <w:rPr>
          <w:lang w:val="en-US"/>
        </w:rPr>
        <w:t xml:space="preserve">to improve women’s economic security, especially after having experienced family violence, </w:t>
      </w:r>
      <w:r w:rsidR="0061021E">
        <w:rPr>
          <w:lang w:val="en-US"/>
        </w:rPr>
        <w:t>a better investment in specialist women’s services</w:t>
      </w:r>
      <w:r w:rsidR="003364C7">
        <w:rPr>
          <w:lang w:val="en-US"/>
        </w:rPr>
        <w:t xml:space="preserve"> is required</w:t>
      </w:r>
      <w:r w:rsidR="0061021E">
        <w:rPr>
          <w:lang w:val="en-US"/>
        </w:rPr>
        <w:t xml:space="preserve"> to ensure </w:t>
      </w:r>
      <w:r w:rsidR="003364C7">
        <w:rPr>
          <w:lang w:val="en-US"/>
        </w:rPr>
        <w:t>their</w:t>
      </w:r>
      <w:r w:rsidR="0061021E">
        <w:rPr>
          <w:lang w:val="en-US"/>
        </w:rPr>
        <w:t xml:space="preserve"> capacity to meet increasing service demand</w:t>
      </w:r>
      <w:r w:rsidR="008A246B">
        <w:rPr>
          <w:lang w:val="en-US"/>
        </w:rPr>
        <w:t xml:space="preserve">. </w:t>
      </w:r>
    </w:p>
    <w:p w14:paraId="492023D6" w14:textId="4AF575C6" w:rsidR="008A246B" w:rsidRDefault="008A246B" w:rsidP="008A246B">
      <w:pPr>
        <w:pStyle w:val="Heading3"/>
      </w:pPr>
      <w:r>
        <w:t>Expansion and roll out of the equivalent of Victorian Flexible Support Packages</w:t>
      </w:r>
    </w:p>
    <w:p w14:paraId="710B9697" w14:textId="45B3FFCD" w:rsidR="008A246B" w:rsidRDefault="008A246B" w:rsidP="008A246B">
      <w:pPr>
        <w:spacing w:before="120" w:after="120"/>
        <w:rPr>
          <w:lang w:val="en-US"/>
        </w:rPr>
      </w:pPr>
      <w:r>
        <w:rPr>
          <w:lang w:val="en-US"/>
        </w:rPr>
        <w:t xml:space="preserve">We acknowledge that the issues paper draws on the Victorian Flexible Support Packages as a model for setting the amounts and types of expenses in the proposal for the early release of superannuation benefits. We also acknowledge the proposed early release of superannuation benefits will be capped and only used a last resort. However, we wish to reiterate our previous argument that the access to personal savings to rebuild one’s life affected by violence should not replace government support. </w:t>
      </w:r>
    </w:p>
    <w:p w14:paraId="05AF3B15" w14:textId="4F93D6B8" w:rsidR="00D60401" w:rsidRDefault="00BA4DA3" w:rsidP="00BA4DA3">
      <w:pPr>
        <w:spacing w:before="120" w:after="120"/>
        <w:rPr>
          <w:lang w:val="en-US"/>
        </w:rPr>
      </w:pPr>
      <w:r>
        <w:rPr>
          <w:lang w:val="en-US"/>
        </w:rPr>
        <w:t xml:space="preserve">Rebuilding a woman’s life after family violence requires substantial support that does not comes at the cost of personal savings and </w:t>
      </w:r>
      <w:r w:rsidR="006E47AC">
        <w:rPr>
          <w:lang w:val="en-US"/>
        </w:rPr>
        <w:t>increases the</w:t>
      </w:r>
      <w:r>
        <w:rPr>
          <w:lang w:val="en-US"/>
        </w:rPr>
        <w:t xml:space="preserve"> risk of living in poverty. </w:t>
      </w:r>
      <w:r w:rsidR="00D60401">
        <w:rPr>
          <w:lang w:val="en-US"/>
        </w:rPr>
        <w:t>Our position remains that victims/survivors</w:t>
      </w:r>
      <w:r w:rsidR="006D1515">
        <w:rPr>
          <w:lang w:val="en-US"/>
        </w:rPr>
        <w:t xml:space="preserve"> need to be supported and not </w:t>
      </w:r>
      <w:r w:rsidR="003D7A26">
        <w:rPr>
          <w:lang w:val="en-US"/>
        </w:rPr>
        <w:t xml:space="preserve">left on their own. </w:t>
      </w:r>
    </w:p>
    <w:p w14:paraId="649D147E" w14:textId="41B8DB37" w:rsidR="008A246B" w:rsidRDefault="00BA4DA3" w:rsidP="00BA4DA3">
      <w:pPr>
        <w:spacing w:before="120" w:after="120"/>
        <w:rPr>
          <w:lang w:val="en-US"/>
        </w:rPr>
      </w:pPr>
      <w:r>
        <w:rPr>
          <w:lang w:val="en-US"/>
        </w:rPr>
        <w:t>W</w:t>
      </w:r>
      <w:r w:rsidR="006870B8">
        <w:rPr>
          <w:lang w:val="en-US"/>
        </w:rPr>
        <w:t>e recommend that the Australian Government expand and ro</w:t>
      </w:r>
      <w:r w:rsidR="000B633C">
        <w:rPr>
          <w:lang w:val="en-US"/>
        </w:rPr>
        <w:t>l</w:t>
      </w:r>
      <w:r w:rsidR="006870B8">
        <w:rPr>
          <w:lang w:val="en-US"/>
        </w:rPr>
        <w:t>l out an</w:t>
      </w:r>
      <w:r w:rsidR="008A246B">
        <w:rPr>
          <w:lang w:val="en-US"/>
        </w:rPr>
        <w:t xml:space="preserve"> equivalent of </w:t>
      </w:r>
      <w:r w:rsidR="006E47AC">
        <w:rPr>
          <w:lang w:val="en-US"/>
        </w:rPr>
        <w:t xml:space="preserve">the </w:t>
      </w:r>
      <w:r w:rsidR="008A246B">
        <w:rPr>
          <w:lang w:val="en-US"/>
        </w:rPr>
        <w:t xml:space="preserve">Victorian Flexible Support Packages across all states and territories. This process needs to be undertaken in consultation with specialist women’s services and domestic, family and sexual violence peak bodies, as well as develop a set of principles to underpin such support packages across Australia. </w:t>
      </w:r>
    </w:p>
    <w:p w14:paraId="16159F69" w14:textId="77777777" w:rsidR="007156EF" w:rsidRDefault="007156EF" w:rsidP="008A246B">
      <w:pPr>
        <w:spacing w:before="120" w:after="120"/>
        <w:rPr>
          <w:b/>
          <w:lang w:val="en-US"/>
        </w:rPr>
      </w:pPr>
    </w:p>
    <w:p w14:paraId="569141D4" w14:textId="77777777" w:rsidR="007156EF" w:rsidRDefault="007156EF" w:rsidP="008A246B">
      <w:pPr>
        <w:spacing w:before="120" w:after="120"/>
        <w:rPr>
          <w:b/>
          <w:lang w:val="en-US"/>
        </w:rPr>
      </w:pPr>
    </w:p>
    <w:p w14:paraId="79280681" w14:textId="756124FE" w:rsidR="008A246B" w:rsidRPr="00AD4EA9" w:rsidRDefault="008A246B" w:rsidP="008A246B">
      <w:pPr>
        <w:spacing w:before="120" w:after="120"/>
        <w:rPr>
          <w:b/>
          <w:lang w:val="en-US"/>
        </w:rPr>
      </w:pPr>
      <w:r w:rsidRPr="00AD4EA9">
        <w:rPr>
          <w:b/>
          <w:lang w:val="en-US"/>
        </w:rPr>
        <w:lastRenderedPageBreak/>
        <w:t>Recommendation</w:t>
      </w:r>
      <w:r w:rsidR="00BA4DA3">
        <w:rPr>
          <w:b/>
          <w:lang w:val="en-US"/>
        </w:rPr>
        <w:t>s</w:t>
      </w:r>
      <w:r w:rsidRPr="00AD4EA9">
        <w:rPr>
          <w:b/>
          <w:lang w:val="en-US"/>
        </w:rPr>
        <w:t xml:space="preserve">: </w:t>
      </w:r>
    </w:p>
    <w:p w14:paraId="0F8E6FD0" w14:textId="01C8CEBF" w:rsidR="008A246B" w:rsidRPr="000B633C" w:rsidRDefault="008A246B" w:rsidP="000B633C">
      <w:pPr>
        <w:pStyle w:val="ListParagraph"/>
        <w:numPr>
          <w:ilvl w:val="0"/>
          <w:numId w:val="9"/>
        </w:numPr>
        <w:spacing w:before="120" w:after="120"/>
        <w:rPr>
          <w:b/>
          <w:lang w:val="en-US"/>
        </w:rPr>
      </w:pPr>
      <w:r w:rsidRPr="000B633C">
        <w:rPr>
          <w:b/>
          <w:lang w:val="en-US"/>
        </w:rPr>
        <w:t>That the Australian Government pursue agreement through COAG that all States and Territories will implement flexible financial support programs for victims/survivors along the lines of the Victorian model;</w:t>
      </w:r>
    </w:p>
    <w:p w14:paraId="7BA6B85B" w14:textId="10E85B02" w:rsidR="008A246B" w:rsidRPr="000B633C" w:rsidRDefault="008A246B" w:rsidP="000B633C">
      <w:pPr>
        <w:pStyle w:val="ListParagraph"/>
        <w:numPr>
          <w:ilvl w:val="0"/>
          <w:numId w:val="9"/>
        </w:numPr>
        <w:spacing w:before="120" w:after="120"/>
        <w:rPr>
          <w:b/>
          <w:lang w:val="en-US"/>
        </w:rPr>
      </w:pPr>
      <w:r w:rsidRPr="000B633C">
        <w:rPr>
          <w:b/>
          <w:lang w:val="en-US"/>
        </w:rPr>
        <w:t>That these programs be co-designed with specialist women’s services and domestic, family and sexual violence peak bodies and underpinned by a set of agreed principles, including that models for implementation in each jurisdiction limit the reporting requirements, maximise flexibility for individual victims/survivors and services, and include funding for case management within an integrated system focused where possible on enabling women and their children to remain in their own homes.</w:t>
      </w:r>
    </w:p>
    <w:p w14:paraId="6B8CD4D0" w14:textId="77777777" w:rsidR="008A246B" w:rsidRDefault="008A246B" w:rsidP="000B633C">
      <w:pPr>
        <w:spacing w:before="120" w:after="120"/>
        <w:rPr>
          <w:lang w:val="en-US"/>
        </w:rPr>
      </w:pPr>
    </w:p>
    <w:p w14:paraId="296B7EC9" w14:textId="71A53FC8" w:rsidR="008A246B" w:rsidRPr="000B633C" w:rsidRDefault="008A246B" w:rsidP="000B633C">
      <w:pPr>
        <w:spacing w:before="120" w:after="120"/>
        <w:rPr>
          <w:rFonts w:cstheme="majorHAnsi"/>
          <w:b/>
          <w:lang w:val="en-AU"/>
        </w:rPr>
      </w:pPr>
      <w:r w:rsidRPr="00BA4DA3">
        <w:rPr>
          <w:lang w:val="en-US"/>
        </w:rPr>
        <w:t>Should the proposals related to the early release of superannuation benefits in situations of family violence go ahead, we would like to e</w:t>
      </w:r>
      <w:r w:rsidRPr="008A246B">
        <w:rPr>
          <w:lang w:val="en-US"/>
        </w:rPr>
        <w:t xml:space="preserve">xpress the following concerns and make the following recommendations. </w:t>
      </w:r>
    </w:p>
    <w:p w14:paraId="4535BD02" w14:textId="0B8AB076" w:rsidR="00EF6321" w:rsidRPr="004D6AE4" w:rsidRDefault="00A67DCF" w:rsidP="00BD33D8">
      <w:pPr>
        <w:pStyle w:val="Heading3"/>
      </w:pPr>
      <w:r w:rsidRPr="004D6AE4">
        <w:t xml:space="preserve">Amend </w:t>
      </w:r>
      <w:r w:rsidR="00BD4E8A" w:rsidRPr="004D6AE4">
        <w:t xml:space="preserve">Evidentiary </w:t>
      </w:r>
      <w:r w:rsidRPr="004D6AE4">
        <w:t>R</w:t>
      </w:r>
      <w:r w:rsidR="00BD4E8A" w:rsidRPr="004D6AE4">
        <w:t xml:space="preserve">equirements </w:t>
      </w:r>
    </w:p>
    <w:p w14:paraId="08D1DD94" w14:textId="2A600EB5" w:rsidR="00157214" w:rsidRDefault="00157214" w:rsidP="004D6AE4">
      <w:pPr>
        <w:spacing w:before="120" w:after="120"/>
        <w:rPr>
          <w:lang w:val="en-US"/>
        </w:rPr>
      </w:pPr>
      <w:r>
        <w:rPr>
          <w:lang w:val="en-US"/>
        </w:rPr>
        <w:t>We support the calls of Domestic Violence Victoria that victims/survivors need to be believed when they are disclosing violence that was inflicted on them. Strictly imposed requirement</w:t>
      </w:r>
      <w:r w:rsidR="006E47AC">
        <w:rPr>
          <w:lang w:val="en-US"/>
        </w:rPr>
        <w:t>s</w:t>
      </w:r>
      <w:r>
        <w:rPr>
          <w:lang w:val="en-US"/>
        </w:rPr>
        <w:t xml:space="preserve"> to prove experiences of family violence </w:t>
      </w:r>
      <w:r w:rsidR="003F79BC">
        <w:rPr>
          <w:lang w:val="en-US"/>
        </w:rPr>
        <w:t>reinforce</w:t>
      </w:r>
      <w:r w:rsidR="006E47AC">
        <w:rPr>
          <w:lang w:val="en-US"/>
        </w:rPr>
        <w:t xml:space="preserve"> </w:t>
      </w:r>
      <w:r w:rsidR="003F79BC">
        <w:rPr>
          <w:lang w:val="en-US"/>
        </w:rPr>
        <w:t>damaging victim-</w:t>
      </w:r>
      <w:r>
        <w:rPr>
          <w:lang w:val="en-US"/>
        </w:rPr>
        <w:t xml:space="preserve">blaming attitudes </w:t>
      </w:r>
      <w:r w:rsidR="006E47AC">
        <w:rPr>
          <w:lang w:val="en-US"/>
        </w:rPr>
        <w:t xml:space="preserve">and may </w:t>
      </w:r>
      <w:r>
        <w:rPr>
          <w:lang w:val="en-US"/>
        </w:rPr>
        <w:t xml:space="preserve">prevent women from disclosing </w:t>
      </w:r>
      <w:r w:rsidR="006E47AC">
        <w:rPr>
          <w:lang w:val="en-US"/>
        </w:rPr>
        <w:t xml:space="preserve">and seeking help with </w:t>
      </w:r>
      <w:r>
        <w:rPr>
          <w:lang w:val="en-US"/>
        </w:rPr>
        <w:t>domestic, family and sexual violence</w:t>
      </w:r>
      <w:r w:rsidR="006E47AC">
        <w:rPr>
          <w:lang w:val="en-US"/>
        </w:rPr>
        <w:t xml:space="preserve"> in the first instance</w:t>
      </w:r>
      <w:r>
        <w:rPr>
          <w:lang w:val="en-US"/>
        </w:rPr>
        <w:t xml:space="preserve">. </w:t>
      </w:r>
    </w:p>
    <w:p w14:paraId="0F1E5A70" w14:textId="3936D52D" w:rsidR="00BD4E8A" w:rsidRDefault="00157214" w:rsidP="004D6AE4">
      <w:pPr>
        <w:spacing w:before="120" w:after="120"/>
        <w:rPr>
          <w:lang w:val="en-US"/>
        </w:rPr>
      </w:pPr>
      <w:r>
        <w:rPr>
          <w:lang w:val="en-US"/>
        </w:rPr>
        <w:t xml:space="preserve">In </w:t>
      </w:r>
      <w:r w:rsidR="006E47AC">
        <w:rPr>
          <w:lang w:val="en-US"/>
        </w:rPr>
        <w:t xml:space="preserve">the event that </w:t>
      </w:r>
      <w:r>
        <w:rPr>
          <w:lang w:val="en-US"/>
        </w:rPr>
        <w:t>the proposals go ahead, w</w:t>
      </w:r>
      <w:r w:rsidR="00A67DCF">
        <w:rPr>
          <w:lang w:val="en-US"/>
        </w:rPr>
        <w:t>e do not support a restrictive and limited list of evidentiary requirements requiring an applicant to provide one piece of judiciary or two pieces of non-judiciary evidence. We also note the list of professionals</w:t>
      </w:r>
      <w:r w:rsidR="003364C7">
        <w:rPr>
          <w:lang w:val="en-US"/>
        </w:rPr>
        <w:t xml:space="preserve"> </w:t>
      </w:r>
      <w:r w:rsidR="003264C7">
        <w:rPr>
          <w:lang w:val="en-US"/>
        </w:rPr>
        <w:t>allowed</w:t>
      </w:r>
      <w:r w:rsidR="00A67DCF">
        <w:rPr>
          <w:lang w:val="en-US"/>
        </w:rPr>
        <w:t xml:space="preserve"> to testify to the experiences of family violence</w:t>
      </w:r>
      <w:r w:rsidR="003364C7">
        <w:rPr>
          <w:lang w:val="en-US"/>
        </w:rPr>
        <w:t>, as stated in the issues paper,</w:t>
      </w:r>
      <w:r w:rsidR="00A67DCF">
        <w:rPr>
          <w:lang w:val="en-US"/>
        </w:rPr>
        <w:t xml:space="preserve"> is limited</w:t>
      </w:r>
      <w:r w:rsidR="004D6AE4">
        <w:rPr>
          <w:lang w:val="en-US"/>
        </w:rPr>
        <w:t xml:space="preserve"> (“a medical practitioner, a member of the Australian Association of Social Workers or a registered psychologist”)</w:t>
      </w:r>
      <w:r w:rsidR="0029644A">
        <w:rPr>
          <w:rStyle w:val="FootnoteReference"/>
          <w:lang w:val="en-US"/>
        </w:rPr>
        <w:footnoteReference w:id="4"/>
      </w:r>
      <w:r w:rsidR="00A67DCF">
        <w:rPr>
          <w:lang w:val="en-US"/>
        </w:rPr>
        <w:t xml:space="preserve">. </w:t>
      </w:r>
      <w:r w:rsidR="004D6AE4">
        <w:rPr>
          <w:lang w:val="en-US"/>
        </w:rPr>
        <w:t xml:space="preserve">We envision several issues with such a limited list. </w:t>
      </w:r>
    </w:p>
    <w:p w14:paraId="16EAFAC3" w14:textId="4611D385" w:rsidR="004D6AE4" w:rsidRDefault="004D6AE4" w:rsidP="004D6AE4">
      <w:pPr>
        <w:spacing w:before="120" w:after="120"/>
        <w:rPr>
          <w:rFonts w:cstheme="minorHAnsi"/>
          <w:color w:val="000000"/>
        </w:rPr>
      </w:pPr>
      <w:r>
        <w:rPr>
          <w:lang w:val="en-US"/>
        </w:rPr>
        <w:t xml:space="preserve">Firstly, access to counselling needs to be premised around a victim/survivor’s desire </w:t>
      </w:r>
      <w:r w:rsidR="003364C7">
        <w:rPr>
          <w:lang w:val="en-US"/>
        </w:rPr>
        <w:t xml:space="preserve">and readiness </w:t>
      </w:r>
      <w:r>
        <w:rPr>
          <w:lang w:val="en-US"/>
        </w:rPr>
        <w:t xml:space="preserve">to heal. </w:t>
      </w:r>
      <w:r w:rsidR="00E62A06">
        <w:rPr>
          <w:rFonts w:cstheme="minorHAnsi"/>
          <w:color w:val="000000"/>
        </w:rPr>
        <w:t xml:space="preserve">For most women, following separation from a partner, the purpose of seeing a psychiatrist or psychologist is not to prove that violence took place, but to allow the victim/survivor to focus on their health and wellbeing. </w:t>
      </w:r>
      <w:r>
        <w:rPr>
          <w:rFonts w:cstheme="minorHAnsi"/>
          <w:color w:val="000000"/>
        </w:rPr>
        <w:t>Moreover, t</w:t>
      </w:r>
      <w:r w:rsidR="00E62A06">
        <w:rPr>
          <w:rFonts w:cstheme="minorHAnsi"/>
          <w:color w:val="000000"/>
        </w:rPr>
        <w:t xml:space="preserve">here are public policy reasons why victims of violence should be free to say anything to their psychiatrist or psychologist and why other people should not </w:t>
      </w:r>
      <w:r>
        <w:rPr>
          <w:rFonts w:cstheme="minorHAnsi"/>
          <w:color w:val="000000"/>
        </w:rPr>
        <w:t>have access to those records.</w:t>
      </w:r>
    </w:p>
    <w:p w14:paraId="53FDF04A" w14:textId="0E76468A" w:rsidR="004D6AE4" w:rsidRDefault="00901599" w:rsidP="00CF0B8A">
      <w:pPr>
        <w:spacing w:before="120" w:after="120"/>
        <w:rPr>
          <w:rFonts w:cstheme="minorHAnsi"/>
          <w:color w:val="000000"/>
        </w:rPr>
      </w:pPr>
      <w:r>
        <w:rPr>
          <w:rFonts w:cstheme="minorHAnsi"/>
          <w:color w:val="000000"/>
        </w:rPr>
        <w:t xml:space="preserve">Secondly, not every family violence specialist worker is a member of the Australian Association of Social Workers (AASW). </w:t>
      </w:r>
      <w:r w:rsidR="003364C7">
        <w:rPr>
          <w:rFonts w:cstheme="minorHAnsi"/>
          <w:color w:val="000000"/>
        </w:rPr>
        <w:t>We understand that the evidentiary requirements are drawn on the</w:t>
      </w:r>
      <w:r w:rsidR="003364C7" w:rsidRPr="003364C7">
        <w:rPr>
          <w:rFonts w:cstheme="minorHAnsi"/>
          <w:color w:val="000000"/>
        </w:rPr>
        <w:t xml:space="preserve"> </w:t>
      </w:r>
      <w:r w:rsidR="003364C7">
        <w:rPr>
          <w:rFonts w:cstheme="minorHAnsi"/>
          <w:color w:val="000000"/>
        </w:rPr>
        <w:t xml:space="preserve">Legislative Instrument IMMI12/116. </w:t>
      </w:r>
      <w:r>
        <w:rPr>
          <w:rFonts w:cstheme="minorHAnsi"/>
          <w:color w:val="000000"/>
        </w:rPr>
        <w:t xml:space="preserve">We bring to your attention that </w:t>
      </w:r>
      <w:r w:rsidR="003364C7">
        <w:rPr>
          <w:rFonts w:cstheme="minorHAnsi"/>
          <w:color w:val="000000"/>
        </w:rPr>
        <w:t>this document</w:t>
      </w:r>
      <w:r>
        <w:rPr>
          <w:rFonts w:cstheme="minorHAnsi"/>
          <w:color w:val="000000"/>
        </w:rPr>
        <w:t xml:space="preserve"> allows not only for a member of AASW but also “</w:t>
      </w:r>
      <w:r w:rsidRPr="00CF0B8A">
        <w:rPr>
          <w:rFonts w:cstheme="minorHAnsi"/>
          <w:color w:val="000000"/>
        </w:rPr>
        <w:t>a person who is eligible to be a member of that Association who has provided counselling or assistance to the alleged victim while performing the duties of a social worker”</w:t>
      </w:r>
      <w:r w:rsidR="00B401A4">
        <w:rPr>
          <w:rStyle w:val="FootnoteReference"/>
          <w:rFonts w:cstheme="minorHAnsi"/>
          <w:color w:val="000000"/>
        </w:rPr>
        <w:footnoteReference w:id="5"/>
      </w:r>
      <w:r w:rsidRPr="00CF0B8A">
        <w:rPr>
          <w:rFonts w:cstheme="minorHAnsi"/>
          <w:color w:val="000000"/>
        </w:rPr>
        <w:t>.</w:t>
      </w:r>
    </w:p>
    <w:p w14:paraId="22276DA1" w14:textId="23B95905" w:rsidR="00CF0B8A" w:rsidRDefault="00CF0B8A" w:rsidP="00CF0B8A">
      <w:pPr>
        <w:spacing w:before="120" w:after="120"/>
        <w:rPr>
          <w:rFonts w:cstheme="minorHAnsi"/>
          <w:color w:val="000000"/>
        </w:rPr>
      </w:pPr>
      <w:r>
        <w:rPr>
          <w:rFonts w:cstheme="minorHAnsi"/>
          <w:color w:val="000000"/>
        </w:rPr>
        <w:t>Lastly, we are concerned that the list does not include specialist family violence and specialist women’s sector service providers as professionals to provide non-judiciary evidence. We refer you to AWAVA’s Policy Brief on the unique role of specialist women’s services in reducing violence against women that testifies to their expertise in supporting women and their children who are experiencing domestic, family and sexual violence.</w:t>
      </w:r>
      <w:r w:rsidR="000F4351">
        <w:rPr>
          <w:rStyle w:val="FootnoteReference"/>
          <w:rFonts w:cstheme="minorHAnsi"/>
          <w:color w:val="000000"/>
        </w:rPr>
        <w:footnoteReference w:id="6"/>
      </w:r>
      <w:r w:rsidR="00B45555">
        <w:rPr>
          <w:rFonts w:cstheme="minorHAnsi"/>
          <w:color w:val="000000"/>
        </w:rPr>
        <w:t xml:space="preserve"> These services have a proven expertise in supporting women who are experiencing family violence. Evidence provided by them </w:t>
      </w:r>
      <w:r w:rsidR="00A72883">
        <w:rPr>
          <w:rFonts w:cstheme="minorHAnsi"/>
          <w:color w:val="000000"/>
        </w:rPr>
        <w:t xml:space="preserve">should </w:t>
      </w:r>
      <w:r w:rsidR="00B45555">
        <w:rPr>
          <w:rFonts w:cstheme="minorHAnsi"/>
          <w:color w:val="000000"/>
        </w:rPr>
        <w:t xml:space="preserve">be deemed credible. </w:t>
      </w:r>
    </w:p>
    <w:p w14:paraId="730D254C" w14:textId="4D81AC08" w:rsidR="00970E67" w:rsidRPr="00970E67" w:rsidRDefault="00157214" w:rsidP="00970E67">
      <w:pPr>
        <w:spacing w:before="120" w:after="120"/>
        <w:rPr>
          <w:rFonts w:cstheme="minorHAnsi"/>
          <w:color w:val="000000"/>
        </w:rPr>
      </w:pPr>
      <w:r>
        <w:rPr>
          <w:rFonts w:cstheme="minorHAnsi"/>
          <w:color w:val="000000"/>
        </w:rPr>
        <w:t xml:space="preserve">We reiterate that </w:t>
      </w:r>
      <w:r w:rsidR="003F2646">
        <w:rPr>
          <w:rFonts w:cstheme="minorHAnsi"/>
          <w:color w:val="000000"/>
        </w:rPr>
        <w:t xml:space="preserve">evidentiary requirements need to be amended and simplified. </w:t>
      </w:r>
      <w:r w:rsidR="003364C7">
        <w:rPr>
          <w:rFonts w:cstheme="minorHAnsi"/>
          <w:color w:val="000000"/>
        </w:rPr>
        <w:t>As an example from a different area, w</w:t>
      </w:r>
      <w:r w:rsidR="003F2646">
        <w:rPr>
          <w:rFonts w:cstheme="minorHAnsi"/>
          <w:color w:val="000000"/>
        </w:rPr>
        <w:t xml:space="preserve">e draw your attention to </w:t>
      </w:r>
      <w:r w:rsidR="00A72883">
        <w:rPr>
          <w:rFonts w:cstheme="minorHAnsi"/>
          <w:color w:val="000000"/>
        </w:rPr>
        <w:t>South Australia’s</w:t>
      </w:r>
      <w:r w:rsidR="00970E67">
        <w:rPr>
          <w:rFonts w:cstheme="minorHAnsi"/>
          <w:color w:val="000000"/>
        </w:rPr>
        <w:t xml:space="preserve"> new residential tenancy protections for </w:t>
      </w:r>
      <w:r w:rsidR="00970E67">
        <w:rPr>
          <w:rFonts w:cstheme="minorHAnsi"/>
          <w:color w:val="000000"/>
        </w:rPr>
        <w:lastRenderedPageBreak/>
        <w:t xml:space="preserve">victims/survivors of domestic and family violence. These protections allow a victim/survivor “to </w:t>
      </w:r>
      <w:r w:rsidR="00970E67" w:rsidRPr="00970E67">
        <w:rPr>
          <w:rFonts w:cstheme="minorHAnsi"/>
          <w:color w:val="000000"/>
        </w:rPr>
        <w:t>stay at the rented home and have the perpetrator leave</w:t>
      </w:r>
      <w:r w:rsidR="00970E67">
        <w:rPr>
          <w:rFonts w:cstheme="minorHAnsi"/>
          <w:color w:val="000000"/>
        </w:rPr>
        <w:t xml:space="preserve"> [or to] </w:t>
      </w:r>
      <w:r w:rsidR="00970E67" w:rsidRPr="00970E67">
        <w:rPr>
          <w:rFonts w:cstheme="minorHAnsi"/>
          <w:color w:val="000000"/>
        </w:rPr>
        <w:t>leave the rented home and be removed from the rental agreement.</w:t>
      </w:r>
      <w:r w:rsidR="00970E67">
        <w:rPr>
          <w:rFonts w:cstheme="minorHAnsi"/>
          <w:color w:val="000000"/>
        </w:rPr>
        <w:t>”</w:t>
      </w:r>
      <w:r w:rsidR="0092152A">
        <w:rPr>
          <w:rStyle w:val="FootnoteReference"/>
          <w:rFonts w:cstheme="minorHAnsi"/>
          <w:color w:val="000000"/>
        </w:rPr>
        <w:footnoteReference w:id="7"/>
      </w:r>
      <w:r w:rsidR="00970E67">
        <w:rPr>
          <w:rFonts w:cstheme="minorHAnsi"/>
          <w:color w:val="000000"/>
        </w:rPr>
        <w:t xml:space="preserve"> In these situations, a victim/survivor needs to provide </w:t>
      </w:r>
      <w:r w:rsidR="00970E67" w:rsidRPr="006A7564">
        <w:rPr>
          <w:rFonts w:cstheme="minorHAnsi"/>
          <w:color w:val="000000"/>
          <w:u w:val="single"/>
        </w:rPr>
        <w:t>only one piece</w:t>
      </w:r>
      <w:r w:rsidR="00970E67">
        <w:rPr>
          <w:rFonts w:cstheme="minorHAnsi"/>
          <w:color w:val="000000"/>
        </w:rPr>
        <w:t xml:space="preserve"> of evidence whether judiciary or non-judiciary: “</w:t>
      </w:r>
      <w:r w:rsidR="00970E67" w:rsidRPr="00970E67">
        <w:rPr>
          <w:rFonts w:cstheme="minorHAnsi"/>
          <w:color w:val="000000"/>
        </w:rPr>
        <w:t>The Tribunal will need to see evidence of either an intervention order issued by a Court or a report from SA Police or a specialist domestic violence service provider.</w:t>
      </w:r>
      <w:r w:rsidR="00970E67">
        <w:rPr>
          <w:rFonts w:cstheme="minorHAnsi"/>
          <w:color w:val="000000"/>
        </w:rPr>
        <w:t>”</w:t>
      </w:r>
      <w:r w:rsidR="0092152A">
        <w:rPr>
          <w:rStyle w:val="FootnoteReference"/>
          <w:rFonts w:cstheme="minorHAnsi"/>
          <w:color w:val="000000"/>
        </w:rPr>
        <w:footnoteReference w:id="8"/>
      </w:r>
      <w:r w:rsidR="00B45555">
        <w:rPr>
          <w:rFonts w:cstheme="minorHAnsi"/>
          <w:color w:val="000000"/>
        </w:rPr>
        <w:t xml:space="preserve"> We believe that such an approach with regard to the evidence could be replicated</w:t>
      </w:r>
      <w:r w:rsidR="003364C7">
        <w:rPr>
          <w:rFonts w:cstheme="minorHAnsi"/>
          <w:color w:val="000000"/>
        </w:rPr>
        <w:t xml:space="preserve"> in the early release of superannuation benefits</w:t>
      </w:r>
      <w:r w:rsidR="00B45555">
        <w:rPr>
          <w:rFonts w:cstheme="minorHAnsi"/>
          <w:color w:val="000000"/>
        </w:rPr>
        <w:t xml:space="preserve">. </w:t>
      </w:r>
    </w:p>
    <w:p w14:paraId="0FDF40EB" w14:textId="77777777" w:rsidR="00B710FE" w:rsidRPr="00AD4EA9" w:rsidRDefault="00B710FE" w:rsidP="00B710FE">
      <w:pPr>
        <w:spacing w:before="120" w:after="120"/>
        <w:rPr>
          <w:b/>
          <w:lang w:val="en-US"/>
        </w:rPr>
      </w:pPr>
      <w:r w:rsidRPr="00AD4EA9">
        <w:rPr>
          <w:b/>
          <w:lang w:val="en-US"/>
        </w:rPr>
        <w:t xml:space="preserve">Recommendation: </w:t>
      </w:r>
    </w:p>
    <w:p w14:paraId="22740CBA" w14:textId="2563867B" w:rsidR="00970E67" w:rsidRPr="002562C6" w:rsidRDefault="00970E67" w:rsidP="000B633C">
      <w:pPr>
        <w:pStyle w:val="ListParagraph"/>
        <w:numPr>
          <w:ilvl w:val="0"/>
          <w:numId w:val="9"/>
        </w:numPr>
        <w:spacing w:before="120" w:after="120"/>
        <w:rPr>
          <w:rFonts w:cstheme="minorHAnsi"/>
          <w:b/>
          <w:color w:val="000000"/>
        </w:rPr>
      </w:pPr>
      <w:r w:rsidRPr="002562C6">
        <w:rPr>
          <w:rFonts w:cstheme="minorHAnsi"/>
          <w:b/>
          <w:color w:val="000000"/>
        </w:rPr>
        <w:t xml:space="preserve">Amend </w:t>
      </w:r>
      <w:r w:rsidR="00157214">
        <w:rPr>
          <w:rFonts w:cstheme="minorHAnsi"/>
          <w:b/>
          <w:color w:val="000000"/>
        </w:rPr>
        <w:t xml:space="preserve">and simplify </w:t>
      </w:r>
      <w:r w:rsidRPr="002562C6">
        <w:rPr>
          <w:rFonts w:cstheme="minorHAnsi"/>
          <w:b/>
          <w:color w:val="000000"/>
        </w:rPr>
        <w:t>evidentiary requirement</w:t>
      </w:r>
      <w:r w:rsidR="00B45555">
        <w:rPr>
          <w:rFonts w:cstheme="minorHAnsi"/>
          <w:b/>
          <w:color w:val="000000"/>
        </w:rPr>
        <w:t>s</w:t>
      </w:r>
      <w:r w:rsidRPr="002562C6">
        <w:rPr>
          <w:rFonts w:cstheme="minorHAnsi"/>
          <w:b/>
          <w:color w:val="000000"/>
        </w:rPr>
        <w:t xml:space="preserve"> to provide one piece of evidence regardless </w:t>
      </w:r>
      <w:r w:rsidR="00B45555">
        <w:rPr>
          <w:rFonts w:cstheme="minorHAnsi"/>
          <w:b/>
          <w:color w:val="000000"/>
        </w:rPr>
        <w:t xml:space="preserve">whether </w:t>
      </w:r>
      <w:r w:rsidRPr="002562C6">
        <w:rPr>
          <w:rFonts w:cstheme="minorHAnsi"/>
          <w:b/>
          <w:color w:val="000000"/>
        </w:rPr>
        <w:t xml:space="preserve">of judiciary or non-judiciary </w:t>
      </w:r>
      <w:r w:rsidR="00B45555">
        <w:rPr>
          <w:rFonts w:cstheme="minorHAnsi"/>
          <w:b/>
          <w:color w:val="000000"/>
        </w:rPr>
        <w:t>nature</w:t>
      </w:r>
      <w:r w:rsidR="002E61CB">
        <w:rPr>
          <w:rFonts w:cstheme="minorHAnsi"/>
          <w:b/>
          <w:color w:val="000000"/>
        </w:rPr>
        <w:t xml:space="preserve"> while accessing an early release of superannuation benefits.</w:t>
      </w:r>
      <w:r w:rsidRPr="002562C6">
        <w:rPr>
          <w:rFonts w:cstheme="minorHAnsi"/>
          <w:b/>
          <w:color w:val="000000"/>
        </w:rPr>
        <w:t xml:space="preserve"> </w:t>
      </w:r>
    </w:p>
    <w:p w14:paraId="335036C3" w14:textId="483ECBF8" w:rsidR="00BA4DA3" w:rsidRDefault="00BA4DA3" w:rsidP="00BD33D8">
      <w:pPr>
        <w:pStyle w:val="Heading3"/>
      </w:pPr>
      <w:r>
        <w:t>Covered expenses</w:t>
      </w:r>
    </w:p>
    <w:p w14:paraId="1B53285A" w14:textId="6EB2FDEE" w:rsidR="00BA4DA3" w:rsidRDefault="00BA4DA3" w:rsidP="00BA4DA3">
      <w:pPr>
        <w:spacing w:before="120" w:after="120"/>
        <w:rPr>
          <w:lang w:val="en-US"/>
        </w:rPr>
      </w:pPr>
      <w:r>
        <w:rPr>
          <w:lang w:val="en-US"/>
        </w:rPr>
        <w:t xml:space="preserve">We support the proposal that there should be no restrictions on the included expenses. Women who have experienced domestic and family violence are </w:t>
      </w:r>
      <w:r w:rsidR="006E47AC">
        <w:rPr>
          <w:lang w:val="en-US"/>
        </w:rPr>
        <w:t xml:space="preserve">the experts in their own situations, </w:t>
      </w:r>
      <w:r>
        <w:rPr>
          <w:lang w:val="en-US"/>
        </w:rPr>
        <w:t xml:space="preserve">capable to decide what measures or adjustments are needed to gain financial security and independence post separation. </w:t>
      </w:r>
    </w:p>
    <w:p w14:paraId="4CBE0F95" w14:textId="1B44A3E5" w:rsidR="004D6AE4" w:rsidRDefault="00BD33D8" w:rsidP="00BD33D8">
      <w:pPr>
        <w:pStyle w:val="Heading3"/>
      </w:pPr>
      <w:r>
        <w:t>Developing workforce capacity to appropriately respond to people disclosing domestic and family violence</w:t>
      </w:r>
    </w:p>
    <w:p w14:paraId="415F9F99" w14:textId="087BF842" w:rsidR="00BD33D8" w:rsidRDefault="00BD33D8" w:rsidP="004D6AE4">
      <w:pPr>
        <w:spacing w:before="120" w:after="120"/>
        <w:rPr>
          <w:lang w:val="en-US"/>
        </w:rPr>
      </w:pPr>
      <w:r>
        <w:rPr>
          <w:lang w:val="en-US"/>
        </w:rPr>
        <w:t xml:space="preserve">We note that the decision to appoint the Australian Taxation Office as a regulator was made in order to streamline the application process. We also note that the issues paper states that ATO will be giving relevant information about family violence support services available. </w:t>
      </w:r>
    </w:p>
    <w:p w14:paraId="16EFB334" w14:textId="2A79CFA3" w:rsidR="004D75A5" w:rsidRDefault="004D75A5" w:rsidP="004D6AE4">
      <w:pPr>
        <w:spacing w:before="120" w:after="120"/>
        <w:rPr>
          <w:lang w:val="en-US"/>
        </w:rPr>
      </w:pPr>
      <w:r>
        <w:rPr>
          <w:lang w:val="en-US"/>
        </w:rPr>
        <w:t xml:space="preserve">In this regard we wish to highlight the importance of workforce development </w:t>
      </w:r>
      <w:r w:rsidR="00B45555">
        <w:rPr>
          <w:lang w:val="en-US"/>
        </w:rPr>
        <w:t>to ensure appropriate responses</w:t>
      </w:r>
      <w:r>
        <w:rPr>
          <w:lang w:val="en-US"/>
        </w:rPr>
        <w:t xml:space="preserve"> to the disclosure of family violence. </w:t>
      </w:r>
      <w:r w:rsidR="00B45555">
        <w:rPr>
          <w:lang w:val="en-US"/>
        </w:rPr>
        <w:t>In instances, where ATO employees will be reviewing provided evidence, they need to be</w:t>
      </w:r>
      <w:r w:rsidR="00B326CF">
        <w:rPr>
          <w:lang w:val="en-US"/>
        </w:rPr>
        <w:t xml:space="preserve"> appropriately</w:t>
      </w:r>
      <w:r w:rsidR="00B45555">
        <w:rPr>
          <w:lang w:val="en-US"/>
        </w:rPr>
        <w:t xml:space="preserve"> trained on the nature and dynamics of domestic and family violence and sexual violence. </w:t>
      </w:r>
    </w:p>
    <w:p w14:paraId="27B7BAB3" w14:textId="466B7A20" w:rsidR="00997CFC" w:rsidRPr="00AD4EA9" w:rsidRDefault="00997CFC" w:rsidP="004D6AE4">
      <w:pPr>
        <w:spacing w:before="120" w:after="120"/>
        <w:rPr>
          <w:b/>
          <w:lang w:val="en-US"/>
        </w:rPr>
      </w:pPr>
      <w:r w:rsidRPr="00AD4EA9">
        <w:rPr>
          <w:b/>
          <w:lang w:val="en-US"/>
        </w:rPr>
        <w:t xml:space="preserve">Recommendation: </w:t>
      </w:r>
    </w:p>
    <w:p w14:paraId="2438E914" w14:textId="1E2D012E" w:rsidR="00997CFC" w:rsidRPr="00AD4EA9" w:rsidRDefault="00997CFC" w:rsidP="000B633C">
      <w:pPr>
        <w:pStyle w:val="ListParagraph"/>
        <w:numPr>
          <w:ilvl w:val="0"/>
          <w:numId w:val="9"/>
        </w:numPr>
        <w:spacing w:before="120" w:after="120"/>
        <w:rPr>
          <w:b/>
          <w:lang w:val="en-US"/>
        </w:rPr>
      </w:pPr>
      <w:r w:rsidRPr="00AD4EA9">
        <w:rPr>
          <w:b/>
          <w:lang w:val="en-US"/>
        </w:rPr>
        <w:t xml:space="preserve">Ensure that </w:t>
      </w:r>
      <w:r w:rsidR="00B326CF">
        <w:rPr>
          <w:b/>
          <w:lang w:val="en-US"/>
        </w:rPr>
        <w:t>comprehensive</w:t>
      </w:r>
      <w:r w:rsidR="00B326CF" w:rsidRPr="00AD4EA9">
        <w:rPr>
          <w:b/>
          <w:lang w:val="en-US"/>
        </w:rPr>
        <w:t xml:space="preserve"> </w:t>
      </w:r>
      <w:r w:rsidRPr="00AD4EA9">
        <w:rPr>
          <w:b/>
          <w:lang w:val="en-US"/>
        </w:rPr>
        <w:t>training</w:t>
      </w:r>
      <w:r w:rsidR="00B326CF">
        <w:rPr>
          <w:b/>
          <w:lang w:val="en-US"/>
        </w:rPr>
        <w:t xml:space="preserve"> on the nature and dynamics of domestic and family violence</w:t>
      </w:r>
      <w:r w:rsidRPr="00AD4EA9">
        <w:rPr>
          <w:b/>
          <w:lang w:val="en-US"/>
        </w:rPr>
        <w:t xml:space="preserve"> is provided to all relevant Regulator employees. </w:t>
      </w:r>
    </w:p>
    <w:p w14:paraId="5C122F44" w14:textId="08D264E7" w:rsidR="001676D7" w:rsidRDefault="001676D7" w:rsidP="004D6AE4">
      <w:pPr>
        <w:spacing w:before="120" w:after="120"/>
        <w:rPr>
          <w:lang w:val="en-US"/>
        </w:rPr>
      </w:pPr>
      <w:r>
        <w:rPr>
          <w:lang w:val="en-US"/>
        </w:rPr>
        <w:t>In conclusion, we wish to reiterate that an early release of superannuation</w:t>
      </w:r>
      <w:r w:rsidR="00B326CF">
        <w:rPr>
          <w:lang w:val="en-US"/>
        </w:rPr>
        <w:t xml:space="preserve"> benefits</w:t>
      </w:r>
      <w:r>
        <w:rPr>
          <w:lang w:val="en-US"/>
        </w:rPr>
        <w:t xml:space="preserve"> in situation of domestic and family violence need</w:t>
      </w:r>
      <w:r w:rsidR="006E47AC">
        <w:rPr>
          <w:lang w:val="en-US"/>
        </w:rPr>
        <w:t>s</w:t>
      </w:r>
      <w:r>
        <w:rPr>
          <w:lang w:val="en-US"/>
        </w:rPr>
        <w:t xml:space="preserve"> to be the last resort in supporting victims/survivors to rebuild their lives</w:t>
      </w:r>
      <w:r w:rsidR="00B326CF">
        <w:rPr>
          <w:lang w:val="en-US"/>
        </w:rPr>
        <w:t xml:space="preserve"> and gain economic security</w:t>
      </w:r>
      <w:r>
        <w:rPr>
          <w:lang w:val="en-US"/>
        </w:rPr>
        <w:t xml:space="preserve">. Additionally, avenues such as a roll out of </w:t>
      </w:r>
      <w:r w:rsidR="00A72883">
        <w:rPr>
          <w:lang w:val="en-US"/>
        </w:rPr>
        <w:t>models equivalent t</w:t>
      </w:r>
      <w:r>
        <w:rPr>
          <w:lang w:val="en-US"/>
        </w:rPr>
        <w:t xml:space="preserve">o </w:t>
      </w:r>
      <w:r w:rsidR="00A72883">
        <w:rPr>
          <w:lang w:val="en-US"/>
        </w:rPr>
        <w:t xml:space="preserve">the </w:t>
      </w:r>
      <w:r>
        <w:rPr>
          <w:lang w:val="en-US"/>
        </w:rPr>
        <w:t xml:space="preserve">Victorian Flexible Support Packages needs to be </w:t>
      </w:r>
      <w:r w:rsidR="006E47AC">
        <w:rPr>
          <w:lang w:val="en-US"/>
        </w:rPr>
        <w:t xml:space="preserve">implemented </w:t>
      </w:r>
      <w:r>
        <w:rPr>
          <w:lang w:val="en-US"/>
        </w:rPr>
        <w:t xml:space="preserve">to ensure that victims/survivors of family violence do not use their personal savings </w:t>
      </w:r>
      <w:r w:rsidR="00B326CF">
        <w:rPr>
          <w:lang w:val="en-US"/>
        </w:rPr>
        <w:t xml:space="preserve">which can </w:t>
      </w:r>
      <w:r>
        <w:rPr>
          <w:lang w:val="en-US"/>
        </w:rPr>
        <w:t>exacerbat</w:t>
      </w:r>
      <w:r w:rsidR="00B710FE">
        <w:rPr>
          <w:lang w:val="en-US"/>
        </w:rPr>
        <w:t>e</w:t>
      </w:r>
      <w:r>
        <w:rPr>
          <w:lang w:val="en-US"/>
        </w:rPr>
        <w:t xml:space="preserve"> poverty and </w:t>
      </w:r>
      <w:r w:rsidR="00B326CF">
        <w:rPr>
          <w:lang w:val="en-US"/>
        </w:rPr>
        <w:t xml:space="preserve">gender </w:t>
      </w:r>
      <w:r w:rsidR="000B633C">
        <w:rPr>
          <w:lang w:val="en-US"/>
        </w:rPr>
        <w:t>superannuation</w:t>
      </w:r>
      <w:r>
        <w:rPr>
          <w:lang w:val="en-US"/>
        </w:rPr>
        <w:t xml:space="preserve"> gap in retirement. Should the proposals go </w:t>
      </w:r>
      <w:r w:rsidR="00B45555">
        <w:rPr>
          <w:lang w:val="en-US"/>
        </w:rPr>
        <w:t>ahead</w:t>
      </w:r>
      <w:r>
        <w:rPr>
          <w:lang w:val="en-US"/>
        </w:rPr>
        <w:t xml:space="preserve">, we recommend amending evidentiary requirements with the aim to provide only one piece of evidence. </w:t>
      </w:r>
    </w:p>
    <w:p w14:paraId="010C98DE" w14:textId="5C22F7B7" w:rsidR="00735ECC" w:rsidRPr="00735ECC" w:rsidRDefault="00735ECC" w:rsidP="00735ECC">
      <w:pPr>
        <w:spacing w:line="276" w:lineRule="auto"/>
      </w:pPr>
      <w:r w:rsidRPr="00735ECC">
        <w:t xml:space="preserve">Once again we thank you for the opportunity to provide input to this consultation. If you would like to discuss the contents of the submission further, please contact </w:t>
      </w:r>
      <w:r>
        <w:t xml:space="preserve">Dr </w:t>
      </w:r>
      <w:r w:rsidRPr="00735ECC">
        <w:t>Merrindahl Andrew, AWAVA Program Manager, using the details below.</w:t>
      </w:r>
      <w:bookmarkStart w:id="0" w:name="_GoBack"/>
      <w:bookmarkEnd w:id="0"/>
    </w:p>
    <w:p w14:paraId="02B1865A" w14:textId="77777777" w:rsidR="007156EF" w:rsidRDefault="007156EF" w:rsidP="00735ECC">
      <w:pPr>
        <w:spacing w:line="276" w:lineRule="auto"/>
        <w:rPr>
          <w:rFonts w:cstheme="minorHAnsi"/>
        </w:rPr>
      </w:pPr>
    </w:p>
    <w:p w14:paraId="52A4E4D6" w14:textId="40604A92" w:rsidR="00735ECC" w:rsidRPr="00735ECC" w:rsidRDefault="00735ECC" w:rsidP="00735ECC">
      <w:pPr>
        <w:spacing w:line="276" w:lineRule="auto"/>
        <w:rPr>
          <w:rFonts w:cstheme="minorHAnsi"/>
        </w:rPr>
      </w:pPr>
      <w:r>
        <w:rPr>
          <w:rFonts w:cstheme="minorHAnsi"/>
        </w:rPr>
        <w:t xml:space="preserve">Dr </w:t>
      </w:r>
      <w:proofErr w:type="spellStart"/>
      <w:r w:rsidRPr="00735ECC">
        <w:rPr>
          <w:rFonts w:cstheme="minorHAnsi"/>
        </w:rPr>
        <w:t>Merrindahl</w:t>
      </w:r>
      <w:proofErr w:type="spellEnd"/>
      <w:r w:rsidRPr="00735ECC">
        <w:rPr>
          <w:rFonts w:cstheme="minorHAnsi"/>
        </w:rPr>
        <w:t xml:space="preserve"> Andrew</w:t>
      </w:r>
    </w:p>
    <w:p w14:paraId="1AEBB95D" w14:textId="77777777" w:rsidR="00735ECC" w:rsidRPr="00735ECC" w:rsidRDefault="00735ECC" w:rsidP="00735ECC">
      <w:pPr>
        <w:spacing w:line="276" w:lineRule="auto"/>
        <w:rPr>
          <w:rFonts w:cstheme="minorHAnsi"/>
        </w:rPr>
      </w:pPr>
      <w:r w:rsidRPr="00735ECC">
        <w:rPr>
          <w:rFonts w:cstheme="minorHAnsi"/>
        </w:rPr>
        <w:t>Program Manager</w:t>
      </w:r>
    </w:p>
    <w:p w14:paraId="6032F388" w14:textId="77777777" w:rsidR="00735ECC" w:rsidRPr="00735ECC" w:rsidRDefault="00735ECC" w:rsidP="00735ECC">
      <w:pPr>
        <w:spacing w:line="276" w:lineRule="auto"/>
        <w:rPr>
          <w:rFonts w:cstheme="minorHAnsi"/>
        </w:rPr>
      </w:pPr>
      <w:r w:rsidRPr="00735ECC">
        <w:rPr>
          <w:rFonts w:cstheme="minorHAnsi"/>
        </w:rPr>
        <w:t>Australian Women Against Violence Alliance</w:t>
      </w:r>
    </w:p>
    <w:p w14:paraId="7D1541D2" w14:textId="7E20DEE4" w:rsidR="00735ECC" w:rsidRDefault="000F6E88" w:rsidP="000B633C">
      <w:pPr>
        <w:spacing w:line="276" w:lineRule="auto"/>
        <w:rPr>
          <w:lang w:val="en-US"/>
        </w:rPr>
      </w:pPr>
      <w:hyperlink r:id="rId9" w:history="1">
        <w:r w:rsidR="00735ECC" w:rsidRPr="00735ECC">
          <w:rPr>
            <w:rStyle w:val="Hyperlink"/>
            <w:rFonts w:cstheme="minorHAnsi"/>
          </w:rPr>
          <w:t>www.awava.org.au</w:t>
        </w:r>
      </w:hyperlink>
      <w:r w:rsidR="00735ECC" w:rsidRPr="00735ECC">
        <w:rPr>
          <w:rFonts w:cstheme="minorHAnsi"/>
        </w:rPr>
        <w:t xml:space="preserve"> | </w:t>
      </w:r>
      <w:hyperlink r:id="rId10" w:history="1">
        <w:r w:rsidR="00735ECC" w:rsidRPr="00735ECC">
          <w:rPr>
            <w:rStyle w:val="Hyperlink"/>
            <w:rFonts w:cstheme="minorHAnsi"/>
          </w:rPr>
          <w:t>pm@awava.org.au</w:t>
        </w:r>
      </w:hyperlink>
      <w:r w:rsidR="00735ECC" w:rsidRPr="00735ECC">
        <w:rPr>
          <w:rFonts w:cstheme="minorHAnsi"/>
        </w:rPr>
        <w:t xml:space="preserve"> | </w:t>
      </w:r>
      <w:proofErr w:type="spellStart"/>
      <w:r w:rsidR="00735ECC" w:rsidRPr="00735ECC">
        <w:rPr>
          <w:rFonts w:cstheme="minorHAnsi"/>
        </w:rPr>
        <w:t>ph</w:t>
      </w:r>
      <w:proofErr w:type="spellEnd"/>
      <w:r w:rsidR="00735ECC" w:rsidRPr="00735ECC">
        <w:rPr>
          <w:rFonts w:cstheme="minorHAnsi"/>
        </w:rPr>
        <w:t>: 0428 541 396</w:t>
      </w:r>
    </w:p>
    <w:sectPr w:rsidR="00735ECC" w:rsidSect="007156EF">
      <w:footerReference w:type="default" r:id="rId11"/>
      <w:headerReference w:type="first" r:id="rId12"/>
      <w:pgSz w:w="11906" w:h="16838"/>
      <w:pgMar w:top="1276" w:right="1440" w:bottom="113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23BA4" w14:textId="77777777" w:rsidR="000F6E88" w:rsidRDefault="000F6E88" w:rsidP="00E62A06">
      <w:r>
        <w:separator/>
      </w:r>
    </w:p>
  </w:endnote>
  <w:endnote w:type="continuationSeparator" w:id="0">
    <w:p w14:paraId="0A8A20DC" w14:textId="77777777" w:rsidR="000F6E88" w:rsidRDefault="000F6E88" w:rsidP="00E6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92912214"/>
      <w:docPartObj>
        <w:docPartGallery w:val="Page Numbers (Bottom of Page)"/>
        <w:docPartUnique/>
      </w:docPartObj>
    </w:sdtPr>
    <w:sdtEndPr/>
    <w:sdtContent>
      <w:sdt>
        <w:sdtPr>
          <w:rPr>
            <w:sz w:val="20"/>
            <w:szCs w:val="20"/>
          </w:rPr>
          <w:id w:val="-2109797810"/>
          <w:docPartObj>
            <w:docPartGallery w:val="Page Numbers (Top of Page)"/>
            <w:docPartUnique/>
          </w:docPartObj>
        </w:sdtPr>
        <w:sdtEndPr/>
        <w:sdtContent>
          <w:p w14:paraId="4BDB81E7" w14:textId="23943787" w:rsidR="00842B66" w:rsidRPr="00842B66" w:rsidRDefault="00842B66">
            <w:pPr>
              <w:pStyle w:val="Footer"/>
              <w:jc w:val="right"/>
              <w:rPr>
                <w:sz w:val="20"/>
                <w:szCs w:val="20"/>
              </w:rPr>
            </w:pPr>
            <w:r w:rsidRPr="00842B66">
              <w:rPr>
                <w:sz w:val="20"/>
                <w:szCs w:val="20"/>
              </w:rPr>
              <w:t xml:space="preserve">Page </w:t>
            </w:r>
            <w:r w:rsidRPr="00842B66">
              <w:rPr>
                <w:b/>
                <w:bCs/>
                <w:sz w:val="20"/>
                <w:szCs w:val="20"/>
              </w:rPr>
              <w:fldChar w:fldCharType="begin"/>
            </w:r>
            <w:r w:rsidRPr="00842B66">
              <w:rPr>
                <w:b/>
                <w:bCs/>
                <w:sz w:val="20"/>
                <w:szCs w:val="20"/>
              </w:rPr>
              <w:instrText xml:space="preserve"> PAGE </w:instrText>
            </w:r>
            <w:r w:rsidRPr="00842B66">
              <w:rPr>
                <w:b/>
                <w:bCs/>
                <w:sz w:val="20"/>
                <w:szCs w:val="20"/>
              </w:rPr>
              <w:fldChar w:fldCharType="separate"/>
            </w:r>
            <w:r w:rsidR="007156EF">
              <w:rPr>
                <w:b/>
                <w:bCs/>
                <w:noProof/>
                <w:sz w:val="20"/>
                <w:szCs w:val="20"/>
              </w:rPr>
              <w:t>4</w:t>
            </w:r>
            <w:r w:rsidRPr="00842B66">
              <w:rPr>
                <w:b/>
                <w:bCs/>
                <w:sz w:val="20"/>
                <w:szCs w:val="20"/>
              </w:rPr>
              <w:fldChar w:fldCharType="end"/>
            </w:r>
            <w:r w:rsidRPr="00842B66">
              <w:rPr>
                <w:sz w:val="20"/>
                <w:szCs w:val="20"/>
              </w:rPr>
              <w:t xml:space="preserve"> of </w:t>
            </w:r>
            <w:r w:rsidRPr="00842B66">
              <w:rPr>
                <w:b/>
                <w:bCs/>
                <w:sz w:val="20"/>
                <w:szCs w:val="20"/>
              </w:rPr>
              <w:fldChar w:fldCharType="begin"/>
            </w:r>
            <w:r w:rsidRPr="00842B66">
              <w:rPr>
                <w:b/>
                <w:bCs/>
                <w:sz w:val="20"/>
                <w:szCs w:val="20"/>
              </w:rPr>
              <w:instrText xml:space="preserve"> NUMPAGES  </w:instrText>
            </w:r>
            <w:r w:rsidRPr="00842B66">
              <w:rPr>
                <w:b/>
                <w:bCs/>
                <w:sz w:val="20"/>
                <w:szCs w:val="20"/>
              </w:rPr>
              <w:fldChar w:fldCharType="separate"/>
            </w:r>
            <w:r w:rsidR="007156EF">
              <w:rPr>
                <w:b/>
                <w:bCs/>
                <w:noProof/>
                <w:sz w:val="20"/>
                <w:szCs w:val="20"/>
              </w:rPr>
              <w:t>4</w:t>
            </w:r>
            <w:r w:rsidRPr="00842B66">
              <w:rPr>
                <w:b/>
                <w:bCs/>
                <w:sz w:val="20"/>
                <w:szCs w:val="20"/>
              </w:rPr>
              <w:fldChar w:fldCharType="end"/>
            </w:r>
          </w:p>
        </w:sdtContent>
      </w:sdt>
    </w:sdtContent>
  </w:sdt>
  <w:p w14:paraId="0AB06299" w14:textId="391D8A19" w:rsidR="00842B66" w:rsidRPr="00842B66" w:rsidRDefault="00842B66">
    <w:pPr>
      <w:pStyle w:val="Foo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73246" w14:textId="77777777" w:rsidR="000F6E88" w:rsidRDefault="000F6E88" w:rsidP="00E62A06">
      <w:r>
        <w:separator/>
      </w:r>
    </w:p>
  </w:footnote>
  <w:footnote w:type="continuationSeparator" w:id="0">
    <w:p w14:paraId="16804C18" w14:textId="77777777" w:rsidR="000F6E88" w:rsidRDefault="000F6E88" w:rsidP="00E62A06">
      <w:r>
        <w:continuationSeparator/>
      </w:r>
    </w:p>
  </w:footnote>
  <w:footnote w:id="1">
    <w:p w14:paraId="576E78B1" w14:textId="07B193B1" w:rsidR="0029644A" w:rsidRPr="000B633C" w:rsidRDefault="0029644A">
      <w:pPr>
        <w:pStyle w:val="FootnoteText"/>
        <w:rPr>
          <w:rFonts w:asciiTheme="majorHAnsi" w:hAnsiTheme="majorHAnsi" w:cstheme="majorHAnsi"/>
          <w:sz w:val="18"/>
          <w:szCs w:val="18"/>
          <w:lang w:val="en-US"/>
        </w:rPr>
      </w:pPr>
      <w:r w:rsidRPr="000B633C">
        <w:rPr>
          <w:rStyle w:val="FootnoteReference"/>
          <w:rFonts w:asciiTheme="majorHAnsi" w:hAnsiTheme="majorHAnsi" w:cstheme="majorHAnsi"/>
          <w:sz w:val="18"/>
          <w:szCs w:val="18"/>
        </w:rPr>
        <w:footnoteRef/>
      </w:r>
      <w:r w:rsidRPr="000B633C">
        <w:rPr>
          <w:rFonts w:asciiTheme="majorHAnsi" w:hAnsiTheme="majorHAnsi" w:cstheme="majorHAnsi"/>
          <w:sz w:val="18"/>
          <w:szCs w:val="18"/>
        </w:rPr>
        <w:t xml:space="preserve"> </w:t>
      </w:r>
      <w:r w:rsidRPr="000B633C">
        <w:rPr>
          <w:rFonts w:asciiTheme="majorHAnsi" w:hAnsiTheme="majorHAnsi" w:cstheme="majorHAnsi"/>
          <w:sz w:val="18"/>
          <w:szCs w:val="18"/>
          <w:lang w:val="en-US"/>
        </w:rPr>
        <w:t xml:space="preserve">AWAVA (2018) Submission on the review of early release of superannuation benefits </w:t>
      </w:r>
      <w:hyperlink r:id="rId1" w:history="1">
        <w:r w:rsidRPr="000B633C">
          <w:rPr>
            <w:rStyle w:val="Hyperlink"/>
            <w:rFonts w:asciiTheme="majorHAnsi" w:hAnsiTheme="majorHAnsi" w:cstheme="majorHAnsi"/>
            <w:sz w:val="18"/>
            <w:szCs w:val="18"/>
            <w:lang w:val="en-US"/>
          </w:rPr>
          <w:t>https://awava.org.au/2018/02/20/submissions/submission-early-release-superannuation?doing_wp_cron=1547611064.8651750087738037109375</w:t>
        </w:r>
      </w:hyperlink>
      <w:r w:rsidRPr="000B633C">
        <w:rPr>
          <w:rFonts w:asciiTheme="majorHAnsi" w:hAnsiTheme="majorHAnsi" w:cstheme="majorHAnsi"/>
          <w:sz w:val="18"/>
          <w:szCs w:val="18"/>
          <w:lang w:val="en-US"/>
        </w:rPr>
        <w:t xml:space="preserve"> </w:t>
      </w:r>
    </w:p>
  </w:footnote>
  <w:footnote w:id="2">
    <w:p w14:paraId="298B6B1C" w14:textId="5D331FEA" w:rsidR="0029644A" w:rsidRPr="000B633C" w:rsidRDefault="0029644A">
      <w:pPr>
        <w:pStyle w:val="FootnoteText"/>
        <w:rPr>
          <w:rFonts w:asciiTheme="majorHAnsi" w:hAnsiTheme="majorHAnsi" w:cstheme="majorHAnsi"/>
          <w:sz w:val="18"/>
          <w:szCs w:val="18"/>
          <w:lang w:val="en-US"/>
        </w:rPr>
      </w:pPr>
      <w:r w:rsidRPr="000B633C">
        <w:rPr>
          <w:rStyle w:val="FootnoteReference"/>
          <w:rFonts w:asciiTheme="majorHAnsi" w:hAnsiTheme="majorHAnsi" w:cstheme="majorHAnsi"/>
          <w:sz w:val="18"/>
          <w:szCs w:val="18"/>
        </w:rPr>
        <w:footnoteRef/>
      </w:r>
      <w:r w:rsidRPr="000B633C">
        <w:rPr>
          <w:rFonts w:asciiTheme="majorHAnsi" w:hAnsiTheme="majorHAnsi" w:cstheme="majorHAnsi"/>
          <w:sz w:val="18"/>
          <w:szCs w:val="18"/>
        </w:rPr>
        <w:t xml:space="preserve"> </w:t>
      </w:r>
      <w:r w:rsidRPr="000B633C">
        <w:rPr>
          <w:rFonts w:asciiTheme="majorHAnsi" w:hAnsiTheme="majorHAnsi" w:cstheme="majorHAnsi"/>
          <w:sz w:val="18"/>
          <w:szCs w:val="18"/>
          <w:lang w:val="en-US"/>
        </w:rPr>
        <w:t xml:space="preserve">The Treasury, Australian Government (2018) Review of Early Release of Superannuation Benefits. Further consultations and draft proposals. </w:t>
      </w:r>
    </w:p>
  </w:footnote>
  <w:footnote w:id="3">
    <w:p w14:paraId="3B7DBDE7" w14:textId="6D82089C" w:rsidR="00772281" w:rsidRPr="000B633C" w:rsidRDefault="00772281">
      <w:pPr>
        <w:pStyle w:val="FootnoteText"/>
        <w:rPr>
          <w:rFonts w:asciiTheme="majorHAnsi" w:hAnsiTheme="majorHAnsi" w:cstheme="majorHAnsi"/>
          <w:sz w:val="18"/>
          <w:szCs w:val="18"/>
          <w:lang w:val="en-US"/>
        </w:rPr>
      </w:pPr>
      <w:r w:rsidRPr="000B633C">
        <w:rPr>
          <w:rStyle w:val="FootnoteReference"/>
          <w:rFonts w:asciiTheme="majorHAnsi" w:hAnsiTheme="majorHAnsi" w:cstheme="majorHAnsi"/>
          <w:sz w:val="18"/>
          <w:szCs w:val="18"/>
        </w:rPr>
        <w:footnoteRef/>
      </w:r>
      <w:r w:rsidRPr="000B633C">
        <w:rPr>
          <w:rFonts w:asciiTheme="majorHAnsi" w:hAnsiTheme="majorHAnsi" w:cstheme="majorHAnsi"/>
          <w:sz w:val="18"/>
          <w:szCs w:val="18"/>
        </w:rPr>
        <w:t xml:space="preserve"> www.fecca.org.au/images/stories/ pdfs/fecca%20womens%20policy%20 2012.pdf p.5</w:t>
      </w:r>
    </w:p>
  </w:footnote>
  <w:footnote w:id="4">
    <w:p w14:paraId="31F84FFA" w14:textId="613FBE18" w:rsidR="0029644A" w:rsidRPr="000B633C" w:rsidRDefault="0029644A">
      <w:pPr>
        <w:pStyle w:val="FootnoteText"/>
        <w:rPr>
          <w:rFonts w:asciiTheme="majorHAnsi" w:hAnsiTheme="majorHAnsi" w:cstheme="majorHAnsi"/>
          <w:sz w:val="18"/>
          <w:szCs w:val="18"/>
          <w:lang w:val="en-US"/>
        </w:rPr>
      </w:pPr>
      <w:r w:rsidRPr="000B633C">
        <w:rPr>
          <w:rStyle w:val="FootnoteReference"/>
          <w:rFonts w:asciiTheme="majorHAnsi" w:hAnsiTheme="majorHAnsi" w:cstheme="majorHAnsi"/>
          <w:sz w:val="18"/>
          <w:szCs w:val="18"/>
        </w:rPr>
        <w:footnoteRef/>
      </w:r>
      <w:r w:rsidRPr="000B633C">
        <w:rPr>
          <w:rFonts w:asciiTheme="majorHAnsi" w:hAnsiTheme="majorHAnsi" w:cstheme="majorHAnsi"/>
          <w:sz w:val="18"/>
          <w:szCs w:val="18"/>
        </w:rPr>
        <w:t xml:space="preserve"> </w:t>
      </w:r>
      <w:r w:rsidRPr="000B633C">
        <w:rPr>
          <w:rFonts w:asciiTheme="majorHAnsi" w:hAnsiTheme="majorHAnsi" w:cstheme="majorHAnsi"/>
          <w:sz w:val="18"/>
          <w:szCs w:val="18"/>
          <w:lang w:val="en-US"/>
        </w:rPr>
        <w:t>Ibi</w:t>
      </w:r>
      <w:r w:rsidR="00735ECC" w:rsidRPr="000B633C">
        <w:rPr>
          <w:rFonts w:asciiTheme="majorHAnsi" w:hAnsiTheme="majorHAnsi" w:cstheme="majorHAnsi"/>
          <w:sz w:val="18"/>
          <w:szCs w:val="18"/>
          <w:lang w:val="en-US"/>
        </w:rPr>
        <w:t xml:space="preserve">d. </w:t>
      </w:r>
    </w:p>
  </w:footnote>
  <w:footnote w:id="5">
    <w:p w14:paraId="69EFE849" w14:textId="0B9A3012" w:rsidR="00B401A4" w:rsidRPr="000B633C" w:rsidRDefault="00B401A4">
      <w:pPr>
        <w:pStyle w:val="FootnoteText"/>
        <w:rPr>
          <w:rFonts w:asciiTheme="majorHAnsi" w:hAnsiTheme="majorHAnsi" w:cstheme="majorHAnsi"/>
          <w:sz w:val="18"/>
          <w:szCs w:val="18"/>
          <w:lang w:val="en-US"/>
        </w:rPr>
      </w:pPr>
      <w:r w:rsidRPr="000B633C">
        <w:rPr>
          <w:rStyle w:val="FootnoteReference"/>
          <w:rFonts w:asciiTheme="majorHAnsi" w:hAnsiTheme="majorHAnsi" w:cstheme="majorHAnsi"/>
          <w:sz w:val="18"/>
          <w:szCs w:val="18"/>
        </w:rPr>
        <w:footnoteRef/>
      </w:r>
      <w:r w:rsidRPr="000B633C">
        <w:rPr>
          <w:rFonts w:asciiTheme="majorHAnsi" w:hAnsiTheme="majorHAnsi" w:cstheme="majorHAnsi"/>
          <w:sz w:val="18"/>
          <w:szCs w:val="18"/>
        </w:rPr>
        <w:t xml:space="preserve"> </w:t>
      </w:r>
      <w:r w:rsidRPr="000B633C">
        <w:rPr>
          <w:rFonts w:asciiTheme="majorHAnsi" w:hAnsiTheme="majorHAnsi" w:cstheme="majorHAnsi"/>
          <w:sz w:val="18"/>
          <w:szCs w:val="18"/>
          <w:lang w:val="en-US"/>
        </w:rPr>
        <w:t xml:space="preserve">Migration Regulations 1994, Specification of Evidentiary Requirements – IMMI 12/116 </w:t>
      </w:r>
      <w:hyperlink r:id="rId2" w:history="1">
        <w:r w:rsidRPr="000B633C">
          <w:rPr>
            <w:rStyle w:val="Hyperlink"/>
            <w:rFonts w:asciiTheme="majorHAnsi" w:hAnsiTheme="majorHAnsi" w:cstheme="majorHAnsi"/>
            <w:sz w:val="18"/>
            <w:szCs w:val="18"/>
            <w:lang w:val="en-US"/>
          </w:rPr>
          <w:t>https://www.legislation.gov.au/Details/F2012L02237/Download</w:t>
        </w:r>
      </w:hyperlink>
      <w:r w:rsidRPr="000B633C">
        <w:rPr>
          <w:rFonts w:asciiTheme="majorHAnsi" w:hAnsiTheme="majorHAnsi" w:cstheme="majorHAnsi"/>
          <w:sz w:val="18"/>
          <w:szCs w:val="18"/>
          <w:lang w:val="en-US"/>
        </w:rPr>
        <w:t xml:space="preserve"> </w:t>
      </w:r>
    </w:p>
  </w:footnote>
  <w:footnote w:id="6">
    <w:p w14:paraId="165176B1" w14:textId="30BB15BA" w:rsidR="000F4351" w:rsidRPr="000B633C" w:rsidRDefault="000F4351">
      <w:pPr>
        <w:pStyle w:val="FootnoteText"/>
        <w:rPr>
          <w:rFonts w:asciiTheme="majorHAnsi" w:hAnsiTheme="majorHAnsi" w:cstheme="majorHAnsi"/>
          <w:sz w:val="18"/>
          <w:szCs w:val="18"/>
          <w:lang w:val="en-US"/>
        </w:rPr>
      </w:pPr>
      <w:r w:rsidRPr="000B633C">
        <w:rPr>
          <w:rStyle w:val="FootnoteReference"/>
          <w:rFonts w:asciiTheme="majorHAnsi" w:hAnsiTheme="majorHAnsi" w:cstheme="majorHAnsi"/>
          <w:sz w:val="18"/>
          <w:szCs w:val="18"/>
        </w:rPr>
        <w:footnoteRef/>
      </w:r>
      <w:r w:rsidRPr="000B633C">
        <w:rPr>
          <w:rFonts w:asciiTheme="majorHAnsi" w:hAnsiTheme="majorHAnsi" w:cstheme="majorHAnsi"/>
          <w:sz w:val="18"/>
          <w:szCs w:val="18"/>
        </w:rPr>
        <w:t xml:space="preserve"> </w:t>
      </w:r>
      <w:r w:rsidRPr="000B633C">
        <w:rPr>
          <w:rFonts w:asciiTheme="majorHAnsi" w:hAnsiTheme="majorHAnsi" w:cstheme="majorHAnsi"/>
          <w:sz w:val="18"/>
          <w:szCs w:val="18"/>
          <w:lang w:val="en-US"/>
        </w:rPr>
        <w:t xml:space="preserve">AWAVA (2016) Policy Brief. The Unique Role of Specialist Women’s Services in Australia’s Response to Violence Against Women and their Children. </w:t>
      </w:r>
      <w:hyperlink r:id="rId3" w:history="1">
        <w:r w:rsidRPr="000B633C">
          <w:rPr>
            <w:rStyle w:val="Hyperlink"/>
            <w:rFonts w:asciiTheme="majorHAnsi" w:hAnsiTheme="majorHAnsi" w:cstheme="majorHAnsi"/>
            <w:sz w:val="18"/>
            <w:szCs w:val="18"/>
            <w:lang w:val="en-US"/>
          </w:rPr>
          <w:t>https://awava.org.au/2016/04/07/research-and-reports/role-specialist-womens-services-australias-response-violence-women-children?doing_wp_cron=1547611372.7719249725341796875000</w:t>
        </w:r>
      </w:hyperlink>
      <w:r w:rsidRPr="000B633C">
        <w:rPr>
          <w:rFonts w:asciiTheme="majorHAnsi" w:hAnsiTheme="majorHAnsi" w:cstheme="majorHAnsi"/>
          <w:sz w:val="18"/>
          <w:szCs w:val="18"/>
          <w:lang w:val="en-US"/>
        </w:rPr>
        <w:t xml:space="preserve"> </w:t>
      </w:r>
    </w:p>
  </w:footnote>
  <w:footnote w:id="7">
    <w:p w14:paraId="191D9E14" w14:textId="3377A5A5" w:rsidR="0092152A" w:rsidRPr="000B633C" w:rsidRDefault="0092152A">
      <w:pPr>
        <w:pStyle w:val="FootnoteText"/>
        <w:rPr>
          <w:rFonts w:asciiTheme="majorHAnsi" w:hAnsiTheme="majorHAnsi" w:cstheme="majorHAnsi"/>
          <w:sz w:val="18"/>
          <w:szCs w:val="18"/>
          <w:lang w:val="en-US"/>
        </w:rPr>
      </w:pPr>
      <w:r w:rsidRPr="000B633C">
        <w:rPr>
          <w:rStyle w:val="FootnoteReference"/>
          <w:rFonts w:asciiTheme="majorHAnsi" w:hAnsiTheme="majorHAnsi" w:cstheme="majorHAnsi"/>
          <w:sz w:val="18"/>
          <w:szCs w:val="18"/>
        </w:rPr>
        <w:footnoteRef/>
      </w:r>
      <w:r w:rsidRPr="000B633C">
        <w:rPr>
          <w:rFonts w:asciiTheme="majorHAnsi" w:hAnsiTheme="majorHAnsi" w:cstheme="majorHAnsi"/>
          <w:sz w:val="18"/>
          <w:szCs w:val="18"/>
        </w:rPr>
        <w:t xml:space="preserve"> South Australian </w:t>
      </w:r>
      <w:r w:rsidRPr="000B633C">
        <w:rPr>
          <w:rFonts w:asciiTheme="majorHAnsi" w:hAnsiTheme="majorHAnsi" w:cstheme="majorHAnsi"/>
          <w:sz w:val="18"/>
          <w:szCs w:val="18"/>
          <w:lang w:val="en-US"/>
        </w:rPr>
        <w:t xml:space="preserve">Residential Tenancy Protections for Domestic Violence Victims </w:t>
      </w:r>
      <w:hyperlink r:id="rId4" w:history="1">
        <w:r w:rsidRPr="000B633C">
          <w:rPr>
            <w:rStyle w:val="Hyperlink"/>
            <w:rFonts w:asciiTheme="majorHAnsi" w:hAnsiTheme="majorHAnsi" w:cstheme="majorHAnsi"/>
            <w:sz w:val="18"/>
            <w:szCs w:val="18"/>
            <w:lang w:val="en-US"/>
          </w:rPr>
          <w:t>https://www.sa.gov.au/topics/housing/resolving-problems-and-disputes/domestic-violence-protections-for-renters</w:t>
        </w:r>
      </w:hyperlink>
      <w:r w:rsidRPr="000B633C">
        <w:rPr>
          <w:rFonts w:asciiTheme="majorHAnsi" w:hAnsiTheme="majorHAnsi" w:cstheme="majorHAnsi"/>
          <w:sz w:val="18"/>
          <w:szCs w:val="18"/>
          <w:lang w:val="en-US"/>
        </w:rPr>
        <w:t xml:space="preserve"> </w:t>
      </w:r>
    </w:p>
  </w:footnote>
  <w:footnote w:id="8">
    <w:p w14:paraId="1BCA0881" w14:textId="71C81E1D" w:rsidR="0092152A" w:rsidRPr="000B633C" w:rsidRDefault="0092152A">
      <w:pPr>
        <w:pStyle w:val="FootnoteText"/>
        <w:rPr>
          <w:rFonts w:asciiTheme="majorHAnsi" w:hAnsiTheme="majorHAnsi" w:cstheme="majorHAnsi"/>
          <w:sz w:val="18"/>
          <w:szCs w:val="18"/>
          <w:lang w:val="en-US"/>
        </w:rPr>
      </w:pPr>
      <w:r w:rsidRPr="000B633C">
        <w:rPr>
          <w:rStyle w:val="FootnoteReference"/>
          <w:rFonts w:asciiTheme="majorHAnsi" w:hAnsiTheme="majorHAnsi" w:cstheme="majorHAnsi"/>
          <w:sz w:val="18"/>
          <w:szCs w:val="18"/>
        </w:rPr>
        <w:footnoteRef/>
      </w:r>
      <w:r w:rsidRPr="000B633C">
        <w:rPr>
          <w:rFonts w:asciiTheme="majorHAnsi" w:hAnsiTheme="majorHAnsi" w:cstheme="majorHAnsi"/>
          <w:sz w:val="18"/>
          <w:szCs w:val="18"/>
        </w:rPr>
        <w:t xml:space="preserve"> </w:t>
      </w:r>
      <w:r w:rsidRPr="000B633C">
        <w:rPr>
          <w:rFonts w:asciiTheme="majorHAnsi" w:hAnsiTheme="majorHAnsi" w:cstheme="majorHAnsi"/>
          <w:sz w:val="18"/>
          <w:szCs w:val="18"/>
          <w:lang w:val="en-US"/>
        </w:rPr>
        <w:t xml:space="preserve">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784E" w14:textId="1D9A0527" w:rsidR="00842B66" w:rsidRDefault="00842B66">
    <w:pPr>
      <w:pStyle w:val="Header"/>
    </w:pPr>
    <w:r>
      <w:rPr>
        <w:noProof/>
        <w:lang w:val="en-AU" w:eastAsia="en-AU"/>
      </w:rPr>
      <w:drawing>
        <wp:anchor distT="0" distB="0" distL="114300" distR="114300" simplePos="0" relativeHeight="251659264" behindDoc="0" locked="0" layoutInCell="1" allowOverlap="1" wp14:anchorId="38C47213" wp14:editId="2B30EE2F">
          <wp:simplePos x="0" y="0"/>
          <wp:positionH relativeFrom="column">
            <wp:posOffset>-935182</wp:posOffset>
          </wp:positionH>
          <wp:positionV relativeFrom="paragraph">
            <wp:posOffset>-457661</wp:posOffset>
          </wp:positionV>
          <wp:extent cx="7656830" cy="1552575"/>
          <wp:effectExtent l="0" t="0" r="127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722D"/>
    <w:multiLevelType w:val="hybridMultilevel"/>
    <w:tmpl w:val="B82CE8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3F2CC6"/>
    <w:multiLevelType w:val="multilevel"/>
    <w:tmpl w:val="FC866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C61449"/>
    <w:multiLevelType w:val="multilevel"/>
    <w:tmpl w:val="9D1240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43582C"/>
    <w:multiLevelType w:val="hybridMultilevel"/>
    <w:tmpl w:val="5D867B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376B3"/>
    <w:multiLevelType w:val="hybridMultilevel"/>
    <w:tmpl w:val="ECF6215C"/>
    <w:lvl w:ilvl="0" w:tplc="FDA8E25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3B6376"/>
    <w:multiLevelType w:val="hybridMultilevel"/>
    <w:tmpl w:val="DCC2B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F72D6"/>
    <w:multiLevelType w:val="multilevel"/>
    <w:tmpl w:val="B5E8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60B9F"/>
    <w:multiLevelType w:val="multilevel"/>
    <w:tmpl w:val="18D4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6"/>
  </w:num>
  <w:num w:numId="6">
    <w:abstractNumId w:val="7"/>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B1"/>
    <w:rsid w:val="00033EE1"/>
    <w:rsid w:val="00060386"/>
    <w:rsid w:val="000A05CB"/>
    <w:rsid w:val="000A0CCC"/>
    <w:rsid w:val="000B633C"/>
    <w:rsid w:val="000D6F0B"/>
    <w:rsid w:val="000F4351"/>
    <w:rsid w:val="000F6E88"/>
    <w:rsid w:val="00121407"/>
    <w:rsid w:val="00157214"/>
    <w:rsid w:val="001676D7"/>
    <w:rsid w:val="00221624"/>
    <w:rsid w:val="002562C6"/>
    <w:rsid w:val="0027017C"/>
    <w:rsid w:val="0029644A"/>
    <w:rsid w:val="002C2AD2"/>
    <w:rsid w:val="002E61CB"/>
    <w:rsid w:val="003264C7"/>
    <w:rsid w:val="003364C7"/>
    <w:rsid w:val="00341DC8"/>
    <w:rsid w:val="00377B8F"/>
    <w:rsid w:val="003D2148"/>
    <w:rsid w:val="003D7A26"/>
    <w:rsid w:val="003F2646"/>
    <w:rsid w:val="003F79BC"/>
    <w:rsid w:val="004D4ADF"/>
    <w:rsid w:val="004D6AE4"/>
    <w:rsid w:val="004D75A5"/>
    <w:rsid w:val="00525D61"/>
    <w:rsid w:val="005A6DF7"/>
    <w:rsid w:val="0061021E"/>
    <w:rsid w:val="00616561"/>
    <w:rsid w:val="006870B8"/>
    <w:rsid w:val="006A7564"/>
    <w:rsid w:val="006D1515"/>
    <w:rsid w:val="006E47AC"/>
    <w:rsid w:val="007156EF"/>
    <w:rsid w:val="00735ECC"/>
    <w:rsid w:val="00772281"/>
    <w:rsid w:val="007D7E0D"/>
    <w:rsid w:val="008428B8"/>
    <w:rsid w:val="00842B66"/>
    <w:rsid w:val="008933D0"/>
    <w:rsid w:val="008A246B"/>
    <w:rsid w:val="00901599"/>
    <w:rsid w:val="0090702C"/>
    <w:rsid w:val="009179B1"/>
    <w:rsid w:val="0092152A"/>
    <w:rsid w:val="00935DE5"/>
    <w:rsid w:val="00970E67"/>
    <w:rsid w:val="00971C33"/>
    <w:rsid w:val="00997CFC"/>
    <w:rsid w:val="00A67DCF"/>
    <w:rsid w:val="00A72883"/>
    <w:rsid w:val="00AD4EA9"/>
    <w:rsid w:val="00B326CF"/>
    <w:rsid w:val="00B342C0"/>
    <w:rsid w:val="00B401A4"/>
    <w:rsid w:val="00B45555"/>
    <w:rsid w:val="00B710FE"/>
    <w:rsid w:val="00BA4DA3"/>
    <w:rsid w:val="00BD33D8"/>
    <w:rsid w:val="00BD4E8A"/>
    <w:rsid w:val="00CA65B8"/>
    <w:rsid w:val="00CF0B8A"/>
    <w:rsid w:val="00D60401"/>
    <w:rsid w:val="00D65E4D"/>
    <w:rsid w:val="00D7496A"/>
    <w:rsid w:val="00E62A06"/>
    <w:rsid w:val="00E62CBF"/>
    <w:rsid w:val="00ED1D23"/>
    <w:rsid w:val="00EF6321"/>
    <w:rsid w:val="00F10980"/>
    <w:rsid w:val="00FD2DBE"/>
    <w:rsid w:val="00FE3CBE"/>
    <w:rsid w:val="00FF6214"/>
    <w:rsid w:val="00FF6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9D38"/>
  <w15:chartTrackingRefBased/>
  <w15:docId w15:val="{F18DD242-6F23-407F-8693-FB0DE55A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FE"/>
    <w:pPr>
      <w:spacing w:after="0" w:line="240" w:lineRule="auto"/>
      <w:jc w:val="both"/>
    </w:pPr>
    <w:rPr>
      <w:rFonts w:asciiTheme="majorHAnsi" w:hAnsiTheme="majorHAnsi" w:cs="Times New Roman"/>
      <w:lang w:val="en-GB" w:eastAsia="en-GB"/>
    </w:rPr>
  </w:style>
  <w:style w:type="paragraph" w:styleId="Heading1">
    <w:name w:val="heading 1"/>
    <w:basedOn w:val="Normal"/>
    <w:next w:val="Normal"/>
    <w:link w:val="Heading1Char"/>
    <w:autoRedefine/>
    <w:uiPriority w:val="9"/>
    <w:qFormat/>
    <w:rsid w:val="00221624"/>
    <w:pPr>
      <w:keepNext/>
      <w:keepLines/>
      <w:spacing w:before="240"/>
      <w:outlineLvl w:val="0"/>
    </w:pPr>
    <w:rPr>
      <w:rFonts w:eastAsiaTheme="majorEastAsia" w:cstheme="majorBidi"/>
      <w:b/>
      <w:color w:val="7030A0"/>
      <w:sz w:val="32"/>
      <w:szCs w:val="32"/>
    </w:rPr>
  </w:style>
  <w:style w:type="paragraph" w:styleId="Heading2">
    <w:name w:val="heading 2"/>
    <w:basedOn w:val="Normal"/>
    <w:next w:val="Normal"/>
    <w:link w:val="Heading2Char"/>
    <w:autoRedefine/>
    <w:uiPriority w:val="9"/>
    <w:unhideWhenUsed/>
    <w:qFormat/>
    <w:rsid w:val="00221624"/>
    <w:pPr>
      <w:keepNext/>
      <w:keepLines/>
      <w:spacing w:before="40" w:line="256" w:lineRule="auto"/>
      <w:outlineLvl w:val="1"/>
    </w:pPr>
    <w:rPr>
      <w:rFonts w:eastAsiaTheme="majorEastAsia" w:cstheme="majorBidi"/>
      <w:b/>
      <w:color w:val="CC00FF"/>
      <w:sz w:val="26"/>
      <w:szCs w:val="26"/>
    </w:rPr>
  </w:style>
  <w:style w:type="paragraph" w:styleId="Heading3">
    <w:name w:val="heading 3"/>
    <w:basedOn w:val="Normal"/>
    <w:next w:val="Normal"/>
    <w:link w:val="Heading3Char"/>
    <w:autoRedefine/>
    <w:uiPriority w:val="9"/>
    <w:unhideWhenUsed/>
    <w:qFormat/>
    <w:rsid w:val="00341DC8"/>
    <w:pPr>
      <w:keepNext/>
      <w:keepLines/>
      <w:spacing w:before="120" w:after="120"/>
      <w:outlineLvl w:val="2"/>
    </w:pPr>
    <w:rPr>
      <w:rFonts w:eastAsiaTheme="majorEastAsia" w:cstheme="majorHAnsi"/>
      <w:b/>
      <w:color w:val="CC00FF"/>
      <w:szCs w:val="20"/>
      <w:lang w:val="en-US"/>
    </w:rPr>
  </w:style>
  <w:style w:type="paragraph" w:styleId="Heading4">
    <w:name w:val="heading 4"/>
    <w:basedOn w:val="Normal"/>
    <w:next w:val="Normal"/>
    <w:link w:val="Heading4Char"/>
    <w:autoRedefine/>
    <w:uiPriority w:val="9"/>
    <w:unhideWhenUsed/>
    <w:qFormat/>
    <w:rsid w:val="00FD2DBE"/>
    <w:pPr>
      <w:keepNext/>
      <w:keepLines/>
      <w:spacing w:before="40"/>
      <w:outlineLvl w:val="3"/>
    </w:pPr>
    <w:rPr>
      <w:rFonts w:eastAsiaTheme="majorEastAsia" w:cstheme="majorBidi"/>
      <w:b/>
      <w:iCs/>
      <w:color w:val="FF00FF"/>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221624"/>
    <w:rPr>
      <w:rFonts w:asciiTheme="majorHAnsi" w:eastAsiaTheme="majorEastAsia" w:hAnsiTheme="majorHAnsi" w:cstheme="majorBidi"/>
      <w:b/>
      <w:color w:val="CC00FF"/>
      <w:sz w:val="26"/>
      <w:szCs w:val="26"/>
    </w:rPr>
  </w:style>
  <w:style w:type="character" w:customStyle="1" w:styleId="Heading3Char">
    <w:name w:val="Heading 3 Char"/>
    <w:basedOn w:val="DefaultParagraphFont"/>
    <w:link w:val="Heading3"/>
    <w:uiPriority w:val="9"/>
    <w:rsid w:val="00341DC8"/>
    <w:rPr>
      <w:rFonts w:asciiTheme="majorHAnsi" w:eastAsiaTheme="majorEastAsia" w:hAnsiTheme="majorHAnsi" w:cstheme="majorHAnsi"/>
      <w:b/>
      <w:color w:val="CC00FF"/>
      <w:szCs w:val="20"/>
      <w:lang w:val="en-US"/>
    </w:rPr>
  </w:style>
  <w:style w:type="character" w:customStyle="1" w:styleId="Heading4Char">
    <w:name w:val="Heading 4 Char"/>
    <w:basedOn w:val="DefaultParagraphFont"/>
    <w:link w:val="Heading4"/>
    <w:uiPriority w:val="9"/>
    <w:rsid w:val="00FD2DBE"/>
    <w:rPr>
      <w:rFonts w:asciiTheme="majorHAnsi" w:eastAsiaTheme="majorEastAsia" w:hAnsiTheme="majorHAnsi" w:cstheme="majorBidi"/>
      <w:b/>
      <w:iCs/>
      <w:color w:val="FF00FF"/>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paragraph" w:styleId="ListParagraph">
    <w:name w:val="List Paragraph"/>
    <w:basedOn w:val="Normal"/>
    <w:uiPriority w:val="34"/>
    <w:qFormat/>
    <w:rsid w:val="009179B1"/>
    <w:pPr>
      <w:ind w:left="720"/>
      <w:contextualSpacing/>
    </w:pPr>
  </w:style>
  <w:style w:type="paragraph" w:styleId="FootnoteText">
    <w:name w:val="footnote text"/>
    <w:aliases w:val="FN,fn,Footnote Text Char Char,Footnote Text Char1 Char Char,Footnote Text Char Char Char Char,Footnote Text Char Char1,Footnote Text Char1 Char,Footnote Text Char Char Char,Footnote ak,Ca,Footnote Text Char1"/>
    <w:basedOn w:val="Normal"/>
    <w:link w:val="FootnoteTextChar"/>
    <w:uiPriority w:val="99"/>
    <w:unhideWhenUsed/>
    <w:qFormat/>
    <w:rsid w:val="00E62A06"/>
    <w:pPr>
      <w:jc w:val="left"/>
    </w:pPr>
    <w:rPr>
      <w:rFonts w:asciiTheme="minorHAnsi" w:hAnsiTheme="minorHAnsi" w:cstheme="minorBidi"/>
      <w:sz w:val="20"/>
      <w:szCs w:val="20"/>
      <w:lang w:val="en-AU" w:eastAsia="en-US"/>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rsid w:val="00E62A06"/>
    <w:rPr>
      <w:sz w:val="20"/>
      <w:szCs w:val="20"/>
    </w:rPr>
  </w:style>
  <w:style w:type="character" w:styleId="Hyperlink">
    <w:name w:val="Hyperlink"/>
    <w:basedOn w:val="DefaultParagraphFont"/>
    <w:uiPriority w:val="99"/>
    <w:unhideWhenUsed/>
    <w:rsid w:val="00E62A06"/>
    <w:rPr>
      <w:color w:val="0563C1" w:themeColor="hyperlink"/>
      <w:u w:val="single"/>
    </w:rPr>
  </w:style>
  <w:style w:type="character" w:styleId="CommentReference">
    <w:name w:val="annotation reference"/>
    <w:basedOn w:val="DefaultParagraphFont"/>
    <w:uiPriority w:val="99"/>
    <w:semiHidden/>
    <w:unhideWhenUsed/>
    <w:rsid w:val="00E62A06"/>
    <w:rPr>
      <w:sz w:val="16"/>
      <w:szCs w:val="16"/>
    </w:rPr>
  </w:style>
  <w:style w:type="paragraph" w:styleId="CommentText">
    <w:name w:val="annotation text"/>
    <w:basedOn w:val="Normal"/>
    <w:link w:val="CommentTextChar"/>
    <w:uiPriority w:val="99"/>
    <w:semiHidden/>
    <w:unhideWhenUsed/>
    <w:rsid w:val="00E62A06"/>
    <w:rPr>
      <w:sz w:val="20"/>
      <w:szCs w:val="20"/>
    </w:rPr>
  </w:style>
  <w:style w:type="character" w:customStyle="1" w:styleId="CommentTextChar">
    <w:name w:val="Comment Text Char"/>
    <w:basedOn w:val="DefaultParagraphFont"/>
    <w:link w:val="CommentText"/>
    <w:uiPriority w:val="99"/>
    <w:semiHidden/>
    <w:rsid w:val="00E62A06"/>
    <w:rPr>
      <w:rFonts w:asciiTheme="majorHAnsi" w:hAnsiTheme="majorHAns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62A06"/>
    <w:rPr>
      <w:b/>
      <w:bCs/>
    </w:rPr>
  </w:style>
  <w:style w:type="character" w:customStyle="1" w:styleId="CommentSubjectChar">
    <w:name w:val="Comment Subject Char"/>
    <w:basedOn w:val="CommentTextChar"/>
    <w:link w:val="CommentSubject"/>
    <w:uiPriority w:val="99"/>
    <w:semiHidden/>
    <w:rsid w:val="00E62A06"/>
    <w:rPr>
      <w:rFonts w:asciiTheme="majorHAnsi" w:hAnsiTheme="majorHAnsi" w:cs="Times New Roman"/>
      <w:b/>
      <w:bCs/>
      <w:sz w:val="20"/>
      <w:szCs w:val="20"/>
      <w:lang w:val="en-GB" w:eastAsia="en-GB"/>
    </w:rPr>
  </w:style>
  <w:style w:type="paragraph" w:styleId="BalloonText">
    <w:name w:val="Balloon Text"/>
    <w:basedOn w:val="Normal"/>
    <w:link w:val="BalloonTextChar"/>
    <w:uiPriority w:val="99"/>
    <w:semiHidden/>
    <w:unhideWhenUsed/>
    <w:rsid w:val="00E62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06"/>
    <w:rPr>
      <w:rFonts w:ascii="Segoe UI" w:hAnsi="Segoe UI" w:cs="Segoe UI"/>
      <w:sz w:val="18"/>
      <w:szCs w:val="18"/>
      <w:lang w:val="en-GB" w:eastAsia="en-GB"/>
    </w:rPr>
  </w:style>
  <w:style w:type="paragraph" w:customStyle="1" w:styleId="Default">
    <w:name w:val="Default"/>
    <w:rsid w:val="00B342C0"/>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970E67"/>
    <w:rPr>
      <w:vertAlign w:val="superscript"/>
    </w:rPr>
  </w:style>
  <w:style w:type="paragraph" w:styleId="Header">
    <w:name w:val="header"/>
    <w:basedOn w:val="Normal"/>
    <w:link w:val="HeaderChar"/>
    <w:uiPriority w:val="99"/>
    <w:unhideWhenUsed/>
    <w:rsid w:val="00842B66"/>
    <w:pPr>
      <w:tabs>
        <w:tab w:val="center" w:pos="4513"/>
        <w:tab w:val="right" w:pos="9026"/>
      </w:tabs>
    </w:pPr>
  </w:style>
  <w:style w:type="character" w:customStyle="1" w:styleId="HeaderChar">
    <w:name w:val="Header Char"/>
    <w:basedOn w:val="DefaultParagraphFont"/>
    <w:link w:val="Header"/>
    <w:uiPriority w:val="99"/>
    <w:rsid w:val="00842B66"/>
    <w:rPr>
      <w:rFonts w:asciiTheme="majorHAnsi" w:hAnsiTheme="majorHAnsi" w:cs="Times New Roman"/>
      <w:lang w:val="en-GB" w:eastAsia="en-GB"/>
    </w:rPr>
  </w:style>
  <w:style w:type="paragraph" w:styleId="Footer">
    <w:name w:val="footer"/>
    <w:basedOn w:val="Normal"/>
    <w:link w:val="FooterChar"/>
    <w:uiPriority w:val="99"/>
    <w:unhideWhenUsed/>
    <w:rsid w:val="00842B66"/>
    <w:pPr>
      <w:tabs>
        <w:tab w:val="center" w:pos="4513"/>
        <w:tab w:val="right" w:pos="9026"/>
      </w:tabs>
    </w:pPr>
  </w:style>
  <w:style w:type="character" w:customStyle="1" w:styleId="FooterChar">
    <w:name w:val="Footer Char"/>
    <w:basedOn w:val="DefaultParagraphFont"/>
    <w:link w:val="Footer"/>
    <w:uiPriority w:val="99"/>
    <w:rsid w:val="00842B66"/>
    <w:rPr>
      <w:rFonts w:asciiTheme="majorHAnsi" w:hAnsiTheme="majorHAns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77374">
      <w:bodyDiv w:val="1"/>
      <w:marLeft w:val="0"/>
      <w:marRight w:val="0"/>
      <w:marTop w:val="0"/>
      <w:marBottom w:val="0"/>
      <w:divBdr>
        <w:top w:val="none" w:sz="0" w:space="0" w:color="auto"/>
        <w:left w:val="none" w:sz="0" w:space="0" w:color="auto"/>
        <w:bottom w:val="none" w:sz="0" w:space="0" w:color="auto"/>
        <w:right w:val="none" w:sz="0" w:space="0" w:color="auto"/>
      </w:divBdr>
    </w:div>
    <w:div w:id="1697850427">
      <w:bodyDiv w:val="1"/>
      <w:marLeft w:val="0"/>
      <w:marRight w:val="0"/>
      <w:marTop w:val="0"/>
      <w:marBottom w:val="0"/>
      <w:divBdr>
        <w:top w:val="none" w:sz="0" w:space="0" w:color="auto"/>
        <w:left w:val="none" w:sz="0" w:space="0" w:color="auto"/>
        <w:bottom w:val="none" w:sz="0" w:space="0" w:color="auto"/>
        <w:right w:val="none" w:sz="0" w:space="0" w:color="auto"/>
      </w:divBdr>
    </w:div>
    <w:div w:id="1782414081">
      <w:bodyDiv w:val="1"/>
      <w:marLeft w:val="0"/>
      <w:marRight w:val="0"/>
      <w:marTop w:val="0"/>
      <w:marBottom w:val="0"/>
      <w:divBdr>
        <w:top w:val="none" w:sz="0" w:space="0" w:color="auto"/>
        <w:left w:val="none" w:sz="0" w:space="0" w:color="auto"/>
        <w:bottom w:val="none" w:sz="0" w:space="0" w:color="auto"/>
        <w:right w:val="none" w:sz="0" w:space="0" w:color="auto"/>
      </w:divBdr>
    </w:div>
    <w:div w:id="1957103014">
      <w:bodyDiv w:val="1"/>
      <w:marLeft w:val="0"/>
      <w:marRight w:val="0"/>
      <w:marTop w:val="0"/>
      <w:marBottom w:val="0"/>
      <w:divBdr>
        <w:top w:val="none" w:sz="0" w:space="0" w:color="auto"/>
        <w:left w:val="none" w:sz="0" w:space="0" w:color="auto"/>
        <w:bottom w:val="none" w:sz="0" w:space="0" w:color="auto"/>
        <w:right w:val="none" w:sz="0" w:space="0" w:color="auto"/>
      </w:divBdr>
    </w:div>
    <w:div w:id="20132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erannuation@treasury.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m@awava.org.au" TargetMode="External"/><Relationship Id="rId4" Type="http://schemas.openxmlformats.org/officeDocument/2006/relationships/settings" Target="settings.xml"/><Relationship Id="rId9" Type="http://schemas.openxmlformats.org/officeDocument/2006/relationships/hyperlink" Target="http://www.awava.org.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wava.org.au/2016/04/07/research-and-reports/role-specialist-womens-services-australias-response-violence-women-children?doing_wp_cron=1547611372.7719249725341796875000" TargetMode="External"/><Relationship Id="rId2" Type="http://schemas.openxmlformats.org/officeDocument/2006/relationships/hyperlink" Target="https://www.legislation.gov.au/Details/F2012L02237/Download" TargetMode="External"/><Relationship Id="rId1" Type="http://schemas.openxmlformats.org/officeDocument/2006/relationships/hyperlink" Target="https://awava.org.au/2018/02/20/submissions/submission-early-release-superannuation?doing_wp_cron=1547611064.8651750087738037109375" TargetMode="External"/><Relationship Id="rId4" Type="http://schemas.openxmlformats.org/officeDocument/2006/relationships/hyperlink" Target="https://www.sa.gov.au/topics/housing/resolving-problems-and-disputes/domestic-violence-protections-for-ren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85A0-0A22-45D4-8E6B-07A7ADCB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ProgramManager</cp:lastModifiedBy>
  <cp:revision>48</cp:revision>
  <dcterms:created xsi:type="dcterms:W3CDTF">2019-01-14T02:49:00Z</dcterms:created>
  <dcterms:modified xsi:type="dcterms:W3CDTF">2019-02-14T04:25:00Z</dcterms:modified>
</cp:coreProperties>
</file>