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3A480" w14:textId="3AD92CAD" w:rsidR="00BD0EEC" w:rsidRPr="00F6116D" w:rsidRDefault="00F97F3D" w:rsidP="008B1215">
      <w:pPr>
        <w:pStyle w:val="NoSpacing"/>
        <w:rPr>
          <w:sz w:val="24"/>
          <w:szCs w:val="24"/>
          <w:lang w:val="en-US"/>
        </w:rPr>
      </w:pPr>
      <w:r w:rsidRPr="00F6116D">
        <w:rPr>
          <w:sz w:val="24"/>
          <w:szCs w:val="24"/>
          <w:lang w:val="en-US"/>
        </w:rPr>
        <w:t xml:space="preserve">To: Consultation on the </w:t>
      </w:r>
      <w:r w:rsidR="005B56D8" w:rsidRPr="00F6116D">
        <w:rPr>
          <w:sz w:val="24"/>
          <w:szCs w:val="24"/>
          <w:lang w:val="en-US"/>
        </w:rPr>
        <w:t xml:space="preserve">National Women’s Health Strategy </w:t>
      </w:r>
    </w:p>
    <w:p w14:paraId="1651D246" w14:textId="0099613B" w:rsidR="00F97F3D" w:rsidRPr="00F6116D" w:rsidRDefault="00F97F3D" w:rsidP="008B1215">
      <w:pPr>
        <w:pStyle w:val="NoSpacing"/>
        <w:rPr>
          <w:sz w:val="24"/>
          <w:szCs w:val="24"/>
          <w:lang w:val="en-US"/>
        </w:rPr>
      </w:pPr>
      <w:r w:rsidRPr="00F6116D">
        <w:rPr>
          <w:sz w:val="24"/>
          <w:szCs w:val="24"/>
          <w:lang w:val="en-US"/>
        </w:rPr>
        <w:t>Commonwealth Department of Health</w:t>
      </w:r>
    </w:p>
    <w:p w14:paraId="042D6761" w14:textId="23873D92" w:rsidR="00F97F3D" w:rsidRPr="00F6116D" w:rsidRDefault="00F97F3D" w:rsidP="008B1215">
      <w:pPr>
        <w:pStyle w:val="NoSpacing"/>
        <w:rPr>
          <w:sz w:val="24"/>
          <w:szCs w:val="24"/>
          <w:lang w:val="en-US"/>
        </w:rPr>
      </w:pPr>
      <w:r w:rsidRPr="00F6116D">
        <w:rPr>
          <w:sz w:val="24"/>
          <w:szCs w:val="24"/>
          <w:lang w:val="en-US"/>
        </w:rPr>
        <w:t>By online survey</w:t>
      </w:r>
    </w:p>
    <w:p w14:paraId="20895ECF" w14:textId="42E74826" w:rsidR="007E1051" w:rsidRPr="00F6116D" w:rsidRDefault="005B56D8" w:rsidP="008B1215">
      <w:pPr>
        <w:pStyle w:val="NoSpacing"/>
        <w:rPr>
          <w:sz w:val="24"/>
          <w:szCs w:val="24"/>
          <w:lang w:val="en-US"/>
        </w:rPr>
      </w:pPr>
      <w:r w:rsidRPr="00F6116D">
        <w:rPr>
          <w:sz w:val="24"/>
          <w:szCs w:val="24"/>
          <w:lang w:val="en-US"/>
        </w:rPr>
        <w:t xml:space="preserve">5 November </w:t>
      </w:r>
      <w:r w:rsidR="007E1051" w:rsidRPr="00F6116D">
        <w:rPr>
          <w:sz w:val="24"/>
          <w:szCs w:val="24"/>
          <w:lang w:val="en-US"/>
        </w:rPr>
        <w:t>2018</w:t>
      </w:r>
    </w:p>
    <w:p w14:paraId="605E9FF0" w14:textId="77777777" w:rsidR="008443B2" w:rsidRPr="00F97F3D" w:rsidRDefault="008443B2" w:rsidP="008B1215">
      <w:pPr>
        <w:pStyle w:val="NoSpacing"/>
        <w:jc w:val="both"/>
        <w:rPr>
          <w:lang w:val="en-US"/>
        </w:rPr>
      </w:pPr>
    </w:p>
    <w:p w14:paraId="52102A98" w14:textId="77777777" w:rsidR="00A35532" w:rsidRPr="00F97F3D" w:rsidRDefault="00A35532" w:rsidP="008B1215">
      <w:pPr>
        <w:jc w:val="center"/>
        <w:rPr>
          <w:rFonts w:asciiTheme="minorHAnsi" w:hAnsiTheme="minorHAnsi"/>
          <w:b/>
          <w:sz w:val="32"/>
          <w:szCs w:val="32"/>
          <w:lang w:val="en-US"/>
        </w:rPr>
      </w:pPr>
      <w:r w:rsidRPr="00F97F3D">
        <w:rPr>
          <w:rFonts w:asciiTheme="minorHAnsi" w:hAnsiTheme="minorHAnsi"/>
          <w:b/>
          <w:sz w:val="32"/>
          <w:szCs w:val="32"/>
          <w:lang w:val="en-US"/>
        </w:rPr>
        <w:t xml:space="preserve">Australian Women </w:t>
      </w:r>
      <w:proofErr w:type="gramStart"/>
      <w:r w:rsidRPr="00F97F3D">
        <w:rPr>
          <w:rFonts w:asciiTheme="minorHAnsi" w:hAnsiTheme="minorHAnsi"/>
          <w:b/>
          <w:sz w:val="32"/>
          <w:szCs w:val="32"/>
          <w:lang w:val="en-US"/>
        </w:rPr>
        <w:t>Against</w:t>
      </w:r>
      <w:proofErr w:type="gramEnd"/>
      <w:r w:rsidRPr="00F97F3D">
        <w:rPr>
          <w:rFonts w:asciiTheme="minorHAnsi" w:hAnsiTheme="minorHAnsi"/>
          <w:b/>
          <w:sz w:val="32"/>
          <w:szCs w:val="32"/>
          <w:lang w:val="en-US"/>
        </w:rPr>
        <w:t xml:space="preserve"> Violence Alliance</w:t>
      </w:r>
    </w:p>
    <w:p w14:paraId="513EE741" w14:textId="673E5407" w:rsidR="00A35532" w:rsidRPr="00F97F3D" w:rsidRDefault="00A35532" w:rsidP="008B1215">
      <w:pPr>
        <w:jc w:val="center"/>
        <w:rPr>
          <w:rFonts w:asciiTheme="minorHAnsi" w:hAnsiTheme="minorHAnsi"/>
          <w:b/>
          <w:sz w:val="32"/>
          <w:szCs w:val="32"/>
          <w:lang w:val="en-US"/>
        </w:rPr>
      </w:pPr>
      <w:r w:rsidRPr="00F97F3D">
        <w:rPr>
          <w:rFonts w:asciiTheme="minorHAnsi" w:hAnsiTheme="minorHAnsi"/>
          <w:b/>
          <w:sz w:val="32"/>
          <w:szCs w:val="32"/>
          <w:lang w:val="en-US"/>
        </w:rPr>
        <w:t xml:space="preserve">Submission </w:t>
      </w:r>
      <w:r w:rsidR="008443B2" w:rsidRPr="00F97F3D">
        <w:rPr>
          <w:rFonts w:asciiTheme="minorHAnsi" w:hAnsiTheme="minorHAnsi"/>
          <w:b/>
          <w:sz w:val="32"/>
          <w:szCs w:val="32"/>
          <w:lang w:val="en-US"/>
        </w:rPr>
        <w:t xml:space="preserve">on </w:t>
      </w:r>
      <w:r w:rsidR="005B56D8" w:rsidRPr="00F97F3D">
        <w:rPr>
          <w:rFonts w:asciiTheme="minorHAnsi" w:hAnsiTheme="minorHAnsi"/>
          <w:b/>
          <w:sz w:val="32"/>
          <w:szCs w:val="32"/>
          <w:lang w:val="en-US"/>
        </w:rPr>
        <w:t>the National Women’s Health Strategy 2020-2030</w:t>
      </w:r>
    </w:p>
    <w:p w14:paraId="753A80E0" w14:textId="77777777" w:rsidR="00A35532" w:rsidRPr="00F97F3D" w:rsidRDefault="00A35532" w:rsidP="008B1215">
      <w:pPr>
        <w:jc w:val="both"/>
        <w:rPr>
          <w:rFonts w:asciiTheme="minorHAnsi" w:hAnsiTheme="minorHAnsi"/>
          <w:b/>
        </w:rPr>
      </w:pPr>
    </w:p>
    <w:p w14:paraId="606F1087" w14:textId="7F391049" w:rsidR="00A35532" w:rsidRPr="00F97F3D" w:rsidRDefault="00A35532" w:rsidP="008B1215">
      <w:pPr>
        <w:jc w:val="both"/>
        <w:rPr>
          <w:rFonts w:asciiTheme="minorHAnsi" w:hAnsiTheme="minorHAnsi"/>
        </w:rPr>
      </w:pPr>
      <w:r w:rsidRPr="00F97F3D">
        <w:rPr>
          <w:rFonts w:asciiTheme="minorHAnsi" w:hAnsiTheme="minorHAnsi"/>
        </w:rPr>
        <w:t xml:space="preserve">Thank-you for the opportunity to make a submission </w:t>
      </w:r>
      <w:r w:rsidR="005B56D8" w:rsidRPr="00F97F3D">
        <w:rPr>
          <w:rFonts w:asciiTheme="minorHAnsi" w:hAnsiTheme="minorHAnsi"/>
        </w:rPr>
        <w:t>to inform the development of the National Women’s Health Strategy 2020-2030.</w:t>
      </w:r>
    </w:p>
    <w:p w14:paraId="1FD9EE53" w14:textId="77777777" w:rsidR="00A35532" w:rsidRPr="00F97F3D" w:rsidRDefault="00A35532" w:rsidP="00F97F3D">
      <w:pPr>
        <w:pStyle w:val="Heading1"/>
      </w:pPr>
      <w:r w:rsidRPr="00F97F3D">
        <w:t>About the Australian Women Against Violence Alliance (AWAVA)</w:t>
      </w:r>
    </w:p>
    <w:p w14:paraId="16AB461E" w14:textId="11516044" w:rsidR="00AB4D2D" w:rsidRPr="00F97F3D" w:rsidRDefault="00A35532" w:rsidP="001940E5">
      <w:pPr>
        <w:jc w:val="both"/>
        <w:rPr>
          <w:rFonts w:asciiTheme="minorHAnsi" w:hAnsiTheme="minorHAnsi" w:cstheme="majorBidi"/>
          <w:b/>
          <w:color w:val="7030A0"/>
          <w:lang w:eastAsia="en-AU"/>
        </w:rPr>
      </w:pPr>
      <w:r w:rsidRPr="00F97F3D">
        <w:rPr>
          <w:rFonts w:asciiTheme="minorHAnsi" w:hAnsiTheme="minorHAnsi"/>
        </w:rPr>
        <w:t>Australian Women Against Violence Alliance (AWAVA) is one of the six National Women’s Alliances funded by the Australian Government to bring together women’s organisations and individuals across Australia to share information, identify issues and contribute to solutions. AWAVA’s focus is on responding to and preventing violence against women and their children. AWAVA’s role is to ensure that women’s voices and particularly marginalised women’s voices are heard by Government, and to amplify the work of its member organisations and Friends and Supporters. AWAVA’s members include organisations from every State and Territory in Australia, representing domestic and family violence services, sexual assault services, and women’s legal services, as well as organisations representing Aboriginal and Torres Strait Islander women, young women, women educators, women in the sex industry and other groups. AWAVA's lead agency is the Women's Services Network (WESNET).</w:t>
      </w:r>
    </w:p>
    <w:p w14:paraId="22182938" w14:textId="77777777" w:rsidR="001A43A4" w:rsidRPr="00F97F3D" w:rsidRDefault="001A43A4" w:rsidP="001A43A4">
      <w:pPr>
        <w:rPr>
          <w:rFonts w:asciiTheme="minorHAnsi" w:hAnsiTheme="minorHAnsi" w:cs="Arial"/>
          <w:color w:val="000000"/>
          <w:sz w:val="29"/>
          <w:szCs w:val="29"/>
          <w:shd w:val="clear" w:color="auto" w:fill="FFFFFF"/>
        </w:rPr>
      </w:pPr>
    </w:p>
    <w:p w14:paraId="0673D48D" w14:textId="714BEE15" w:rsidR="00EE242D" w:rsidRDefault="00F97F3D" w:rsidP="008B1215">
      <w:pPr>
        <w:jc w:val="both"/>
        <w:rPr>
          <w:rFonts w:asciiTheme="minorHAnsi" w:hAnsiTheme="minorHAnsi" w:cs="Arial"/>
        </w:rPr>
      </w:pPr>
      <w:r>
        <w:rPr>
          <w:rFonts w:asciiTheme="minorHAnsi" w:hAnsiTheme="minorHAnsi" w:cs="Arial"/>
        </w:rPr>
        <w:t>The f</w:t>
      </w:r>
      <w:r w:rsidR="00136F19" w:rsidRPr="00F97F3D">
        <w:rPr>
          <w:rFonts w:asciiTheme="minorHAnsi" w:hAnsiTheme="minorHAnsi" w:cs="Arial"/>
        </w:rPr>
        <w:t xml:space="preserve">ollowing </w:t>
      </w:r>
      <w:r>
        <w:rPr>
          <w:rFonts w:asciiTheme="minorHAnsi" w:hAnsiTheme="minorHAnsi" w:cs="Arial"/>
        </w:rPr>
        <w:t xml:space="preserve">is text </w:t>
      </w:r>
      <w:r w:rsidR="00F6116D">
        <w:rPr>
          <w:rFonts w:asciiTheme="minorHAnsi" w:hAnsiTheme="minorHAnsi" w:cs="Arial"/>
        </w:rPr>
        <w:t xml:space="preserve">that was </w:t>
      </w:r>
      <w:r>
        <w:rPr>
          <w:rFonts w:asciiTheme="minorHAnsi" w:hAnsiTheme="minorHAnsi" w:cs="Arial"/>
        </w:rPr>
        <w:t xml:space="preserve">submitted by online survey. </w:t>
      </w:r>
      <w:r w:rsidR="00EE242D">
        <w:rPr>
          <w:rFonts w:asciiTheme="minorHAnsi" w:hAnsiTheme="minorHAnsi" w:cs="Arial"/>
        </w:rPr>
        <w:t xml:space="preserve">The answers refer to sections of the </w:t>
      </w:r>
      <w:r w:rsidR="00EE242D" w:rsidRPr="00F97F3D">
        <w:rPr>
          <w:rFonts w:asciiTheme="minorHAnsi" w:hAnsiTheme="minorHAnsi"/>
        </w:rPr>
        <w:t>National Women’s Health Strategy 2020-2030</w:t>
      </w:r>
      <w:r w:rsidR="00EE242D">
        <w:rPr>
          <w:rFonts w:asciiTheme="minorHAnsi" w:hAnsiTheme="minorHAnsi"/>
        </w:rPr>
        <w:t xml:space="preserve"> Consultation Draft.</w:t>
      </w:r>
      <w:r w:rsidR="00EE242D">
        <w:rPr>
          <w:rStyle w:val="FootnoteReference"/>
          <w:rFonts w:asciiTheme="minorHAnsi" w:hAnsiTheme="minorHAnsi"/>
        </w:rPr>
        <w:footnoteReference w:id="1"/>
      </w:r>
    </w:p>
    <w:p w14:paraId="3D593173" w14:textId="77777777" w:rsidR="00EE242D" w:rsidRDefault="00EE242D" w:rsidP="008B1215">
      <w:pPr>
        <w:jc w:val="both"/>
        <w:rPr>
          <w:rFonts w:asciiTheme="minorHAnsi" w:hAnsiTheme="minorHAnsi" w:cs="Arial"/>
        </w:rPr>
      </w:pPr>
    </w:p>
    <w:p w14:paraId="5D0FC042" w14:textId="2DF38667" w:rsidR="00F97F3D" w:rsidRDefault="00F97F3D" w:rsidP="008B1215">
      <w:pPr>
        <w:jc w:val="both"/>
        <w:rPr>
          <w:rFonts w:asciiTheme="minorHAnsi" w:hAnsiTheme="minorHAnsi" w:cs="Arial"/>
        </w:rPr>
      </w:pPr>
      <w:r>
        <w:rPr>
          <w:rFonts w:asciiTheme="minorHAnsi" w:hAnsiTheme="minorHAnsi" w:cs="Arial"/>
        </w:rPr>
        <w:t xml:space="preserve">Some answers </w:t>
      </w:r>
      <w:r w:rsidR="00F6116D">
        <w:rPr>
          <w:rFonts w:asciiTheme="minorHAnsi" w:hAnsiTheme="minorHAnsi" w:cs="Arial"/>
        </w:rPr>
        <w:t xml:space="preserve">required by </w:t>
      </w:r>
      <w:r>
        <w:rPr>
          <w:rFonts w:asciiTheme="minorHAnsi" w:hAnsiTheme="minorHAnsi" w:cs="Arial"/>
        </w:rPr>
        <w:t xml:space="preserve">the survey (e.g. on demographic characteristics such as country of birth) have been omitted. </w:t>
      </w:r>
      <w:r w:rsidR="00D71875">
        <w:rPr>
          <w:rFonts w:asciiTheme="minorHAnsi" w:hAnsiTheme="minorHAnsi" w:cs="Arial"/>
        </w:rPr>
        <w:t xml:space="preserve">Reference material has been added which was not possible to include in the online survey. </w:t>
      </w:r>
    </w:p>
    <w:p w14:paraId="45EDBD56" w14:textId="77777777" w:rsidR="00F97F3D" w:rsidRDefault="00F97F3D" w:rsidP="008B1215">
      <w:pPr>
        <w:jc w:val="both"/>
        <w:rPr>
          <w:rFonts w:asciiTheme="minorHAnsi" w:hAnsiTheme="minorHAnsi" w:cs="Arial"/>
        </w:rPr>
      </w:pPr>
    </w:p>
    <w:p w14:paraId="04294235" w14:textId="0B928A9F" w:rsidR="0053458C" w:rsidRPr="00F97F3D" w:rsidRDefault="00F97F3D" w:rsidP="00F97F3D">
      <w:pPr>
        <w:pStyle w:val="Heading1"/>
      </w:pPr>
      <w:r>
        <w:t>Comments on the o</w:t>
      </w:r>
      <w:r w:rsidR="0053458C" w:rsidRPr="00F97F3D">
        <w:t>ve</w:t>
      </w:r>
      <w:r>
        <w:t xml:space="preserve">rall structure of the strategy </w:t>
      </w:r>
    </w:p>
    <w:p w14:paraId="7C57B4DC" w14:textId="02422314" w:rsidR="003C1B62" w:rsidRPr="00D71875" w:rsidRDefault="003C1B62" w:rsidP="003C1B62">
      <w:pPr>
        <w:jc w:val="both"/>
        <w:rPr>
          <w:rFonts w:asciiTheme="minorHAnsi" w:hAnsiTheme="minorHAnsi" w:cs="Arial"/>
        </w:rPr>
      </w:pPr>
      <w:r w:rsidRPr="00D71875">
        <w:rPr>
          <w:rFonts w:asciiTheme="minorHAnsi" w:hAnsiTheme="minorHAnsi" w:cs="Arial"/>
        </w:rPr>
        <w:t>Intimate partner violence is the leading contributor to death, illness and injury among women aged 18 to 44, as documented by the 2016 ANROWS report, ‘A preventable burden: Measuring and addressing the prevalence and health impacts of intimate partner violence in Australian women’.</w:t>
      </w:r>
      <w:r w:rsidR="00F6116D">
        <w:rPr>
          <w:rStyle w:val="FootnoteReference"/>
          <w:rFonts w:asciiTheme="minorHAnsi" w:hAnsiTheme="minorHAnsi" w:cs="Arial"/>
        </w:rPr>
        <w:footnoteReference w:id="2"/>
      </w:r>
      <w:r w:rsidRPr="00D71875">
        <w:rPr>
          <w:rFonts w:asciiTheme="minorHAnsi" w:hAnsiTheme="minorHAnsi" w:cs="Arial"/>
        </w:rPr>
        <w:t xml:space="preserve">  Mental health conditions were the largest contributor to the burden </w:t>
      </w:r>
      <w:r w:rsidRPr="00D71875">
        <w:rPr>
          <w:rFonts w:asciiTheme="minorHAnsi" w:hAnsiTheme="minorHAnsi" w:cs="Arial"/>
        </w:rPr>
        <w:lastRenderedPageBreak/>
        <w:t>due to physical/sexual intimate partner violence, with anxiety disorders making up the greatest proportion (35%), followed by depressive disorders (32%).</w:t>
      </w:r>
      <w:r w:rsidR="00F6116D">
        <w:rPr>
          <w:rStyle w:val="FootnoteReference"/>
          <w:rFonts w:asciiTheme="minorHAnsi" w:hAnsiTheme="minorHAnsi" w:cs="Arial"/>
        </w:rPr>
        <w:footnoteReference w:id="3"/>
      </w:r>
      <w:r w:rsidRPr="00D71875">
        <w:rPr>
          <w:rFonts w:asciiTheme="minorHAnsi" w:hAnsiTheme="minorHAnsi" w:cs="Arial"/>
        </w:rPr>
        <w:t xml:space="preserve"> Other diseases linked to physical/sexual intimate partner violence are early pregnancy loss, homicide and violence, suicide and self-inflicted injuries, pre-term and low birth weight, and alcohol use disorders. </w:t>
      </w:r>
    </w:p>
    <w:p w14:paraId="4BC25AED" w14:textId="77777777" w:rsidR="003C1B62" w:rsidRPr="00D71875" w:rsidRDefault="003C1B62" w:rsidP="003C1B62">
      <w:pPr>
        <w:jc w:val="both"/>
        <w:rPr>
          <w:rFonts w:asciiTheme="minorHAnsi" w:hAnsiTheme="minorHAnsi" w:cs="Arial"/>
        </w:rPr>
      </w:pPr>
    </w:p>
    <w:p w14:paraId="7A270B70" w14:textId="77777777" w:rsidR="003C1B62" w:rsidRPr="00D71875" w:rsidRDefault="003C1B62" w:rsidP="003C1B62">
      <w:pPr>
        <w:jc w:val="both"/>
        <w:rPr>
          <w:rFonts w:asciiTheme="minorHAnsi" w:hAnsiTheme="minorHAnsi" w:cs="Arial"/>
        </w:rPr>
      </w:pPr>
      <w:r w:rsidRPr="00D71875">
        <w:rPr>
          <w:rFonts w:asciiTheme="minorHAnsi" w:hAnsiTheme="minorHAnsi" w:cs="Arial"/>
        </w:rPr>
        <w:t xml:space="preserve">It is good to see domestic and family violence addressed directly (albeit briefly) in the draft strategy, and some references to violence against women at other points. However, given the large and complex impacts of this violence on women’s health – as well as the key role of the health system in responding to and preventing it – violence against women should be a key priority in itself. </w:t>
      </w:r>
    </w:p>
    <w:p w14:paraId="46EEC39E" w14:textId="77777777" w:rsidR="003C1B62" w:rsidRPr="00F97F3D" w:rsidRDefault="003C1B62" w:rsidP="003C1B62">
      <w:pPr>
        <w:jc w:val="both"/>
        <w:rPr>
          <w:rFonts w:asciiTheme="minorHAnsi" w:hAnsiTheme="minorHAnsi" w:cs="Arial"/>
        </w:rPr>
      </w:pPr>
    </w:p>
    <w:p w14:paraId="50D36F05" w14:textId="77777777" w:rsidR="003C1B62" w:rsidRPr="00D71875" w:rsidRDefault="003C1B62" w:rsidP="003C1B62">
      <w:pPr>
        <w:jc w:val="both"/>
        <w:rPr>
          <w:rFonts w:asciiTheme="minorHAnsi" w:hAnsiTheme="minorHAnsi" w:cs="Arial"/>
        </w:rPr>
      </w:pPr>
      <w:r w:rsidRPr="00D71875">
        <w:rPr>
          <w:rFonts w:asciiTheme="minorHAnsi" w:hAnsiTheme="minorHAnsi" w:cs="Arial"/>
        </w:rPr>
        <w:t>Some specific health dimensions of violence against women need to be drawn out in more detail, including:</w:t>
      </w:r>
    </w:p>
    <w:p w14:paraId="5A56FEDD" w14:textId="1B2E31C1" w:rsidR="003C1B62" w:rsidRPr="00D71875" w:rsidRDefault="003C1B62" w:rsidP="00F97F3D">
      <w:pPr>
        <w:pStyle w:val="ListParagraph"/>
        <w:numPr>
          <w:ilvl w:val="0"/>
          <w:numId w:val="29"/>
        </w:numPr>
        <w:jc w:val="both"/>
        <w:rPr>
          <w:rFonts w:cs="Arial"/>
          <w:sz w:val="24"/>
          <w:szCs w:val="24"/>
        </w:rPr>
      </w:pPr>
      <w:r w:rsidRPr="00D71875">
        <w:rPr>
          <w:rFonts w:cs="Arial"/>
          <w:sz w:val="24"/>
          <w:szCs w:val="24"/>
        </w:rPr>
        <w:t>sexual violence including sexual harassment</w:t>
      </w:r>
    </w:p>
    <w:p w14:paraId="567C3B47" w14:textId="563768B1" w:rsidR="003C1B62" w:rsidRPr="00D71875" w:rsidRDefault="003C1B62" w:rsidP="00F97F3D">
      <w:pPr>
        <w:pStyle w:val="ListParagraph"/>
        <w:numPr>
          <w:ilvl w:val="0"/>
          <w:numId w:val="29"/>
        </w:numPr>
        <w:jc w:val="both"/>
        <w:rPr>
          <w:rFonts w:cs="Arial"/>
          <w:sz w:val="24"/>
          <w:szCs w:val="24"/>
        </w:rPr>
      </w:pPr>
      <w:r w:rsidRPr="00D71875">
        <w:rPr>
          <w:rFonts w:cs="Arial"/>
          <w:sz w:val="24"/>
          <w:szCs w:val="24"/>
        </w:rPr>
        <w:t>reproductive coercion and access to reproductive healthcare options, including abortion, and</w:t>
      </w:r>
    </w:p>
    <w:p w14:paraId="76FAE835" w14:textId="26B83541" w:rsidR="003C1B62" w:rsidRPr="00D71875" w:rsidRDefault="003C1B62" w:rsidP="00F97F3D">
      <w:pPr>
        <w:pStyle w:val="ListParagraph"/>
        <w:numPr>
          <w:ilvl w:val="0"/>
          <w:numId w:val="29"/>
        </w:numPr>
        <w:jc w:val="both"/>
        <w:rPr>
          <w:rFonts w:cs="Arial"/>
          <w:sz w:val="24"/>
          <w:szCs w:val="24"/>
        </w:rPr>
      </w:pPr>
      <w:r w:rsidRPr="00D71875">
        <w:rPr>
          <w:rFonts w:cs="Arial"/>
          <w:sz w:val="24"/>
          <w:szCs w:val="24"/>
        </w:rPr>
        <w:t>the need for comprehensive sexuality education and respectful relationships programs</w:t>
      </w:r>
    </w:p>
    <w:p w14:paraId="12AB3C28" w14:textId="03DFC81F" w:rsidR="003C1B62" w:rsidRPr="00D71875" w:rsidRDefault="003C1B62" w:rsidP="00F97F3D">
      <w:pPr>
        <w:pStyle w:val="ListParagraph"/>
        <w:numPr>
          <w:ilvl w:val="0"/>
          <w:numId w:val="29"/>
        </w:numPr>
        <w:jc w:val="both"/>
        <w:rPr>
          <w:rFonts w:cs="Arial"/>
          <w:sz w:val="24"/>
          <w:szCs w:val="24"/>
        </w:rPr>
      </w:pPr>
      <w:r w:rsidRPr="00D71875">
        <w:rPr>
          <w:rFonts w:cs="Arial"/>
          <w:sz w:val="24"/>
          <w:szCs w:val="24"/>
        </w:rPr>
        <w:t>the strong links between violence against women and mental health</w:t>
      </w:r>
    </w:p>
    <w:p w14:paraId="4E2F8A98" w14:textId="3B0D0802" w:rsidR="003C1B62" w:rsidRPr="00D71875" w:rsidRDefault="003C1B62" w:rsidP="00F97F3D">
      <w:pPr>
        <w:pStyle w:val="ListParagraph"/>
        <w:numPr>
          <w:ilvl w:val="0"/>
          <w:numId w:val="29"/>
        </w:numPr>
        <w:jc w:val="both"/>
        <w:rPr>
          <w:rFonts w:cs="Arial"/>
          <w:sz w:val="24"/>
          <w:szCs w:val="24"/>
        </w:rPr>
      </w:pPr>
      <w:r w:rsidRPr="00D71875">
        <w:rPr>
          <w:rFonts w:cs="Arial"/>
          <w:sz w:val="24"/>
          <w:szCs w:val="24"/>
        </w:rPr>
        <w:t>brain injury resulting from violence</w:t>
      </w:r>
    </w:p>
    <w:p w14:paraId="10E4CEAD" w14:textId="7DF8F7C9" w:rsidR="003C1B62" w:rsidRPr="00D71875" w:rsidRDefault="003C1B62" w:rsidP="00F97F3D">
      <w:pPr>
        <w:pStyle w:val="ListParagraph"/>
        <w:numPr>
          <w:ilvl w:val="0"/>
          <w:numId w:val="29"/>
        </w:numPr>
        <w:jc w:val="both"/>
        <w:rPr>
          <w:rFonts w:cs="Arial"/>
          <w:sz w:val="24"/>
          <w:szCs w:val="24"/>
        </w:rPr>
      </w:pPr>
      <w:r w:rsidRPr="00D71875">
        <w:rPr>
          <w:rFonts w:cs="Arial"/>
          <w:sz w:val="24"/>
          <w:szCs w:val="24"/>
        </w:rPr>
        <w:t>access to sexual and reproductive health services for international students (insurance prevents them, 1 year waiting period)</w:t>
      </w:r>
    </w:p>
    <w:p w14:paraId="34D97414" w14:textId="5346C9A9" w:rsidR="003C1B62" w:rsidRPr="00D71875" w:rsidRDefault="003C1B62" w:rsidP="00F97F3D">
      <w:pPr>
        <w:pStyle w:val="ListParagraph"/>
        <w:numPr>
          <w:ilvl w:val="0"/>
          <w:numId w:val="29"/>
        </w:numPr>
        <w:jc w:val="both"/>
        <w:rPr>
          <w:rFonts w:cs="Arial"/>
          <w:sz w:val="24"/>
          <w:szCs w:val="24"/>
        </w:rPr>
      </w:pPr>
      <w:r w:rsidRPr="00D71875">
        <w:rPr>
          <w:rFonts w:cs="Arial"/>
          <w:sz w:val="24"/>
          <w:szCs w:val="24"/>
        </w:rPr>
        <w:t>forced sterilisation and involuntary contraception of women with disability</w:t>
      </w:r>
    </w:p>
    <w:p w14:paraId="4A54FD23" w14:textId="5DB34B1C" w:rsidR="003C1B62" w:rsidRPr="00D71875" w:rsidRDefault="003C1B62" w:rsidP="00F97F3D">
      <w:pPr>
        <w:pStyle w:val="ListParagraph"/>
        <w:numPr>
          <w:ilvl w:val="0"/>
          <w:numId w:val="29"/>
        </w:numPr>
        <w:jc w:val="both"/>
        <w:rPr>
          <w:rFonts w:cs="Arial"/>
          <w:sz w:val="24"/>
          <w:szCs w:val="24"/>
        </w:rPr>
      </w:pPr>
      <w:r w:rsidRPr="00D71875">
        <w:rPr>
          <w:rFonts w:cs="Arial"/>
          <w:sz w:val="24"/>
          <w:szCs w:val="24"/>
        </w:rPr>
        <w:t xml:space="preserve">unnecessary medical procedures on intersex infants </w:t>
      </w:r>
    </w:p>
    <w:p w14:paraId="2AA9452A" w14:textId="22878330" w:rsidR="0053458C" w:rsidRPr="00F97F3D" w:rsidRDefault="00F97F3D" w:rsidP="00F97F3D">
      <w:pPr>
        <w:pStyle w:val="Heading1"/>
      </w:pPr>
      <w:r w:rsidRPr="00F97F3D">
        <w:t>Comments on the context and background</w:t>
      </w:r>
      <w:r w:rsidR="00130022" w:rsidRPr="00F97F3D">
        <w:t xml:space="preserve"> </w:t>
      </w:r>
    </w:p>
    <w:p w14:paraId="0974635A" w14:textId="4D33BE2D" w:rsidR="002450C3" w:rsidRPr="00D71875" w:rsidRDefault="002450C3" w:rsidP="008B1215">
      <w:pPr>
        <w:jc w:val="both"/>
        <w:rPr>
          <w:rFonts w:asciiTheme="minorHAnsi" w:hAnsiTheme="minorHAnsi" w:cs="Arial"/>
        </w:rPr>
      </w:pPr>
      <w:r w:rsidRPr="00D71875">
        <w:rPr>
          <w:rFonts w:asciiTheme="minorHAnsi" w:hAnsiTheme="minorHAnsi" w:cs="Arial"/>
        </w:rPr>
        <w:t xml:space="preserve">Given the pervasiveness of violence against women (VAW) and the need for whole-of-society approaches to preventing and responding to it, there is </w:t>
      </w:r>
      <w:r w:rsidR="009455E7" w:rsidRPr="00D71875">
        <w:rPr>
          <w:rFonts w:asciiTheme="minorHAnsi" w:hAnsiTheme="minorHAnsi" w:cs="Arial"/>
        </w:rPr>
        <w:t>a need</w:t>
      </w:r>
      <w:r w:rsidRPr="00D71875">
        <w:rPr>
          <w:rFonts w:asciiTheme="minorHAnsi" w:hAnsiTheme="minorHAnsi" w:cs="Arial"/>
        </w:rPr>
        <w:t xml:space="preserve"> to integrate VAW prevention and response </w:t>
      </w:r>
      <w:r w:rsidR="009455E7" w:rsidRPr="00D71875">
        <w:rPr>
          <w:rFonts w:asciiTheme="minorHAnsi" w:hAnsiTheme="minorHAnsi" w:cs="Arial"/>
        </w:rPr>
        <w:t xml:space="preserve">capacity </w:t>
      </w:r>
      <w:r w:rsidRPr="00D71875">
        <w:rPr>
          <w:rFonts w:asciiTheme="minorHAnsi" w:hAnsiTheme="minorHAnsi" w:cs="Arial"/>
        </w:rPr>
        <w:t>throughout the health system. For example, in relation to palliative care, the services delivering and supporting such care could be improved by integrating the awareness that people in need of palliative care include victims/survivors and perpetrators of various forms of violence against women, as do family members and other informal carers.</w:t>
      </w:r>
      <w:r w:rsidR="009455E7" w:rsidRPr="00D71875">
        <w:rPr>
          <w:rFonts w:asciiTheme="minorHAnsi" w:hAnsiTheme="minorHAnsi" w:cs="Arial"/>
        </w:rPr>
        <w:t xml:space="preserve"> </w:t>
      </w:r>
    </w:p>
    <w:p w14:paraId="1ECFC681" w14:textId="144B3D21" w:rsidR="004959D5" w:rsidRPr="00D71875" w:rsidRDefault="004959D5" w:rsidP="008B1215">
      <w:pPr>
        <w:jc w:val="both"/>
        <w:rPr>
          <w:rFonts w:asciiTheme="minorHAnsi" w:hAnsiTheme="minorHAnsi" w:cs="Arial"/>
        </w:rPr>
      </w:pPr>
      <w:r w:rsidRPr="00D71875">
        <w:rPr>
          <w:rFonts w:asciiTheme="minorHAnsi" w:hAnsiTheme="minorHAnsi" w:cs="Arial"/>
        </w:rPr>
        <w:t xml:space="preserve">The AIHW 2018 report on domestic and family violence and sexual assault found that victims/survivors were most likely to </w:t>
      </w:r>
      <w:r w:rsidR="004537FF" w:rsidRPr="00D71875">
        <w:rPr>
          <w:rFonts w:asciiTheme="minorHAnsi" w:hAnsiTheme="minorHAnsi" w:cs="Arial"/>
        </w:rPr>
        <w:t>seek advice or support from GPs or other</w:t>
      </w:r>
      <w:r w:rsidRPr="00D71875">
        <w:rPr>
          <w:rFonts w:asciiTheme="minorHAnsi" w:hAnsiTheme="minorHAnsi" w:cs="Arial"/>
        </w:rPr>
        <w:t xml:space="preserve"> health professionals – after family and friends and before specialist </w:t>
      </w:r>
      <w:r w:rsidR="004537FF" w:rsidRPr="00D71875">
        <w:rPr>
          <w:rFonts w:asciiTheme="minorHAnsi" w:hAnsiTheme="minorHAnsi" w:cs="Arial"/>
        </w:rPr>
        <w:t xml:space="preserve">services including </w:t>
      </w:r>
      <w:r w:rsidRPr="00D71875">
        <w:rPr>
          <w:rFonts w:asciiTheme="minorHAnsi" w:hAnsiTheme="minorHAnsi" w:cs="Arial"/>
        </w:rPr>
        <w:t xml:space="preserve">help-lines in terms of likelihood. Yet the health system is not yet well-equipped to respond adequately to such disclosures in terms of professionals’ own knowledge and capacity, and in terms of systemic supports (such as having enough time to engage with patients sensitively and the existence of referral pathways and </w:t>
      </w:r>
      <w:r w:rsidR="004537FF" w:rsidRPr="00D71875">
        <w:rPr>
          <w:rFonts w:asciiTheme="minorHAnsi" w:hAnsiTheme="minorHAnsi" w:cs="Arial"/>
        </w:rPr>
        <w:t xml:space="preserve">an </w:t>
      </w:r>
      <w:r w:rsidRPr="00D71875">
        <w:rPr>
          <w:rFonts w:asciiTheme="minorHAnsi" w:hAnsiTheme="minorHAnsi" w:cs="Arial"/>
        </w:rPr>
        <w:t xml:space="preserve">adequately resourced and </w:t>
      </w:r>
      <w:r w:rsidR="004537FF" w:rsidRPr="00D71875">
        <w:rPr>
          <w:rFonts w:asciiTheme="minorHAnsi" w:hAnsiTheme="minorHAnsi" w:cs="Arial"/>
        </w:rPr>
        <w:t xml:space="preserve">coordinated </w:t>
      </w:r>
      <w:r w:rsidRPr="00D71875">
        <w:rPr>
          <w:rFonts w:asciiTheme="minorHAnsi" w:hAnsiTheme="minorHAnsi" w:cs="Arial"/>
        </w:rPr>
        <w:t>VAW service sector).</w:t>
      </w:r>
    </w:p>
    <w:p w14:paraId="2EFA8002" w14:textId="77777777" w:rsidR="00F97F3D" w:rsidRPr="00D71875" w:rsidRDefault="00F97F3D" w:rsidP="008B1215">
      <w:pPr>
        <w:jc w:val="both"/>
        <w:rPr>
          <w:rFonts w:asciiTheme="minorHAnsi" w:hAnsiTheme="minorHAnsi" w:cs="Arial"/>
        </w:rPr>
      </w:pPr>
    </w:p>
    <w:p w14:paraId="566C9A13" w14:textId="6B29A07C" w:rsidR="002450C3" w:rsidRPr="00D71875" w:rsidRDefault="003544E4" w:rsidP="008B1215">
      <w:pPr>
        <w:jc w:val="both"/>
        <w:rPr>
          <w:rFonts w:asciiTheme="minorHAnsi" w:hAnsiTheme="minorHAnsi" w:cs="Arial"/>
        </w:rPr>
      </w:pPr>
      <w:r w:rsidRPr="00D71875">
        <w:rPr>
          <w:rFonts w:asciiTheme="minorHAnsi" w:hAnsiTheme="minorHAnsi" w:cs="Arial"/>
        </w:rPr>
        <w:lastRenderedPageBreak/>
        <w:t>F</w:t>
      </w:r>
      <w:r w:rsidR="002450C3" w:rsidRPr="00D71875">
        <w:rPr>
          <w:rFonts w:asciiTheme="minorHAnsi" w:hAnsiTheme="minorHAnsi" w:cs="Arial"/>
        </w:rPr>
        <w:t xml:space="preserve">inding feasible mechanisms to achieve this integration will be a task for those working in the VAW and health sectors over the coming years. The role of the Women’s Health Strategy </w:t>
      </w:r>
      <w:r w:rsidRPr="00D71875">
        <w:rPr>
          <w:rFonts w:asciiTheme="minorHAnsi" w:hAnsiTheme="minorHAnsi" w:cs="Arial"/>
        </w:rPr>
        <w:t xml:space="preserve">should </w:t>
      </w:r>
      <w:r w:rsidR="002450C3" w:rsidRPr="00D71875">
        <w:rPr>
          <w:rFonts w:asciiTheme="minorHAnsi" w:hAnsiTheme="minorHAnsi" w:cs="Arial"/>
        </w:rPr>
        <w:t xml:space="preserve">be to </w:t>
      </w:r>
      <w:r w:rsidR="004537FF" w:rsidRPr="00D71875">
        <w:rPr>
          <w:rFonts w:asciiTheme="minorHAnsi" w:hAnsiTheme="minorHAnsi" w:cs="Arial"/>
        </w:rPr>
        <w:t>prioritise and</w:t>
      </w:r>
      <w:r w:rsidR="002450C3" w:rsidRPr="00D71875">
        <w:rPr>
          <w:rFonts w:asciiTheme="minorHAnsi" w:hAnsiTheme="minorHAnsi" w:cs="Arial"/>
        </w:rPr>
        <w:t xml:space="preserve"> create a platform for this joint work. </w:t>
      </w:r>
    </w:p>
    <w:p w14:paraId="6F7F50B1" w14:textId="77777777" w:rsidR="00D71875" w:rsidRPr="00D71875" w:rsidRDefault="00D71875" w:rsidP="008B1215">
      <w:pPr>
        <w:jc w:val="both"/>
        <w:rPr>
          <w:rFonts w:asciiTheme="minorHAnsi" w:hAnsiTheme="minorHAnsi" w:cs="Arial"/>
        </w:rPr>
      </w:pPr>
    </w:p>
    <w:p w14:paraId="68F6DEE5" w14:textId="0DD1B055" w:rsidR="003544E4" w:rsidRPr="00D71875" w:rsidRDefault="002450C3" w:rsidP="00ED6438">
      <w:pPr>
        <w:jc w:val="both"/>
        <w:rPr>
          <w:rFonts w:asciiTheme="minorHAnsi" w:hAnsiTheme="minorHAnsi" w:cs="Arial"/>
        </w:rPr>
      </w:pPr>
      <w:r w:rsidRPr="00D71875">
        <w:rPr>
          <w:rFonts w:asciiTheme="minorHAnsi" w:hAnsiTheme="minorHAnsi" w:cs="Arial"/>
        </w:rPr>
        <w:t xml:space="preserve">In terms of conceptualising the role of the health system in relation to VAW, we refer </w:t>
      </w:r>
      <w:r w:rsidR="003544E4" w:rsidRPr="00D71875">
        <w:rPr>
          <w:rFonts w:asciiTheme="minorHAnsi" w:hAnsiTheme="minorHAnsi" w:cs="Arial"/>
        </w:rPr>
        <w:t xml:space="preserve">you </w:t>
      </w:r>
      <w:r w:rsidRPr="00D71875">
        <w:rPr>
          <w:rFonts w:asciiTheme="minorHAnsi" w:hAnsiTheme="minorHAnsi" w:cs="Arial"/>
        </w:rPr>
        <w:t>to</w:t>
      </w:r>
      <w:r w:rsidR="003544E4" w:rsidRPr="00D71875">
        <w:rPr>
          <w:rFonts w:asciiTheme="minorHAnsi" w:hAnsiTheme="minorHAnsi" w:cs="Arial"/>
        </w:rPr>
        <w:t>:</w:t>
      </w:r>
    </w:p>
    <w:p w14:paraId="7D70FF9B" w14:textId="608C8C50" w:rsidR="009C3C7C" w:rsidRPr="00D71875" w:rsidRDefault="00095AF7" w:rsidP="009C3C7C">
      <w:pPr>
        <w:pStyle w:val="ListParagraph"/>
        <w:numPr>
          <w:ilvl w:val="0"/>
          <w:numId w:val="17"/>
        </w:numPr>
        <w:jc w:val="both"/>
        <w:rPr>
          <w:rFonts w:cs="Arial"/>
          <w:sz w:val="24"/>
          <w:szCs w:val="24"/>
        </w:rPr>
      </w:pPr>
      <w:r w:rsidRPr="00D71875">
        <w:rPr>
          <w:rFonts w:cs="Arial"/>
          <w:sz w:val="24"/>
          <w:szCs w:val="24"/>
        </w:rPr>
        <w:t>WHO</w:t>
      </w:r>
      <w:r w:rsidR="009C3C7C" w:rsidRPr="00D71875">
        <w:rPr>
          <w:rFonts w:cs="Arial"/>
          <w:sz w:val="24"/>
          <w:szCs w:val="24"/>
        </w:rPr>
        <w:t xml:space="preserve"> </w:t>
      </w:r>
      <w:r w:rsidR="00217776" w:rsidRPr="00D71875">
        <w:rPr>
          <w:rFonts w:cs="Arial"/>
          <w:sz w:val="24"/>
          <w:szCs w:val="24"/>
        </w:rPr>
        <w:t>(2013) ‘</w:t>
      </w:r>
      <w:r w:rsidR="009C3C7C" w:rsidRPr="00D71875">
        <w:rPr>
          <w:rFonts w:cs="Arial"/>
          <w:sz w:val="24"/>
          <w:szCs w:val="24"/>
        </w:rPr>
        <w:t>Responding to intimate partner violence and sexual violence against women: WHO clinical and policy guidelines</w:t>
      </w:r>
      <w:r w:rsidR="00217776" w:rsidRPr="00D71875">
        <w:rPr>
          <w:rFonts w:cs="Arial"/>
          <w:sz w:val="24"/>
          <w:szCs w:val="24"/>
        </w:rPr>
        <w:t>’</w:t>
      </w:r>
      <w:r w:rsidR="00D71875">
        <w:rPr>
          <w:rStyle w:val="FootnoteReference"/>
          <w:rFonts w:cs="Arial"/>
          <w:sz w:val="24"/>
          <w:szCs w:val="24"/>
        </w:rPr>
        <w:footnoteReference w:id="4"/>
      </w:r>
    </w:p>
    <w:p w14:paraId="7A368180" w14:textId="20EFF91B" w:rsidR="003C1B62" w:rsidRPr="00D71875" w:rsidRDefault="00986C25" w:rsidP="00217776">
      <w:pPr>
        <w:pStyle w:val="ListParagraph"/>
        <w:numPr>
          <w:ilvl w:val="0"/>
          <w:numId w:val="17"/>
        </w:numPr>
        <w:jc w:val="both"/>
        <w:rPr>
          <w:rFonts w:cs="Arial"/>
          <w:sz w:val="24"/>
          <w:szCs w:val="24"/>
        </w:rPr>
      </w:pPr>
      <w:r w:rsidRPr="00D71875">
        <w:rPr>
          <w:rFonts w:cs="Arial"/>
          <w:sz w:val="24"/>
          <w:szCs w:val="24"/>
        </w:rPr>
        <w:t xml:space="preserve">WHO </w:t>
      </w:r>
      <w:r w:rsidR="00217776" w:rsidRPr="00D71875">
        <w:rPr>
          <w:rFonts w:cs="Arial"/>
          <w:sz w:val="24"/>
          <w:szCs w:val="24"/>
        </w:rPr>
        <w:t xml:space="preserve">(2012) </w:t>
      </w:r>
      <w:r w:rsidR="009C3C7C" w:rsidRPr="00D71875">
        <w:rPr>
          <w:rFonts w:cs="Arial"/>
          <w:sz w:val="24"/>
          <w:szCs w:val="24"/>
        </w:rPr>
        <w:t>H</w:t>
      </w:r>
      <w:r w:rsidRPr="00D71875">
        <w:rPr>
          <w:rFonts w:cs="Arial"/>
          <w:sz w:val="24"/>
          <w:szCs w:val="24"/>
        </w:rPr>
        <w:t xml:space="preserve">ealth </w:t>
      </w:r>
      <w:r w:rsidR="00D71875">
        <w:rPr>
          <w:rFonts w:cs="Arial"/>
          <w:sz w:val="24"/>
          <w:szCs w:val="24"/>
        </w:rPr>
        <w:t>consequences</w:t>
      </w:r>
      <w:r w:rsidR="009C3C7C" w:rsidRPr="00D71875">
        <w:rPr>
          <w:rFonts w:cs="Arial"/>
          <w:sz w:val="24"/>
          <w:szCs w:val="24"/>
        </w:rPr>
        <w:t xml:space="preserve"> of intimate partner violence</w:t>
      </w:r>
      <w:r w:rsidR="00D71875">
        <w:rPr>
          <w:rStyle w:val="FootnoteReference"/>
          <w:rFonts w:cs="Arial"/>
          <w:sz w:val="24"/>
          <w:szCs w:val="24"/>
        </w:rPr>
        <w:footnoteReference w:id="5"/>
      </w:r>
    </w:p>
    <w:p w14:paraId="5EE694F1" w14:textId="25880230" w:rsidR="00217776" w:rsidRPr="00D71875" w:rsidRDefault="00217776" w:rsidP="003C1B62">
      <w:pPr>
        <w:pStyle w:val="ListParagraph"/>
        <w:numPr>
          <w:ilvl w:val="0"/>
          <w:numId w:val="17"/>
        </w:numPr>
        <w:jc w:val="both"/>
        <w:rPr>
          <w:rFonts w:cs="Arial"/>
          <w:sz w:val="24"/>
          <w:szCs w:val="24"/>
        </w:rPr>
      </w:pPr>
      <w:r w:rsidRPr="00D71875">
        <w:rPr>
          <w:rFonts w:cs="Arial"/>
          <w:sz w:val="24"/>
          <w:szCs w:val="24"/>
        </w:rPr>
        <w:t xml:space="preserve">García-Moreno et al (2015), ‘The health-systems response to violence against women’, </w:t>
      </w:r>
      <w:r w:rsidRPr="00D71875">
        <w:rPr>
          <w:rFonts w:cs="Arial"/>
          <w:i/>
          <w:sz w:val="24"/>
          <w:szCs w:val="24"/>
        </w:rPr>
        <w:t>Lancet</w:t>
      </w:r>
      <w:r w:rsidRPr="00D71875">
        <w:rPr>
          <w:rFonts w:cs="Arial"/>
          <w:sz w:val="24"/>
          <w:szCs w:val="24"/>
        </w:rPr>
        <w:t xml:space="preserve">, Vol 385 April 18, pp. </w:t>
      </w:r>
      <w:r w:rsidR="003C1B62" w:rsidRPr="00D71875">
        <w:rPr>
          <w:rFonts w:cs="Arial"/>
          <w:sz w:val="24"/>
          <w:szCs w:val="24"/>
        </w:rPr>
        <w:t>1567–1579.</w:t>
      </w:r>
    </w:p>
    <w:p w14:paraId="6C02B31F" w14:textId="5CF0DDF0" w:rsidR="00ED6438" w:rsidRPr="00D71875" w:rsidRDefault="00ED6438" w:rsidP="00A37CA0">
      <w:pPr>
        <w:pStyle w:val="ListParagraph"/>
        <w:numPr>
          <w:ilvl w:val="0"/>
          <w:numId w:val="17"/>
        </w:numPr>
        <w:jc w:val="both"/>
        <w:rPr>
          <w:rFonts w:cs="Arial"/>
          <w:sz w:val="24"/>
          <w:szCs w:val="24"/>
        </w:rPr>
      </w:pPr>
      <w:r w:rsidRPr="00D71875">
        <w:rPr>
          <w:rFonts w:cs="Arial"/>
          <w:sz w:val="24"/>
          <w:szCs w:val="24"/>
        </w:rPr>
        <w:t xml:space="preserve">Victoria’s </w:t>
      </w:r>
      <w:hyperlink r:id="rId8" w:history="1">
        <w:r w:rsidRPr="00D71875">
          <w:rPr>
            <w:sz w:val="24"/>
            <w:szCs w:val="24"/>
          </w:rPr>
          <w:t>10-Year Industry Plan for Family Violence Prevention and Response</w:t>
        </w:r>
      </w:hyperlink>
      <w:r w:rsidR="009C3C7C" w:rsidRPr="00D71875">
        <w:rPr>
          <w:rFonts w:cs="Arial"/>
          <w:sz w:val="24"/>
          <w:szCs w:val="24"/>
        </w:rPr>
        <w:t xml:space="preserve"> and associated capabilities frameworks</w:t>
      </w:r>
      <w:r w:rsidR="00D71875">
        <w:rPr>
          <w:rStyle w:val="FootnoteReference"/>
          <w:rFonts w:cs="Arial"/>
          <w:sz w:val="24"/>
          <w:szCs w:val="24"/>
        </w:rPr>
        <w:footnoteReference w:id="6"/>
      </w:r>
      <w:r w:rsidR="009C3C7C" w:rsidRPr="00D71875">
        <w:rPr>
          <w:rFonts w:cs="Arial"/>
          <w:sz w:val="24"/>
          <w:szCs w:val="24"/>
        </w:rPr>
        <w:t xml:space="preserve"> </w:t>
      </w:r>
    </w:p>
    <w:p w14:paraId="0C415F11" w14:textId="62794954" w:rsidR="004537FF" w:rsidRPr="00D71875" w:rsidRDefault="004537FF" w:rsidP="004537FF">
      <w:pPr>
        <w:jc w:val="both"/>
        <w:rPr>
          <w:rFonts w:asciiTheme="minorHAnsi" w:hAnsiTheme="minorHAnsi" w:cs="Arial"/>
        </w:rPr>
      </w:pPr>
      <w:r w:rsidRPr="00D71875">
        <w:rPr>
          <w:rFonts w:asciiTheme="minorHAnsi" w:hAnsiTheme="minorHAnsi" w:cs="Arial"/>
        </w:rPr>
        <w:t>We note that the women’s health strategy is being developed in conjunction with a men’s health strategy. While we welcome the approach of addressing health needs in a gender-responsive way, we emphasise the importance of both plans being guided by a structural view of gender inequality, as well as noting the need to be responsive to the experiences and health issues of gender-diverse and trans</w:t>
      </w:r>
      <w:r w:rsidR="005C2EAB" w:rsidRPr="00D71875">
        <w:rPr>
          <w:rFonts w:asciiTheme="minorHAnsi" w:hAnsiTheme="minorHAnsi" w:cs="Arial"/>
        </w:rPr>
        <w:t>gender</w:t>
      </w:r>
      <w:r w:rsidRPr="00D71875">
        <w:rPr>
          <w:rFonts w:asciiTheme="minorHAnsi" w:hAnsiTheme="minorHAnsi" w:cs="Arial"/>
        </w:rPr>
        <w:t xml:space="preserve"> people. </w:t>
      </w:r>
    </w:p>
    <w:p w14:paraId="02477CE2" w14:textId="77777777" w:rsidR="00D71875" w:rsidRPr="00D71875" w:rsidRDefault="00D71875" w:rsidP="004537FF">
      <w:pPr>
        <w:jc w:val="both"/>
        <w:rPr>
          <w:rFonts w:asciiTheme="minorHAnsi" w:hAnsiTheme="minorHAnsi" w:cs="Arial"/>
        </w:rPr>
      </w:pPr>
    </w:p>
    <w:p w14:paraId="1D1080E0" w14:textId="06F4E4DE" w:rsidR="002450C3" w:rsidRPr="00D71875" w:rsidRDefault="00BD6FC1" w:rsidP="008B1215">
      <w:pPr>
        <w:jc w:val="both"/>
        <w:rPr>
          <w:rFonts w:asciiTheme="minorHAnsi" w:hAnsiTheme="minorHAnsi" w:cs="Arial"/>
        </w:rPr>
      </w:pPr>
      <w:r w:rsidRPr="00D71875">
        <w:rPr>
          <w:rFonts w:asciiTheme="minorHAnsi" w:hAnsiTheme="minorHAnsi" w:cs="Arial"/>
        </w:rPr>
        <w:t>On p7, Figure 3, the reference to “women inexperienced in relationships” being at greater risk of violence could be taken to imply that the onus is on women to behave in certain ways in relationships to avoid the risk of violence, whereas in fact violence is the responsibility of those who use it.</w:t>
      </w:r>
    </w:p>
    <w:p w14:paraId="5BE4A98C" w14:textId="77777777" w:rsidR="00D71875" w:rsidRDefault="00D71875" w:rsidP="008B1215">
      <w:pPr>
        <w:jc w:val="both"/>
        <w:rPr>
          <w:rFonts w:asciiTheme="minorHAnsi" w:hAnsiTheme="minorHAnsi" w:cs="Arial"/>
          <w:b/>
        </w:rPr>
      </w:pPr>
    </w:p>
    <w:p w14:paraId="295C66B4" w14:textId="0BF94232" w:rsidR="00130022" w:rsidRPr="00EE242D" w:rsidRDefault="00EE242D" w:rsidP="00EE242D">
      <w:pPr>
        <w:pStyle w:val="Heading1"/>
      </w:pPr>
      <w:r>
        <w:t>Comments on the s</w:t>
      </w:r>
      <w:r w:rsidR="00130022" w:rsidRPr="00EE242D">
        <w:t>trategy blueprint, policy principles and objectives</w:t>
      </w:r>
    </w:p>
    <w:p w14:paraId="496C2875" w14:textId="3D1177B2" w:rsidR="007B093A" w:rsidRPr="00F97F3D" w:rsidRDefault="00E01EF4" w:rsidP="008B1215">
      <w:pPr>
        <w:jc w:val="both"/>
        <w:rPr>
          <w:rFonts w:asciiTheme="minorHAnsi" w:hAnsiTheme="minorHAnsi" w:cs="Arial"/>
        </w:rPr>
      </w:pPr>
      <w:r w:rsidRPr="00F97F3D">
        <w:rPr>
          <w:rFonts w:asciiTheme="minorHAnsi" w:hAnsiTheme="minorHAnsi" w:cs="Arial"/>
        </w:rPr>
        <w:t xml:space="preserve">We welcome the inclusion of </w:t>
      </w:r>
      <w:r w:rsidR="007B093A" w:rsidRPr="00F97F3D">
        <w:rPr>
          <w:rFonts w:asciiTheme="minorHAnsi" w:hAnsiTheme="minorHAnsi" w:cs="Arial"/>
        </w:rPr>
        <w:t xml:space="preserve">gender equity as </w:t>
      </w:r>
      <w:r w:rsidRPr="00F97F3D">
        <w:rPr>
          <w:rFonts w:asciiTheme="minorHAnsi" w:hAnsiTheme="minorHAnsi" w:cs="Arial"/>
        </w:rPr>
        <w:t xml:space="preserve">the </w:t>
      </w:r>
      <w:r w:rsidR="007B093A" w:rsidRPr="00F97F3D">
        <w:rPr>
          <w:rFonts w:asciiTheme="minorHAnsi" w:hAnsiTheme="minorHAnsi" w:cs="Arial"/>
        </w:rPr>
        <w:t>first principle.</w:t>
      </w:r>
      <w:r w:rsidR="00980480" w:rsidRPr="00F97F3D">
        <w:rPr>
          <w:rFonts w:asciiTheme="minorHAnsi" w:hAnsiTheme="minorHAnsi" w:cs="Arial"/>
        </w:rPr>
        <w:t xml:space="preserve"> </w:t>
      </w:r>
      <w:r w:rsidRPr="00F97F3D">
        <w:rPr>
          <w:rFonts w:asciiTheme="minorHAnsi" w:hAnsiTheme="minorHAnsi" w:cs="Arial"/>
        </w:rPr>
        <w:t xml:space="preserve">It would be </w:t>
      </w:r>
      <w:r w:rsidR="00980480" w:rsidRPr="00F97F3D">
        <w:rPr>
          <w:rFonts w:asciiTheme="minorHAnsi" w:hAnsiTheme="minorHAnsi" w:cs="Arial"/>
        </w:rPr>
        <w:t xml:space="preserve">good </w:t>
      </w:r>
      <w:r w:rsidRPr="00F97F3D">
        <w:rPr>
          <w:rFonts w:asciiTheme="minorHAnsi" w:hAnsiTheme="minorHAnsi" w:cs="Arial"/>
        </w:rPr>
        <w:t xml:space="preserve">if the strategy could identify the </w:t>
      </w:r>
      <w:r w:rsidR="00980480" w:rsidRPr="00F97F3D">
        <w:rPr>
          <w:rFonts w:asciiTheme="minorHAnsi" w:hAnsiTheme="minorHAnsi" w:cs="Arial"/>
        </w:rPr>
        <w:t>link</w:t>
      </w:r>
      <w:r w:rsidRPr="00F97F3D">
        <w:rPr>
          <w:rFonts w:asciiTheme="minorHAnsi" w:hAnsiTheme="minorHAnsi" w:cs="Arial"/>
        </w:rPr>
        <w:t>s</w:t>
      </w:r>
      <w:r w:rsidR="00980480" w:rsidRPr="00F97F3D">
        <w:rPr>
          <w:rFonts w:asciiTheme="minorHAnsi" w:hAnsiTheme="minorHAnsi" w:cs="Arial"/>
        </w:rPr>
        <w:t xml:space="preserve"> to gender equity across social policy areas </w:t>
      </w:r>
      <w:r w:rsidRPr="00F97F3D">
        <w:rPr>
          <w:rFonts w:asciiTheme="minorHAnsi" w:hAnsiTheme="minorHAnsi" w:cs="Arial"/>
        </w:rPr>
        <w:t xml:space="preserve">including but not limited to health, </w:t>
      </w:r>
      <w:r w:rsidR="00980480" w:rsidRPr="00F97F3D">
        <w:rPr>
          <w:rFonts w:asciiTheme="minorHAnsi" w:hAnsiTheme="minorHAnsi" w:cs="Arial"/>
        </w:rPr>
        <w:t>e.g. “work with other areas of policy to promote gender equality</w:t>
      </w:r>
      <w:r w:rsidRPr="00F97F3D">
        <w:rPr>
          <w:rFonts w:asciiTheme="minorHAnsi" w:hAnsiTheme="minorHAnsi" w:cs="Arial"/>
        </w:rPr>
        <w:t>.”</w:t>
      </w:r>
      <w:r w:rsidR="00A37CA0" w:rsidRPr="00F97F3D">
        <w:rPr>
          <w:rFonts w:asciiTheme="minorHAnsi" w:hAnsiTheme="minorHAnsi" w:cs="Arial"/>
        </w:rPr>
        <w:t xml:space="preserve"> For example, see comments in a later question on older women and poverty. </w:t>
      </w:r>
    </w:p>
    <w:p w14:paraId="095C6B5F" w14:textId="77777777" w:rsidR="00D71875" w:rsidRDefault="00D71875" w:rsidP="008B1215">
      <w:pPr>
        <w:jc w:val="both"/>
        <w:rPr>
          <w:rFonts w:asciiTheme="minorHAnsi" w:hAnsiTheme="minorHAnsi" w:cs="Arial"/>
        </w:rPr>
      </w:pPr>
    </w:p>
    <w:p w14:paraId="0E77337D" w14:textId="3DB5ADA0" w:rsidR="00B652A0" w:rsidRPr="00F97F3D" w:rsidRDefault="00E01EF4" w:rsidP="008B1215">
      <w:pPr>
        <w:jc w:val="both"/>
        <w:rPr>
          <w:rFonts w:asciiTheme="minorHAnsi" w:hAnsiTheme="minorHAnsi" w:cs="Arial"/>
        </w:rPr>
      </w:pPr>
      <w:r w:rsidRPr="00F97F3D">
        <w:rPr>
          <w:rFonts w:asciiTheme="minorHAnsi" w:hAnsiTheme="minorHAnsi" w:cs="Arial"/>
        </w:rPr>
        <w:t>Under p</w:t>
      </w:r>
      <w:r w:rsidR="00B652A0" w:rsidRPr="00F97F3D">
        <w:rPr>
          <w:rFonts w:asciiTheme="minorHAnsi" w:hAnsiTheme="minorHAnsi" w:cs="Arial"/>
        </w:rPr>
        <w:t>rinciple 2</w:t>
      </w:r>
      <w:r w:rsidRPr="00F97F3D">
        <w:rPr>
          <w:rFonts w:asciiTheme="minorHAnsi" w:hAnsiTheme="minorHAnsi" w:cs="Arial"/>
        </w:rPr>
        <w:t xml:space="preserve">. Health equity between women, it is </w:t>
      </w:r>
      <w:r w:rsidR="00B652A0" w:rsidRPr="00F97F3D">
        <w:rPr>
          <w:rFonts w:asciiTheme="minorHAnsi" w:hAnsiTheme="minorHAnsi" w:cs="Arial"/>
        </w:rPr>
        <w:t xml:space="preserve">good to have the diversity of women recognised and equity </w:t>
      </w:r>
      <w:r w:rsidRPr="00F97F3D">
        <w:rPr>
          <w:rFonts w:asciiTheme="minorHAnsi" w:hAnsiTheme="minorHAnsi" w:cs="Arial"/>
        </w:rPr>
        <w:t xml:space="preserve">between them </w:t>
      </w:r>
      <w:r w:rsidR="00B652A0" w:rsidRPr="00F97F3D">
        <w:rPr>
          <w:rFonts w:asciiTheme="minorHAnsi" w:hAnsiTheme="minorHAnsi" w:cs="Arial"/>
        </w:rPr>
        <w:t xml:space="preserve">articulated as principle. </w:t>
      </w:r>
      <w:r w:rsidRPr="00F97F3D">
        <w:rPr>
          <w:rFonts w:asciiTheme="minorHAnsi" w:hAnsiTheme="minorHAnsi" w:cs="Arial"/>
        </w:rPr>
        <w:t xml:space="preserve">It would </w:t>
      </w:r>
      <w:r w:rsidR="00B652A0" w:rsidRPr="00F97F3D">
        <w:rPr>
          <w:rFonts w:asciiTheme="minorHAnsi" w:hAnsiTheme="minorHAnsi" w:cs="Arial"/>
        </w:rPr>
        <w:t xml:space="preserve">be good to have a deeper analysis of the intersecting and interacting forms of discrimination/oppression and advantage/privilege rather than thinking of </w:t>
      </w:r>
      <w:r w:rsidRPr="00F97F3D">
        <w:rPr>
          <w:rFonts w:asciiTheme="minorHAnsi" w:hAnsiTheme="minorHAnsi" w:cs="Arial"/>
        </w:rPr>
        <w:t xml:space="preserve">these </w:t>
      </w:r>
      <w:r w:rsidR="00B652A0" w:rsidRPr="00F97F3D">
        <w:rPr>
          <w:rFonts w:asciiTheme="minorHAnsi" w:hAnsiTheme="minorHAnsi" w:cs="Arial"/>
        </w:rPr>
        <w:t xml:space="preserve">as separate single blocks of ‘priority populations’. Targeting </w:t>
      </w:r>
      <w:r w:rsidRPr="00F97F3D">
        <w:rPr>
          <w:rFonts w:asciiTheme="minorHAnsi" w:hAnsiTheme="minorHAnsi" w:cs="Arial"/>
        </w:rPr>
        <w:t>particular ‘</w:t>
      </w:r>
      <w:r w:rsidR="00B652A0" w:rsidRPr="00F97F3D">
        <w:rPr>
          <w:rFonts w:asciiTheme="minorHAnsi" w:hAnsiTheme="minorHAnsi" w:cs="Arial"/>
        </w:rPr>
        <w:t>at-risk</w:t>
      </w:r>
      <w:r w:rsidRPr="00F97F3D">
        <w:rPr>
          <w:rFonts w:asciiTheme="minorHAnsi" w:hAnsiTheme="minorHAnsi" w:cs="Arial"/>
        </w:rPr>
        <w:t>’</w:t>
      </w:r>
      <w:r w:rsidR="00B652A0" w:rsidRPr="00F97F3D">
        <w:rPr>
          <w:rFonts w:asciiTheme="minorHAnsi" w:hAnsiTheme="minorHAnsi" w:cs="Arial"/>
        </w:rPr>
        <w:t xml:space="preserve"> populations sometim</w:t>
      </w:r>
      <w:r w:rsidRPr="00F97F3D">
        <w:rPr>
          <w:rFonts w:asciiTheme="minorHAnsi" w:hAnsiTheme="minorHAnsi" w:cs="Arial"/>
        </w:rPr>
        <w:t xml:space="preserve">es works against more equitable </w:t>
      </w:r>
      <w:r w:rsidR="00B652A0" w:rsidRPr="00F97F3D">
        <w:rPr>
          <w:rFonts w:asciiTheme="minorHAnsi" w:hAnsiTheme="minorHAnsi" w:cs="Arial"/>
        </w:rPr>
        <w:t xml:space="preserve">universal </w:t>
      </w:r>
      <w:r w:rsidRPr="00F97F3D">
        <w:rPr>
          <w:rFonts w:asciiTheme="minorHAnsi" w:hAnsiTheme="minorHAnsi" w:cs="Arial"/>
        </w:rPr>
        <w:t xml:space="preserve">forms of access and </w:t>
      </w:r>
      <w:r w:rsidR="00B652A0" w:rsidRPr="00F97F3D">
        <w:rPr>
          <w:rFonts w:asciiTheme="minorHAnsi" w:hAnsiTheme="minorHAnsi" w:cs="Arial"/>
        </w:rPr>
        <w:t xml:space="preserve">support overall. </w:t>
      </w:r>
      <w:r w:rsidRPr="00F97F3D">
        <w:rPr>
          <w:rFonts w:asciiTheme="minorHAnsi" w:hAnsiTheme="minorHAnsi" w:cs="Arial"/>
        </w:rPr>
        <w:t xml:space="preserve">The strategy needs to </w:t>
      </w:r>
      <w:r w:rsidR="00980480" w:rsidRPr="00F97F3D">
        <w:rPr>
          <w:rFonts w:asciiTheme="minorHAnsi" w:hAnsiTheme="minorHAnsi" w:cs="Arial"/>
        </w:rPr>
        <w:t xml:space="preserve">consider </w:t>
      </w:r>
      <w:r w:rsidRPr="00F97F3D">
        <w:rPr>
          <w:rFonts w:asciiTheme="minorHAnsi" w:hAnsiTheme="minorHAnsi" w:cs="Arial"/>
        </w:rPr>
        <w:t xml:space="preserve">and challenge </w:t>
      </w:r>
      <w:r w:rsidR="00980480" w:rsidRPr="00F97F3D">
        <w:rPr>
          <w:rFonts w:asciiTheme="minorHAnsi" w:hAnsiTheme="minorHAnsi" w:cs="Arial"/>
        </w:rPr>
        <w:t>presumptions about who are the ‘normal’ or ‘main’ people</w:t>
      </w:r>
      <w:r w:rsidRPr="00F97F3D">
        <w:rPr>
          <w:rFonts w:asciiTheme="minorHAnsi" w:hAnsiTheme="minorHAnsi" w:cs="Arial"/>
        </w:rPr>
        <w:t xml:space="preserve"> being addressed</w:t>
      </w:r>
      <w:r w:rsidR="00980480" w:rsidRPr="00F97F3D">
        <w:rPr>
          <w:rFonts w:asciiTheme="minorHAnsi" w:hAnsiTheme="minorHAnsi" w:cs="Arial"/>
        </w:rPr>
        <w:t xml:space="preserve">, </w:t>
      </w:r>
      <w:r w:rsidRPr="00F97F3D">
        <w:rPr>
          <w:rFonts w:asciiTheme="minorHAnsi" w:hAnsiTheme="minorHAnsi" w:cs="Arial"/>
        </w:rPr>
        <w:t xml:space="preserve">and </w:t>
      </w:r>
      <w:r w:rsidR="00980480" w:rsidRPr="00F97F3D">
        <w:rPr>
          <w:rFonts w:asciiTheme="minorHAnsi" w:hAnsiTheme="minorHAnsi" w:cs="Arial"/>
        </w:rPr>
        <w:t xml:space="preserve">not just </w:t>
      </w:r>
      <w:r w:rsidRPr="00F97F3D">
        <w:rPr>
          <w:rFonts w:asciiTheme="minorHAnsi" w:hAnsiTheme="minorHAnsi" w:cs="Arial"/>
        </w:rPr>
        <w:t xml:space="preserve">focus on </w:t>
      </w:r>
      <w:r w:rsidR="007304DD" w:rsidRPr="00F97F3D">
        <w:rPr>
          <w:rFonts w:asciiTheme="minorHAnsi" w:hAnsiTheme="minorHAnsi" w:cs="Arial"/>
        </w:rPr>
        <w:t xml:space="preserve">measures to address the groups of people </w:t>
      </w:r>
      <w:r w:rsidR="00980480" w:rsidRPr="00F97F3D">
        <w:rPr>
          <w:rFonts w:asciiTheme="minorHAnsi" w:hAnsiTheme="minorHAnsi" w:cs="Arial"/>
        </w:rPr>
        <w:t xml:space="preserve">experiencing </w:t>
      </w:r>
      <w:r w:rsidR="007304DD" w:rsidRPr="00F97F3D">
        <w:rPr>
          <w:rFonts w:asciiTheme="minorHAnsi" w:hAnsiTheme="minorHAnsi" w:cs="Arial"/>
        </w:rPr>
        <w:t xml:space="preserve">the </w:t>
      </w:r>
      <w:r w:rsidR="00980480" w:rsidRPr="00F97F3D">
        <w:rPr>
          <w:rFonts w:asciiTheme="minorHAnsi" w:hAnsiTheme="minorHAnsi" w:cs="Arial"/>
        </w:rPr>
        <w:t>worst outcomes</w:t>
      </w:r>
      <w:r w:rsidR="007304DD" w:rsidRPr="00F97F3D">
        <w:rPr>
          <w:rFonts w:asciiTheme="minorHAnsi" w:hAnsiTheme="minorHAnsi" w:cs="Arial"/>
        </w:rPr>
        <w:t xml:space="preserve">. </w:t>
      </w:r>
    </w:p>
    <w:p w14:paraId="398FC001" w14:textId="77777777" w:rsidR="00D71875" w:rsidRDefault="00D71875" w:rsidP="008B1215">
      <w:pPr>
        <w:jc w:val="both"/>
        <w:rPr>
          <w:rFonts w:asciiTheme="minorHAnsi" w:hAnsiTheme="minorHAnsi" w:cs="Arial"/>
        </w:rPr>
      </w:pPr>
    </w:p>
    <w:p w14:paraId="40DAEC1E" w14:textId="1137D24B" w:rsidR="00E01EF4" w:rsidRDefault="00E01EF4" w:rsidP="008B1215">
      <w:pPr>
        <w:jc w:val="both"/>
        <w:rPr>
          <w:rFonts w:asciiTheme="minorHAnsi" w:hAnsiTheme="minorHAnsi" w:cs="Arial"/>
        </w:rPr>
      </w:pPr>
      <w:r w:rsidRPr="00F97F3D">
        <w:rPr>
          <w:rFonts w:asciiTheme="minorHAnsi" w:hAnsiTheme="minorHAnsi" w:cs="Arial"/>
        </w:rPr>
        <w:t>Under p</w:t>
      </w:r>
      <w:r w:rsidR="00980480" w:rsidRPr="00F97F3D">
        <w:rPr>
          <w:rFonts w:asciiTheme="minorHAnsi" w:hAnsiTheme="minorHAnsi" w:cs="Arial"/>
        </w:rPr>
        <w:t xml:space="preserve">rinciple 4. </w:t>
      </w:r>
      <w:r w:rsidRPr="00F97F3D">
        <w:rPr>
          <w:rFonts w:asciiTheme="minorHAnsi" w:hAnsiTheme="minorHAnsi" w:cs="Arial"/>
        </w:rPr>
        <w:t>– A focus on prevention, it would be good for the strategy to i</w:t>
      </w:r>
      <w:r w:rsidR="00980480" w:rsidRPr="00F97F3D">
        <w:rPr>
          <w:rFonts w:asciiTheme="minorHAnsi" w:hAnsiTheme="minorHAnsi" w:cs="Arial"/>
        </w:rPr>
        <w:t xml:space="preserve">ntegrate a gender equality perspective through </w:t>
      </w:r>
      <w:r w:rsidRPr="00F97F3D">
        <w:rPr>
          <w:rFonts w:asciiTheme="minorHAnsi" w:hAnsiTheme="minorHAnsi" w:cs="Arial"/>
        </w:rPr>
        <w:t xml:space="preserve">the </w:t>
      </w:r>
      <w:r w:rsidR="00980480" w:rsidRPr="00F97F3D">
        <w:rPr>
          <w:rFonts w:asciiTheme="minorHAnsi" w:hAnsiTheme="minorHAnsi" w:cs="Arial"/>
        </w:rPr>
        <w:t>focus on prevention</w:t>
      </w:r>
      <w:r w:rsidRPr="00F97F3D">
        <w:rPr>
          <w:rFonts w:asciiTheme="minorHAnsi" w:hAnsiTheme="minorHAnsi" w:cs="Arial"/>
        </w:rPr>
        <w:t>, acknowledging that i</w:t>
      </w:r>
      <w:r w:rsidR="00980480" w:rsidRPr="00F97F3D">
        <w:rPr>
          <w:rFonts w:asciiTheme="minorHAnsi" w:hAnsiTheme="minorHAnsi" w:cs="Arial"/>
        </w:rPr>
        <w:t xml:space="preserve">mproving gender equality </w:t>
      </w:r>
      <w:r w:rsidRPr="00F97F3D">
        <w:rPr>
          <w:rFonts w:asciiTheme="minorHAnsi" w:hAnsiTheme="minorHAnsi" w:cs="Arial"/>
        </w:rPr>
        <w:t xml:space="preserve">overall is important for women’s health, in part because it is the key measure for preventing violence against women. </w:t>
      </w:r>
    </w:p>
    <w:p w14:paraId="1621AC22" w14:textId="0882E1FA" w:rsidR="006546CC" w:rsidRPr="00EE242D" w:rsidRDefault="00D71875" w:rsidP="00EE242D">
      <w:pPr>
        <w:pStyle w:val="Heading1"/>
      </w:pPr>
      <w:r w:rsidRPr="00EE242D">
        <w:lastRenderedPageBreak/>
        <w:t>Comments on the p</w:t>
      </w:r>
      <w:r w:rsidR="006546CC" w:rsidRPr="00EE242D">
        <w:t xml:space="preserve">riority areas </w:t>
      </w:r>
    </w:p>
    <w:p w14:paraId="507ED3FE" w14:textId="2DC9961A" w:rsidR="007B093A" w:rsidRDefault="007B093A" w:rsidP="008B1215">
      <w:pPr>
        <w:jc w:val="both"/>
        <w:rPr>
          <w:rFonts w:asciiTheme="minorHAnsi" w:hAnsiTheme="minorHAnsi" w:cs="Arial"/>
        </w:rPr>
      </w:pPr>
      <w:r w:rsidRPr="00F97F3D">
        <w:rPr>
          <w:rFonts w:asciiTheme="minorHAnsi" w:hAnsiTheme="minorHAnsi" w:cs="Arial"/>
        </w:rPr>
        <w:t xml:space="preserve">Given the importance of VAW as a contributor to ill health, particularly mental illness, </w:t>
      </w:r>
      <w:r w:rsidR="00E01EF4" w:rsidRPr="00F97F3D">
        <w:rPr>
          <w:rFonts w:asciiTheme="minorHAnsi" w:hAnsiTheme="minorHAnsi" w:cs="Arial"/>
        </w:rPr>
        <w:t xml:space="preserve">it does not seem adequate to have the section on domestic and family violence as the only identified section </w:t>
      </w:r>
      <w:r w:rsidR="007304DD" w:rsidRPr="00F97F3D">
        <w:rPr>
          <w:rFonts w:asciiTheme="minorHAnsi" w:hAnsiTheme="minorHAnsi" w:cs="Arial"/>
        </w:rPr>
        <w:t xml:space="preserve">in the strategy </w:t>
      </w:r>
      <w:r w:rsidR="00E01EF4" w:rsidRPr="00F97F3D">
        <w:rPr>
          <w:rFonts w:asciiTheme="minorHAnsi" w:hAnsiTheme="minorHAnsi" w:cs="Arial"/>
        </w:rPr>
        <w:t>on VAW</w:t>
      </w:r>
      <w:r w:rsidR="007304DD" w:rsidRPr="00F97F3D">
        <w:rPr>
          <w:rFonts w:asciiTheme="minorHAnsi" w:hAnsiTheme="minorHAnsi" w:cs="Arial"/>
        </w:rPr>
        <w:t xml:space="preserve"> and for it to be</w:t>
      </w:r>
      <w:r w:rsidR="00E01EF4" w:rsidRPr="00F97F3D">
        <w:rPr>
          <w:rFonts w:asciiTheme="minorHAnsi" w:hAnsiTheme="minorHAnsi" w:cs="Arial"/>
        </w:rPr>
        <w:t xml:space="preserve"> </w:t>
      </w:r>
      <w:r w:rsidRPr="00F97F3D">
        <w:rPr>
          <w:rFonts w:asciiTheme="minorHAnsi" w:hAnsiTheme="minorHAnsi" w:cs="Arial"/>
        </w:rPr>
        <w:t xml:space="preserve">situated </w:t>
      </w:r>
      <w:r w:rsidR="00E01EF4" w:rsidRPr="00F97F3D">
        <w:rPr>
          <w:rFonts w:asciiTheme="minorHAnsi" w:hAnsiTheme="minorHAnsi" w:cs="Arial"/>
        </w:rPr>
        <w:t xml:space="preserve">in the </w:t>
      </w:r>
      <w:r w:rsidRPr="00F97F3D">
        <w:rPr>
          <w:rFonts w:asciiTheme="minorHAnsi" w:hAnsiTheme="minorHAnsi" w:cs="Arial"/>
        </w:rPr>
        <w:t>‘overrepresented conditions’</w:t>
      </w:r>
      <w:r w:rsidR="007304DD" w:rsidRPr="00F97F3D">
        <w:rPr>
          <w:rFonts w:asciiTheme="minorHAnsi" w:hAnsiTheme="minorHAnsi" w:cs="Arial"/>
        </w:rPr>
        <w:t xml:space="preserve"> section</w:t>
      </w:r>
      <w:r w:rsidRPr="00F97F3D">
        <w:rPr>
          <w:rFonts w:asciiTheme="minorHAnsi" w:hAnsiTheme="minorHAnsi" w:cs="Arial"/>
        </w:rPr>
        <w:t xml:space="preserve">. </w:t>
      </w:r>
      <w:r w:rsidR="007304DD" w:rsidRPr="00F97F3D">
        <w:rPr>
          <w:rFonts w:asciiTheme="minorHAnsi" w:hAnsiTheme="minorHAnsi" w:cs="Arial"/>
        </w:rPr>
        <w:t xml:space="preserve">VAW </w:t>
      </w:r>
      <w:r w:rsidRPr="00F97F3D">
        <w:rPr>
          <w:rFonts w:asciiTheme="minorHAnsi" w:hAnsiTheme="minorHAnsi" w:cs="Arial"/>
        </w:rPr>
        <w:t xml:space="preserve">needs to be </w:t>
      </w:r>
      <w:r w:rsidR="00E01EF4" w:rsidRPr="00F97F3D">
        <w:rPr>
          <w:rFonts w:asciiTheme="minorHAnsi" w:hAnsiTheme="minorHAnsi" w:cs="Arial"/>
        </w:rPr>
        <w:t xml:space="preserve">identified as a priority area in its own right as well as </w:t>
      </w:r>
      <w:r w:rsidRPr="00F97F3D">
        <w:rPr>
          <w:rFonts w:asciiTheme="minorHAnsi" w:hAnsiTheme="minorHAnsi" w:cs="Arial"/>
        </w:rPr>
        <w:t>included under each priority area</w:t>
      </w:r>
      <w:r w:rsidR="007304DD" w:rsidRPr="00F97F3D">
        <w:rPr>
          <w:rFonts w:asciiTheme="minorHAnsi" w:hAnsiTheme="minorHAnsi" w:cs="Arial"/>
        </w:rPr>
        <w:t xml:space="preserve">. </w:t>
      </w:r>
    </w:p>
    <w:p w14:paraId="1130F6BA" w14:textId="13AD7C06" w:rsidR="006546CC" w:rsidRPr="00EE242D" w:rsidRDefault="00EE242D" w:rsidP="00EE242D">
      <w:pPr>
        <w:pStyle w:val="Heading1"/>
      </w:pPr>
      <w:r>
        <w:t>Priority area 1: Mental health</w:t>
      </w:r>
    </w:p>
    <w:p w14:paraId="1CC5941E" w14:textId="6BBCD63D" w:rsidR="007304DD" w:rsidRDefault="007304DD" w:rsidP="008B1215">
      <w:pPr>
        <w:jc w:val="both"/>
        <w:rPr>
          <w:rFonts w:asciiTheme="minorHAnsi" w:hAnsiTheme="minorHAnsi" w:cs="Arial"/>
        </w:rPr>
      </w:pPr>
      <w:r w:rsidRPr="00F97F3D">
        <w:rPr>
          <w:rFonts w:asciiTheme="minorHAnsi" w:hAnsiTheme="minorHAnsi" w:cs="Arial"/>
        </w:rPr>
        <w:t xml:space="preserve">Under the first set of priorities and actions, </w:t>
      </w:r>
      <w:r w:rsidR="000D24AC" w:rsidRPr="00F97F3D">
        <w:rPr>
          <w:rFonts w:asciiTheme="minorHAnsi" w:hAnsiTheme="minorHAnsi" w:cs="Arial"/>
        </w:rPr>
        <w:t xml:space="preserve">and throughout this section, </w:t>
      </w:r>
      <w:r w:rsidRPr="00F97F3D">
        <w:rPr>
          <w:rFonts w:asciiTheme="minorHAnsi" w:hAnsiTheme="minorHAnsi" w:cs="Arial"/>
        </w:rPr>
        <w:t xml:space="preserve">violence needs to be identified as a key contributor to mental illness. </w:t>
      </w:r>
      <w:r w:rsidR="000D24AC" w:rsidRPr="00F97F3D">
        <w:rPr>
          <w:rFonts w:asciiTheme="minorHAnsi" w:hAnsiTheme="minorHAnsi" w:cs="Arial"/>
        </w:rPr>
        <w:t>For example, the “resources, guidance and support [provided] to women, healthcare professionals and education providers” needs to include material on various forms of violence and equip people to elicit (where appropriate) and respond appropriately to indications that individuals have experienced or are experiencing violence.</w:t>
      </w:r>
      <w:r w:rsidR="00FC7DF3" w:rsidRPr="00F97F3D">
        <w:rPr>
          <w:rFonts w:asciiTheme="minorHAnsi" w:hAnsiTheme="minorHAnsi" w:cs="Arial"/>
        </w:rPr>
        <w:t xml:space="preserve"> More importantly, as in the health system generally, the capacity to prevent and respond to VAW needs to be address</w:t>
      </w:r>
      <w:r w:rsidR="00A37CA0" w:rsidRPr="00F97F3D">
        <w:rPr>
          <w:rFonts w:asciiTheme="minorHAnsi" w:hAnsiTheme="minorHAnsi" w:cs="Arial"/>
        </w:rPr>
        <w:t>ed at the whole-of-organisation</w:t>
      </w:r>
      <w:r w:rsidR="00FC7DF3" w:rsidRPr="00F97F3D">
        <w:rPr>
          <w:rFonts w:asciiTheme="minorHAnsi" w:hAnsiTheme="minorHAnsi" w:cs="Arial"/>
        </w:rPr>
        <w:t xml:space="preserve"> level, incorporating “champions’, measures to respond to practitioners’ own experiences of violence through employee support, and proper referral pathways and choices for individuals</w:t>
      </w:r>
      <w:r w:rsidR="001A43A4" w:rsidRPr="00F97F3D">
        <w:rPr>
          <w:rFonts w:asciiTheme="minorHAnsi" w:hAnsiTheme="minorHAnsi" w:cs="Arial"/>
        </w:rPr>
        <w:t xml:space="preserve"> (</w:t>
      </w:r>
      <w:r w:rsidR="001A43A4" w:rsidRPr="00F97F3D">
        <w:rPr>
          <w:rFonts w:asciiTheme="minorHAnsi" w:eastAsiaTheme="minorHAnsi" w:hAnsiTheme="minorHAnsi" w:cs="Arial"/>
          <w:sz w:val="22"/>
          <w:szCs w:val="22"/>
        </w:rPr>
        <w:t>García-Moreno et al 2015)</w:t>
      </w:r>
      <w:r w:rsidR="00FC7DF3" w:rsidRPr="00F97F3D">
        <w:rPr>
          <w:rFonts w:asciiTheme="minorHAnsi" w:hAnsiTheme="minorHAnsi" w:cs="Arial"/>
        </w:rPr>
        <w:t xml:space="preserve">. </w:t>
      </w:r>
    </w:p>
    <w:p w14:paraId="1DCC202B" w14:textId="77777777" w:rsidR="00EE242D" w:rsidRPr="00EE242D" w:rsidRDefault="00EE242D" w:rsidP="008B1215">
      <w:pPr>
        <w:jc w:val="both"/>
        <w:rPr>
          <w:rFonts w:asciiTheme="minorHAnsi" w:hAnsiTheme="minorHAnsi" w:cs="Arial"/>
        </w:rPr>
      </w:pPr>
    </w:p>
    <w:p w14:paraId="7B9A5597" w14:textId="77777777" w:rsidR="00A37CA0" w:rsidRPr="00EE242D" w:rsidRDefault="007304DD" w:rsidP="000D24AC">
      <w:pPr>
        <w:jc w:val="both"/>
        <w:rPr>
          <w:rFonts w:asciiTheme="minorHAnsi" w:hAnsiTheme="minorHAnsi" w:cs="Arial"/>
        </w:rPr>
      </w:pPr>
      <w:r w:rsidRPr="00EE242D">
        <w:rPr>
          <w:rFonts w:asciiTheme="minorHAnsi" w:hAnsiTheme="minorHAnsi" w:cs="Arial"/>
        </w:rPr>
        <w:t xml:space="preserve">In relation to </w:t>
      </w:r>
      <w:r w:rsidR="000D24AC" w:rsidRPr="00EE242D">
        <w:rPr>
          <w:rFonts w:asciiTheme="minorHAnsi" w:hAnsiTheme="minorHAnsi" w:cs="Arial"/>
        </w:rPr>
        <w:t>the second</w:t>
      </w:r>
      <w:r w:rsidR="00A37CA0" w:rsidRPr="00EE242D">
        <w:rPr>
          <w:rFonts w:asciiTheme="minorHAnsi" w:hAnsiTheme="minorHAnsi" w:cs="Arial"/>
        </w:rPr>
        <w:t xml:space="preserve"> set of priorities and actions:</w:t>
      </w:r>
    </w:p>
    <w:p w14:paraId="16BD522C" w14:textId="77777777" w:rsidR="00A37CA0" w:rsidRPr="00EE242D" w:rsidRDefault="00A37CA0" w:rsidP="000D24AC">
      <w:pPr>
        <w:pStyle w:val="ListParagraph"/>
        <w:numPr>
          <w:ilvl w:val="0"/>
          <w:numId w:val="17"/>
        </w:numPr>
        <w:jc w:val="both"/>
        <w:rPr>
          <w:rFonts w:cs="Arial"/>
          <w:sz w:val="24"/>
          <w:szCs w:val="24"/>
        </w:rPr>
      </w:pPr>
      <w:r w:rsidRPr="00EE242D">
        <w:rPr>
          <w:rFonts w:cs="Arial"/>
          <w:sz w:val="24"/>
          <w:szCs w:val="24"/>
        </w:rPr>
        <w:t>T</w:t>
      </w:r>
      <w:r w:rsidR="00294134" w:rsidRPr="00EE242D">
        <w:rPr>
          <w:rFonts w:cs="Arial"/>
          <w:sz w:val="24"/>
          <w:szCs w:val="24"/>
        </w:rPr>
        <w:t>raining for GPs should be included as</w:t>
      </w:r>
      <w:r w:rsidR="000D24AC" w:rsidRPr="00EE242D">
        <w:rPr>
          <w:rFonts w:cs="Arial"/>
          <w:sz w:val="24"/>
          <w:szCs w:val="24"/>
        </w:rPr>
        <w:t xml:space="preserve"> a point of intervention, as GP</w:t>
      </w:r>
      <w:r w:rsidR="00294134" w:rsidRPr="00EE242D">
        <w:rPr>
          <w:rFonts w:cs="Arial"/>
          <w:sz w:val="24"/>
          <w:szCs w:val="24"/>
        </w:rPr>
        <w:t xml:space="preserve">s </w:t>
      </w:r>
      <w:r w:rsidR="000D24AC" w:rsidRPr="00EE242D">
        <w:rPr>
          <w:rFonts w:cs="Arial"/>
          <w:sz w:val="24"/>
          <w:szCs w:val="24"/>
        </w:rPr>
        <w:t xml:space="preserve">sometimes </w:t>
      </w:r>
      <w:r w:rsidR="00294134" w:rsidRPr="00EE242D">
        <w:rPr>
          <w:rFonts w:cs="Arial"/>
          <w:sz w:val="24"/>
          <w:szCs w:val="24"/>
        </w:rPr>
        <w:t xml:space="preserve">lack knowledge </w:t>
      </w:r>
      <w:r w:rsidR="000D24AC" w:rsidRPr="00EE242D">
        <w:rPr>
          <w:rFonts w:cs="Arial"/>
          <w:sz w:val="24"/>
          <w:szCs w:val="24"/>
        </w:rPr>
        <w:t xml:space="preserve">about </w:t>
      </w:r>
      <w:r w:rsidR="00294134" w:rsidRPr="00EE242D">
        <w:rPr>
          <w:rFonts w:cs="Arial"/>
          <w:sz w:val="24"/>
          <w:szCs w:val="24"/>
        </w:rPr>
        <w:t>mental health care plans and their negative responses to women presenting for plans can be big barriers to access</w:t>
      </w:r>
      <w:r w:rsidR="000D24AC" w:rsidRPr="00EE242D">
        <w:rPr>
          <w:rFonts w:cs="Arial"/>
          <w:sz w:val="24"/>
          <w:szCs w:val="24"/>
        </w:rPr>
        <w:t xml:space="preserve">. </w:t>
      </w:r>
    </w:p>
    <w:p w14:paraId="41D8B12D" w14:textId="780623EB" w:rsidR="00A37CA0" w:rsidRPr="00EE242D" w:rsidRDefault="00294134" w:rsidP="000D24AC">
      <w:pPr>
        <w:pStyle w:val="ListParagraph"/>
        <w:numPr>
          <w:ilvl w:val="0"/>
          <w:numId w:val="17"/>
        </w:numPr>
        <w:jc w:val="both"/>
        <w:rPr>
          <w:rFonts w:cs="Arial"/>
          <w:sz w:val="24"/>
          <w:szCs w:val="24"/>
        </w:rPr>
      </w:pPr>
      <w:r w:rsidRPr="00EE242D">
        <w:rPr>
          <w:rFonts w:cs="Arial"/>
          <w:sz w:val="24"/>
          <w:szCs w:val="24"/>
        </w:rPr>
        <w:t>The limit of 10 sessions is also a problem, including for young women and women from lower socio-economic positions who may not be able to afford private health care, and can result in intermittent or lapsed care</w:t>
      </w:r>
      <w:r w:rsidR="000D24AC" w:rsidRPr="00EE242D">
        <w:rPr>
          <w:rFonts w:cs="Arial"/>
          <w:sz w:val="24"/>
          <w:szCs w:val="24"/>
        </w:rPr>
        <w:t>.</w:t>
      </w:r>
      <w:r w:rsidR="00DD0DFA" w:rsidRPr="00EE242D">
        <w:rPr>
          <w:rFonts w:cs="Arial"/>
          <w:sz w:val="24"/>
          <w:szCs w:val="24"/>
        </w:rPr>
        <w:t xml:space="preserve"> </w:t>
      </w:r>
    </w:p>
    <w:p w14:paraId="59498F82" w14:textId="3111E650" w:rsidR="00294134" w:rsidRPr="00EE242D" w:rsidRDefault="00DD0DFA" w:rsidP="000D24AC">
      <w:pPr>
        <w:pStyle w:val="ListParagraph"/>
        <w:numPr>
          <w:ilvl w:val="0"/>
          <w:numId w:val="17"/>
        </w:numPr>
        <w:jc w:val="both"/>
        <w:rPr>
          <w:rFonts w:cs="Arial"/>
          <w:sz w:val="24"/>
          <w:szCs w:val="24"/>
        </w:rPr>
      </w:pPr>
      <w:r w:rsidRPr="00EE242D">
        <w:rPr>
          <w:rFonts w:cs="Arial"/>
          <w:sz w:val="24"/>
          <w:szCs w:val="24"/>
        </w:rPr>
        <w:t>It should also be acknowledged that a diagnosis is required to get a mental health plan and some women experiencing violence are reluctant to pursue that avenue in light of the possibility that records of their counselling may be subpoenaed for use a</w:t>
      </w:r>
      <w:r w:rsidR="00FC7DF3" w:rsidRPr="00EE242D">
        <w:rPr>
          <w:rFonts w:cs="Arial"/>
          <w:sz w:val="24"/>
          <w:szCs w:val="24"/>
        </w:rPr>
        <w:t xml:space="preserve">gainst them in family court cases. </w:t>
      </w:r>
    </w:p>
    <w:p w14:paraId="04935980" w14:textId="77777777" w:rsidR="00A37CA0" w:rsidRPr="00EE242D" w:rsidRDefault="000D24AC" w:rsidP="00FC7DF3">
      <w:pPr>
        <w:jc w:val="both"/>
        <w:rPr>
          <w:rFonts w:asciiTheme="minorHAnsi" w:hAnsiTheme="minorHAnsi" w:cs="Arial"/>
        </w:rPr>
      </w:pPr>
      <w:r w:rsidRPr="00EE242D">
        <w:rPr>
          <w:rFonts w:asciiTheme="minorHAnsi" w:hAnsiTheme="minorHAnsi" w:cs="Arial"/>
        </w:rPr>
        <w:t>Under the third</w:t>
      </w:r>
      <w:r w:rsidR="00A37CA0" w:rsidRPr="00EE242D">
        <w:rPr>
          <w:rFonts w:asciiTheme="minorHAnsi" w:hAnsiTheme="minorHAnsi" w:cs="Arial"/>
        </w:rPr>
        <w:t xml:space="preserve"> set of priorities and actions:</w:t>
      </w:r>
    </w:p>
    <w:p w14:paraId="178360EF" w14:textId="60B913A2" w:rsidR="00FC7DF3" w:rsidRPr="00EE242D" w:rsidRDefault="00A37CA0" w:rsidP="00A37CA0">
      <w:pPr>
        <w:pStyle w:val="ListParagraph"/>
        <w:numPr>
          <w:ilvl w:val="0"/>
          <w:numId w:val="17"/>
        </w:numPr>
        <w:jc w:val="both"/>
        <w:rPr>
          <w:rFonts w:cs="Arial"/>
          <w:sz w:val="24"/>
          <w:szCs w:val="24"/>
        </w:rPr>
      </w:pPr>
      <w:r w:rsidRPr="00EE242D">
        <w:rPr>
          <w:rFonts w:cs="Arial"/>
          <w:sz w:val="24"/>
          <w:szCs w:val="24"/>
        </w:rPr>
        <w:t>I</w:t>
      </w:r>
      <w:r w:rsidR="00294134" w:rsidRPr="00EE242D">
        <w:rPr>
          <w:rFonts w:cs="Arial"/>
          <w:sz w:val="24"/>
          <w:szCs w:val="24"/>
        </w:rPr>
        <w:t xml:space="preserve">n terms of building engagement with young women, </w:t>
      </w:r>
      <w:r w:rsidR="000D24AC" w:rsidRPr="00EE242D">
        <w:rPr>
          <w:rFonts w:cs="Arial"/>
          <w:sz w:val="24"/>
          <w:szCs w:val="24"/>
        </w:rPr>
        <w:t xml:space="preserve">this </w:t>
      </w:r>
      <w:r w:rsidR="00294134" w:rsidRPr="00EE242D">
        <w:rPr>
          <w:rFonts w:cs="Arial"/>
          <w:sz w:val="24"/>
          <w:szCs w:val="24"/>
        </w:rPr>
        <w:t>must be strengths-based and treat young women as experts in their own health</w:t>
      </w:r>
      <w:r w:rsidR="00FC7DF3" w:rsidRPr="00EE242D">
        <w:rPr>
          <w:rFonts w:cs="Arial"/>
          <w:sz w:val="24"/>
          <w:szCs w:val="24"/>
        </w:rPr>
        <w:t>, including both face-to-</w:t>
      </w:r>
      <w:r w:rsidR="00294134" w:rsidRPr="00EE242D">
        <w:rPr>
          <w:rFonts w:cs="Arial"/>
          <w:sz w:val="24"/>
          <w:szCs w:val="24"/>
        </w:rPr>
        <w:t>face and online forums</w:t>
      </w:r>
      <w:r w:rsidR="00FC7DF3" w:rsidRPr="00EE242D">
        <w:rPr>
          <w:rFonts w:cs="Arial"/>
          <w:sz w:val="24"/>
          <w:szCs w:val="24"/>
        </w:rPr>
        <w:t>.</w:t>
      </w:r>
    </w:p>
    <w:p w14:paraId="3CE8B565" w14:textId="77777777" w:rsidR="00A37CA0" w:rsidRPr="00EE242D" w:rsidRDefault="00FC7DF3" w:rsidP="00FC7DF3">
      <w:pPr>
        <w:jc w:val="both"/>
        <w:rPr>
          <w:rFonts w:asciiTheme="minorHAnsi" w:hAnsiTheme="minorHAnsi" w:cs="Arial"/>
        </w:rPr>
      </w:pPr>
      <w:r w:rsidRPr="00EE242D">
        <w:rPr>
          <w:rFonts w:asciiTheme="minorHAnsi" w:hAnsiTheme="minorHAnsi" w:cs="Arial"/>
        </w:rPr>
        <w:t>Under the fourth</w:t>
      </w:r>
      <w:r w:rsidR="00A37CA0" w:rsidRPr="00EE242D">
        <w:rPr>
          <w:rFonts w:asciiTheme="minorHAnsi" w:hAnsiTheme="minorHAnsi" w:cs="Arial"/>
        </w:rPr>
        <w:t xml:space="preserve"> set of priorities and actions</w:t>
      </w:r>
    </w:p>
    <w:p w14:paraId="5016DF59" w14:textId="08E49D40" w:rsidR="00FC7DF3" w:rsidRPr="00EE242D" w:rsidRDefault="00A37CA0" w:rsidP="00A37CA0">
      <w:pPr>
        <w:pStyle w:val="ListParagraph"/>
        <w:numPr>
          <w:ilvl w:val="0"/>
          <w:numId w:val="17"/>
        </w:numPr>
        <w:jc w:val="both"/>
        <w:rPr>
          <w:rFonts w:cs="Arial"/>
          <w:sz w:val="24"/>
          <w:szCs w:val="24"/>
        </w:rPr>
      </w:pPr>
      <w:r w:rsidRPr="00EE242D">
        <w:rPr>
          <w:rFonts w:cs="Arial"/>
          <w:sz w:val="24"/>
          <w:szCs w:val="24"/>
        </w:rPr>
        <w:t>W</w:t>
      </w:r>
      <w:r w:rsidR="00FC7DF3" w:rsidRPr="00EE242D">
        <w:rPr>
          <w:rFonts w:cs="Arial"/>
          <w:sz w:val="24"/>
          <w:szCs w:val="24"/>
        </w:rPr>
        <w:t xml:space="preserve">e suggest considering the need for adequate support services when promoting models of peer advocacy and ‘end-user voice’. The health system needs to bear the primary responsibility for providing adequate services, instead of relying on the advocacy of people with lived experience. This is particularly important in light of the prevalence of violence as a factor in mental health issues. </w:t>
      </w:r>
    </w:p>
    <w:p w14:paraId="0F3385D9" w14:textId="63C15D05" w:rsidR="00294134" w:rsidRPr="00EE242D" w:rsidRDefault="00FC7DF3" w:rsidP="008B1215">
      <w:pPr>
        <w:pStyle w:val="ListParagraph"/>
        <w:numPr>
          <w:ilvl w:val="0"/>
          <w:numId w:val="17"/>
        </w:numPr>
        <w:jc w:val="both"/>
        <w:rPr>
          <w:rFonts w:cs="Arial"/>
          <w:sz w:val="24"/>
          <w:szCs w:val="24"/>
        </w:rPr>
      </w:pPr>
      <w:r w:rsidRPr="00EE242D">
        <w:rPr>
          <w:rFonts w:cs="Arial"/>
          <w:sz w:val="24"/>
          <w:szCs w:val="24"/>
        </w:rPr>
        <w:t>The strategy</w:t>
      </w:r>
      <w:r w:rsidR="00294134" w:rsidRPr="00EE242D">
        <w:rPr>
          <w:rFonts w:cs="Arial"/>
          <w:sz w:val="24"/>
          <w:szCs w:val="24"/>
        </w:rPr>
        <w:t xml:space="preserve"> should note that the mental health needs of lesbian</w:t>
      </w:r>
      <w:r w:rsidRPr="00EE242D">
        <w:rPr>
          <w:rFonts w:cs="Arial"/>
          <w:sz w:val="24"/>
          <w:szCs w:val="24"/>
        </w:rPr>
        <w:t xml:space="preserve"> people</w:t>
      </w:r>
      <w:r w:rsidR="00294134" w:rsidRPr="00EE242D">
        <w:rPr>
          <w:rFonts w:cs="Arial"/>
          <w:sz w:val="24"/>
          <w:szCs w:val="24"/>
        </w:rPr>
        <w:t>, transgender</w:t>
      </w:r>
      <w:r w:rsidRPr="00EE242D">
        <w:rPr>
          <w:rFonts w:cs="Arial"/>
          <w:sz w:val="24"/>
          <w:szCs w:val="24"/>
        </w:rPr>
        <w:t xml:space="preserve"> people</w:t>
      </w:r>
      <w:r w:rsidR="00294134" w:rsidRPr="00EE242D">
        <w:rPr>
          <w:rFonts w:cs="Arial"/>
          <w:sz w:val="24"/>
          <w:szCs w:val="24"/>
        </w:rPr>
        <w:t xml:space="preserve">, non-binary </w:t>
      </w:r>
      <w:r w:rsidRPr="00EE242D">
        <w:rPr>
          <w:rFonts w:cs="Arial"/>
          <w:sz w:val="24"/>
          <w:szCs w:val="24"/>
        </w:rPr>
        <w:t xml:space="preserve">people </w:t>
      </w:r>
      <w:r w:rsidR="00294134" w:rsidRPr="00EE242D">
        <w:rPr>
          <w:rFonts w:cs="Arial"/>
          <w:sz w:val="24"/>
          <w:szCs w:val="24"/>
        </w:rPr>
        <w:t>and people with intersex variations ar</w:t>
      </w:r>
      <w:r w:rsidRPr="00EE242D">
        <w:rPr>
          <w:rFonts w:cs="Arial"/>
          <w:sz w:val="24"/>
          <w:szCs w:val="24"/>
        </w:rPr>
        <w:t>e likely to be different among</w:t>
      </w:r>
      <w:r w:rsidR="00294134" w:rsidRPr="00EE242D">
        <w:rPr>
          <w:rFonts w:cs="Arial"/>
          <w:sz w:val="24"/>
          <w:szCs w:val="24"/>
        </w:rPr>
        <w:t xml:space="preserve"> each other, and require different responses. This needs to be better understood.</w:t>
      </w:r>
    </w:p>
    <w:p w14:paraId="2C46773B" w14:textId="017BBD90" w:rsidR="006A0FDD" w:rsidRPr="00EE242D" w:rsidRDefault="00E16BF1" w:rsidP="00EE242D">
      <w:pPr>
        <w:pStyle w:val="Heading1"/>
      </w:pPr>
      <w:r w:rsidRPr="00EE242D">
        <w:lastRenderedPageBreak/>
        <w:t>Priority area 2</w:t>
      </w:r>
      <w:r w:rsidR="00EE242D">
        <w:t>:</w:t>
      </w:r>
      <w:r w:rsidRPr="00EE242D">
        <w:t xml:space="preserve"> Chronic disease and preventative health</w:t>
      </w:r>
    </w:p>
    <w:p w14:paraId="61D55798" w14:textId="77777777" w:rsidR="008F48CD" w:rsidRPr="00F97F3D" w:rsidRDefault="008F48CD" w:rsidP="00FC7DF3">
      <w:pPr>
        <w:shd w:val="clear" w:color="auto" w:fill="FFFFFF"/>
        <w:rPr>
          <w:rFonts w:asciiTheme="minorHAnsi" w:hAnsiTheme="minorHAnsi" w:cs="Arial"/>
          <w:color w:val="222222"/>
          <w:lang w:eastAsia="en-AU"/>
        </w:rPr>
      </w:pPr>
      <w:r w:rsidRPr="00F97F3D">
        <w:rPr>
          <w:rFonts w:asciiTheme="minorHAnsi" w:hAnsiTheme="minorHAnsi" w:cs="Arial"/>
          <w:color w:val="222222"/>
          <w:lang w:eastAsia="en-AU"/>
        </w:rPr>
        <w:t xml:space="preserve">The concept of preventative health should include measures to promote gender equality and prevent violence against women, given the role of gender inequality in driving this violence, and the fact that violence against women is a leading preventable contributor to illness, injury and early death. </w:t>
      </w:r>
    </w:p>
    <w:p w14:paraId="7EB679AF" w14:textId="77777777" w:rsidR="008F48CD" w:rsidRPr="00F97F3D" w:rsidRDefault="008F48CD" w:rsidP="00FC7DF3">
      <w:pPr>
        <w:shd w:val="clear" w:color="auto" w:fill="FFFFFF"/>
        <w:rPr>
          <w:rFonts w:asciiTheme="minorHAnsi" w:hAnsiTheme="minorHAnsi" w:cs="Arial"/>
          <w:color w:val="222222"/>
          <w:lang w:eastAsia="en-AU"/>
        </w:rPr>
      </w:pPr>
    </w:p>
    <w:p w14:paraId="269E2621" w14:textId="67AEFE94" w:rsidR="008F48CD" w:rsidRPr="00F97F3D" w:rsidRDefault="008F48CD" w:rsidP="00FC7DF3">
      <w:pPr>
        <w:shd w:val="clear" w:color="auto" w:fill="FFFFFF"/>
        <w:rPr>
          <w:rFonts w:asciiTheme="minorHAnsi" w:hAnsiTheme="minorHAnsi" w:cs="Arial"/>
          <w:color w:val="222222"/>
          <w:lang w:eastAsia="en-AU"/>
        </w:rPr>
      </w:pPr>
      <w:r w:rsidRPr="00F97F3D">
        <w:rPr>
          <w:rFonts w:asciiTheme="minorHAnsi" w:hAnsiTheme="minorHAnsi" w:cs="Arial"/>
          <w:color w:val="222222"/>
          <w:lang w:eastAsia="en-AU"/>
        </w:rPr>
        <w:t xml:space="preserve">Violence prevention needs to be undertaken through an intersectional approach, with increased funding and support for community-led and culturally-sensitive prevention and early intervention initiatives in diverse communities </w:t>
      </w:r>
      <w:r w:rsidRPr="00F97F3D">
        <w:rPr>
          <w:rFonts w:asciiTheme="minorHAnsi" w:hAnsiTheme="minorHAnsi"/>
        </w:rPr>
        <w:t>including Aboriginal and Torres Strait Islander, LGBTIQ+, culturally and linguistically diverse, migrant and refugee communities and at-risk cohorts including women with disability, women in the sex industry, women in rural and regional areas, older women and young women.</w:t>
      </w:r>
      <w:r w:rsidRPr="00F97F3D">
        <w:rPr>
          <w:rFonts w:asciiTheme="minorHAnsi" w:hAnsiTheme="minorHAnsi" w:cs="Arial"/>
          <w:color w:val="222222"/>
          <w:lang w:eastAsia="en-AU"/>
        </w:rPr>
        <w:t xml:space="preserve"> </w:t>
      </w:r>
    </w:p>
    <w:p w14:paraId="1C29963C" w14:textId="77777777" w:rsidR="008F48CD" w:rsidRPr="00EE242D" w:rsidRDefault="008F48CD" w:rsidP="00FC7DF3">
      <w:pPr>
        <w:shd w:val="clear" w:color="auto" w:fill="FFFFFF"/>
        <w:rPr>
          <w:rFonts w:asciiTheme="minorHAnsi" w:hAnsiTheme="minorHAnsi" w:cs="Arial"/>
          <w:color w:val="222222"/>
          <w:lang w:eastAsia="en-AU"/>
        </w:rPr>
      </w:pPr>
    </w:p>
    <w:p w14:paraId="36D039BA" w14:textId="4F73F73A" w:rsidR="00294134" w:rsidRPr="00EE242D" w:rsidRDefault="00FC7DF3" w:rsidP="00A37CA0">
      <w:pPr>
        <w:pStyle w:val="ListParagraph"/>
        <w:numPr>
          <w:ilvl w:val="0"/>
          <w:numId w:val="17"/>
        </w:numPr>
        <w:shd w:val="clear" w:color="auto" w:fill="FFFFFF"/>
        <w:spacing w:after="0" w:line="240" w:lineRule="auto"/>
        <w:rPr>
          <w:rFonts w:eastAsia="Times New Roman" w:cs="Arial"/>
          <w:color w:val="222222"/>
          <w:sz w:val="24"/>
          <w:szCs w:val="24"/>
          <w:lang w:eastAsia="en-AU"/>
        </w:rPr>
      </w:pPr>
      <w:r w:rsidRPr="00EE242D">
        <w:rPr>
          <w:rFonts w:eastAsia="Times New Roman" w:cs="Arial"/>
          <w:color w:val="222222"/>
          <w:sz w:val="24"/>
          <w:szCs w:val="24"/>
          <w:lang w:eastAsia="en-AU"/>
        </w:rPr>
        <w:t>On page 16 in section 2, the reference to “</w:t>
      </w:r>
      <w:r w:rsidR="00294134" w:rsidRPr="00EE242D">
        <w:rPr>
          <w:rFonts w:eastAsia="Times New Roman" w:cs="Arial"/>
          <w:color w:val="222222"/>
          <w:sz w:val="24"/>
          <w:szCs w:val="24"/>
          <w:lang w:eastAsia="en-AU"/>
        </w:rPr>
        <w:t>female role models</w:t>
      </w:r>
      <w:r w:rsidRPr="00EE242D">
        <w:rPr>
          <w:rFonts w:eastAsia="Times New Roman" w:cs="Arial"/>
          <w:color w:val="222222"/>
          <w:sz w:val="24"/>
          <w:szCs w:val="24"/>
          <w:lang w:eastAsia="en-AU"/>
        </w:rPr>
        <w:t>”</w:t>
      </w:r>
      <w:r w:rsidR="00294134" w:rsidRPr="00EE242D">
        <w:rPr>
          <w:rFonts w:eastAsia="Times New Roman" w:cs="Arial"/>
          <w:color w:val="222222"/>
          <w:sz w:val="24"/>
          <w:szCs w:val="24"/>
          <w:lang w:eastAsia="en-AU"/>
        </w:rPr>
        <w:t xml:space="preserve">, </w:t>
      </w:r>
      <w:r w:rsidRPr="00EE242D">
        <w:rPr>
          <w:rFonts w:eastAsia="Times New Roman" w:cs="Arial"/>
          <w:color w:val="222222"/>
          <w:sz w:val="24"/>
          <w:szCs w:val="24"/>
          <w:lang w:eastAsia="en-AU"/>
        </w:rPr>
        <w:t xml:space="preserve">should be replaced with </w:t>
      </w:r>
      <w:r w:rsidR="00531ABE" w:rsidRPr="00EE242D">
        <w:rPr>
          <w:rFonts w:eastAsia="Times New Roman" w:cs="Arial"/>
          <w:color w:val="222222"/>
          <w:sz w:val="24"/>
          <w:szCs w:val="24"/>
          <w:lang w:eastAsia="en-AU"/>
        </w:rPr>
        <w:t xml:space="preserve">“celebrate healthy and diverse </w:t>
      </w:r>
      <w:r w:rsidR="00294134" w:rsidRPr="00EE242D">
        <w:rPr>
          <w:rFonts w:eastAsia="Times New Roman" w:cs="Arial"/>
          <w:color w:val="222222"/>
          <w:sz w:val="24"/>
          <w:szCs w:val="24"/>
          <w:lang w:eastAsia="en-AU"/>
        </w:rPr>
        <w:t xml:space="preserve">women </w:t>
      </w:r>
      <w:r w:rsidR="00531ABE" w:rsidRPr="00EE242D">
        <w:rPr>
          <w:rFonts w:eastAsia="Times New Roman" w:cs="Arial"/>
          <w:color w:val="222222"/>
          <w:sz w:val="24"/>
          <w:szCs w:val="24"/>
          <w:lang w:eastAsia="en-AU"/>
        </w:rPr>
        <w:t xml:space="preserve">and girls as </w:t>
      </w:r>
      <w:r w:rsidR="00294134" w:rsidRPr="00EE242D">
        <w:rPr>
          <w:rFonts w:eastAsia="Times New Roman" w:cs="Arial"/>
          <w:color w:val="222222"/>
          <w:sz w:val="24"/>
          <w:szCs w:val="24"/>
          <w:lang w:eastAsia="en-AU"/>
        </w:rPr>
        <w:t>role models</w:t>
      </w:r>
      <w:r w:rsidRPr="00EE242D">
        <w:rPr>
          <w:rFonts w:eastAsia="Times New Roman" w:cs="Arial"/>
          <w:color w:val="222222"/>
          <w:sz w:val="24"/>
          <w:szCs w:val="24"/>
          <w:lang w:eastAsia="en-AU"/>
        </w:rPr>
        <w:t>”</w:t>
      </w:r>
      <w:r w:rsidR="00294134" w:rsidRPr="00EE242D">
        <w:rPr>
          <w:rFonts w:eastAsia="Times New Roman" w:cs="Arial"/>
          <w:color w:val="222222"/>
          <w:sz w:val="24"/>
          <w:szCs w:val="24"/>
          <w:lang w:eastAsia="en-AU"/>
        </w:rPr>
        <w:t xml:space="preserve"> </w:t>
      </w:r>
      <w:r w:rsidRPr="00EE242D">
        <w:rPr>
          <w:rFonts w:eastAsia="Times New Roman" w:cs="Arial"/>
          <w:color w:val="222222"/>
          <w:sz w:val="24"/>
          <w:szCs w:val="24"/>
          <w:lang w:eastAsia="en-AU"/>
        </w:rPr>
        <w:t xml:space="preserve">as a better use of sex/gender language. </w:t>
      </w:r>
    </w:p>
    <w:p w14:paraId="39301FEA" w14:textId="686E28B4" w:rsidR="00294134" w:rsidRPr="00F97F3D" w:rsidRDefault="00294134" w:rsidP="008B1215">
      <w:pPr>
        <w:jc w:val="both"/>
        <w:rPr>
          <w:rFonts w:asciiTheme="minorHAnsi" w:hAnsiTheme="minorHAnsi" w:cs="Arial"/>
        </w:rPr>
      </w:pPr>
    </w:p>
    <w:p w14:paraId="76AD3772" w14:textId="2312A8B6" w:rsidR="00E16BF1" w:rsidRPr="00EE242D" w:rsidRDefault="00EE242D" w:rsidP="00EE242D">
      <w:pPr>
        <w:pStyle w:val="Heading1"/>
      </w:pPr>
      <w:r w:rsidRPr="00EE242D">
        <w:t>Priority area</w:t>
      </w:r>
      <w:r>
        <w:t>:</w:t>
      </w:r>
      <w:r w:rsidRPr="00EE242D">
        <w:t xml:space="preserve"> </w:t>
      </w:r>
      <w:r w:rsidR="00E16BF1" w:rsidRPr="00EE242D">
        <w:t xml:space="preserve">3 Sexual and reproductive health </w:t>
      </w:r>
    </w:p>
    <w:p w14:paraId="0ABD107D" w14:textId="624CD779" w:rsidR="004A123A" w:rsidRDefault="008F48CD" w:rsidP="008B1215">
      <w:pPr>
        <w:jc w:val="both"/>
        <w:rPr>
          <w:rFonts w:asciiTheme="minorHAnsi" w:hAnsiTheme="minorHAnsi" w:cs="Arial"/>
        </w:rPr>
      </w:pPr>
      <w:r w:rsidRPr="00F97F3D">
        <w:rPr>
          <w:rFonts w:asciiTheme="minorHAnsi" w:hAnsiTheme="minorHAnsi" w:cs="Arial"/>
        </w:rPr>
        <w:t>This section should include direct references to sexual assault, reproductive coercion and technology-facilitated sexual violence, to make it clear that these forms of violence are among the main factors influencing women’s sexual and reproductive health.</w:t>
      </w:r>
      <w:r w:rsidR="00CC5558" w:rsidRPr="00F97F3D">
        <w:rPr>
          <w:rFonts w:asciiTheme="minorHAnsi" w:hAnsiTheme="minorHAnsi" w:cs="Arial"/>
        </w:rPr>
        <w:t xml:space="preserve"> </w:t>
      </w:r>
      <w:r w:rsidR="004A123A" w:rsidRPr="00F97F3D">
        <w:rPr>
          <w:rFonts w:asciiTheme="minorHAnsi" w:hAnsiTheme="minorHAnsi" w:cs="Arial"/>
        </w:rPr>
        <w:t>Improvements to sexual and reproductive health, and health overall, will be gained by increasing women’s autonomy and control over their sexual and reproductive lives. For women experiencing violence, it is particularly important that legal and health systems support their autonomy rather than undermining it.</w:t>
      </w:r>
    </w:p>
    <w:p w14:paraId="1DDF16BA" w14:textId="77777777" w:rsidR="00EE242D" w:rsidRPr="00F97F3D" w:rsidRDefault="00EE242D" w:rsidP="008B1215">
      <w:pPr>
        <w:jc w:val="both"/>
        <w:rPr>
          <w:rFonts w:asciiTheme="minorHAnsi" w:hAnsiTheme="minorHAnsi" w:cs="Arial"/>
        </w:rPr>
      </w:pPr>
    </w:p>
    <w:p w14:paraId="6D436A83" w14:textId="38F315E6" w:rsidR="00294134" w:rsidRPr="00F6116D" w:rsidRDefault="00CC5558" w:rsidP="008B1215">
      <w:pPr>
        <w:jc w:val="both"/>
        <w:rPr>
          <w:rFonts w:asciiTheme="minorHAnsi" w:hAnsiTheme="minorHAnsi" w:cs="Arial"/>
        </w:rPr>
      </w:pPr>
      <w:r w:rsidRPr="00F97F3D">
        <w:rPr>
          <w:rFonts w:asciiTheme="minorHAnsi" w:hAnsiTheme="minorHAnsi" w:cs="Arial"/>
        </w:rPr>
        <w:t xml:space="preserve">Abolishing forced sterilisation, </w:t>
      </w:r>
      <w:r w:rsidRPr="00F6116D">
        <w:rPr>
          <w:rFonts w:asciiTheme="minorHAnsi" w:hAnsiTheme="minorHAnsi" w:cs="Arial"/>
        </w:rPr>
        <w:t>non-consensual abortion and involuntary administration of contraceptives to women and girls with disability should be considered in the scope of the strategy. Likewise, the strategy should also commit to ending the practice of unnecessary medical procedures on people with intersex variations.</w:t>
      </w:r>
    </w:p>
    <w:p w14:paraId="69C61E16" w14:textId="77777777" w:rsidR="00095AF7" w:rsidRPr="00F6116D" w:rsidRDefault="008F48CD" w:rsidP="008B1215">
      <w:pPr>
        <w:jc w:val="both"/>
        <w:rPr>
          <w:rFonts w:asciiTheme="minorHAnsi" w:hAnsiTheme="minorHAnsi" w:cs="Arial"/>
        </w:rPr>
      </w:pPr>
      <w:r w:rsidRPr="00F6116D">
        <w:rPr>
          <w:rFonts w:asciiTheme="minorHAnsi" w:hAnsiTheme="minorHAnsi" w:cs="Arial"/>
        </w:rPr>
        <w:t xml:space="preserve">In relation to the </w:t>
      </w:r>
      <w:r w:rsidR="00531ABE" w:rsidRPr="00F6116D">
        <w:rPr>
          <w:rFonts w:asciiTheme="minorHAnsi" w:hAnsiTheme="minorHAnsi" w:cs="Arial"/>
        </w:rPr>
        <w:t>second</w:t>
      </w:r>
      <w:r w:rsidR="00095AF7" w:rsidRPr="00F6116D">
        <w:rPr>
          <w:rFonts w:asciiTheme="minorHAnsi" w:hAnsiTheme="minorHAnsi" w:cs="Arial"/>
        </w:rPr>
        <w:t xml:space="preserve"> set of priorities and actions:</w:t>
      </w:r>
    </w:p>
    <w:p w14:paraId="4C7C25EB" w14:textId="5551E816" w:rsidR="008F48CD" w:rsidRPr="00F6116D" w:rsidRDefault="00095AF7" w:rsidP="00095AF7">
      <w:pPr>
        <w:pStyle w:val="ListParagraph"/>
        <w:numPr>
          <w:ilvl w:val="0"/>
          <w:numId w:val="17"/>
        </w:numPr>
        <w:jc w:val="both"/>
        <w:rPr>
          <w:rFonts w:cs="Arial"/>
          <w:sz w:val="24"/>
          <w:szCs w:val="24"/>
        </w:rPr>
      </w:pPr>
      <w:r w:rsidRPr="00F6116D">
        <w:rPr>
          <w:rFonts w:cs="Arial"/>
          <w:sz w:val="24"/>
          <w:szCs w:val="24"/>
        </w:rPr>
        <w:t>I</w:t>
      </w:r>
      <w:r w:rsidR="00CC5558" w:rsidRPr="00F6116D">
        <w:rPr>
          <w:rFonts w:cs="Arial"/>
          <w:sz w:val="24"/>
          <w:szCs w:val="24"/>
        </w:rPr>
        <w:t xml:space="preserve">ncreased support for women in the perinatal period should include a VAW lens, and screening for violence during this period needs to be conducted in a skilled and sensitive way. </w:t>
      </w:r>
    </w:p>
    <w:p w14:paraId="551AA7FA" w14:textId="77777777" w:rsidR="00095AF7" w:rsidRPr="00F6116D" w:rsidRDefault="00CC5558" w:rsidP="00CC5558">
      <w:pPr>
        <w:jc w:val="both"/>
        <w:rPr>
          <w:rFonts w:asciiTheme="minorHAnsi" w:hAnsiTheme="minorHAnsi" w:cs="Arial"/>
        </w:rPr>
      </w:pPr>
      <w:r w:rsidRPr="00F6116D">
        <w:rPr>
          <w:rFonts w:asciiTheme="minorHAnsi" w:hAnsiTheme="minorHAnsi" w:cs="Arial"/>
        </w:rPr>
        <w:t>Under the third</w:t>
      </w:r>
      <w:r w:rsidR="00095AF7" w:rsidRPr="00F6116D">
        <w:rPr>
          <w:rFonts w:asciiTheme="minorHAnsi" w:hAnsiTheme="minorHAnsi" w:cs="Arial"/>
        </w:rPr>
        <w:t xml:space="preserve"> set of priorities and actions:</w:t>
      </w:r>
    </w:p>
    <w:p w14:paraId="65F2F923" w14:textId="77777777" w:rsidR="00095AF7" w:rsidRPr="00F6116D" w:rsidRDefault="00095AF7" w:rsidP="00CC5558">
      <w:pPr>
        <w:pStyle w:val="ListParagraph"/>
        <w:numPr>
          <w:ilvl w:val="0"/>
          <w:numId w:val="17"/>
        </w:numPr>
        <w:jc w:val="both"/>
        <w:rPr>
          <w:rFonts w:eastAsia="Times New Roman" w:cs="Arial"/>
          <w:color w:val="222222"/>
          <w:sz w:val="24"/>
          <w:szCs w:val="24"/>
          <w:lang w:eastAsia="en-AU"/>
        </w:rPr>
      </w:pPr>
      <w:r w:rsidRPr="00F6116D">
        <w:rPr>
          <w:rFonts w:eastAsia="Times New Roman" w:cs="Arial"/>
          <w:color w:val="222222"/>
          <w:sz w:val="24"/>
          <w:szCs w:val="24"/>
          <w:lang w:eastAsia="en-AU"/>
        </w:rPr>
        <w:t>C</w:t>
      </w:r>
      <w:r w:rsidR="00294134" w:rsidRPr="00F6116D">
        <w:rPr>
          <w:rFonts w:eastAsia="Times New Roman" w:cs="Arial"/>
          <w:color w:val="222222"/>
          <w:sz w:val="24"/>
          <w:szCs w:val="24"/>
          <w:lang w:eastAsia="en-AU"/>
        </w:rPr>
        <w:t xml:space="preserve">omprehensive sexuality and relationships education </w:t>
      </w:r>
      <w:r w:rsidR="00CC5558" w:rsidRPr="00F6116D">
        <w:rPr>
          <w:rFonts w:eastAsia="Times New Roman" w:cs="Arial"/>
          <w:color w:val="222222"/>
          <w:sz w:val="24"/>
          <w:szCs w:val="24"/>
          <w:lang w:eastAsia="en-AU"/>
        </w:rPr>
        <w:t xml:space="preserve">needs to </w:t>
      </w:r>
      <w:r w:rsidR="00294134" w:rsidRPr="00F6116D">
        <w:rPr>
          <w:rFonts w:eastAsia="Times New Roman" w:cs="Arial"/>
          <w:color w:val="222222"/>
          <w:sz w:val="24"/>
          <w:szCs w:val="24"/>
          <w:lang w:eastAsia="en-AU"/>
        </w:rPr>
        <w:t>be delivered in all Australian schools with a whole of school approach</w:t>
      </w:r>
      <w:r w:rsidR="00CC5558" w:rsidRPr="00F6116D">
        <w:rPr>
          <w:rFonts w:eastAsia="Times New Roman" w:cs="Arial"/>
          <w:color w:val="222222"/>
          <w:sz w:val="24"/>
          <w:szCs w:val="24"/>
          <w:lang w:eastAsia="en-AU"/>
        </w:rPr>
        <w:t>.</w:t>
      </w:r>
    </w:p>
    <w:p w14:paraId="2D8C1F04" w14:textId="77777777" w:rsidR="00095AF7" w:rsidRPr="00F6116D" w:rsidRDefault="00294134" w:rsidP="00095AF7">
      <w:pPr>
        <w:pStyle w:val="ListParagraph"/>
        <w:numPr>
          <w:ilvl w:val="0"/>
          <w:numId w:val="17"/>
        </w:numPr>
        <w:jc w:val="both"/>
        <w:rPr>
          <w:rFonts w:eastAsia="Times New Roman" w:cs="Arial"/>
          <w:color w:val="222222"/>
          <w:sz w:val="24"/>
          <w:szCs w:val="24"/>
          <w:lang w:eastAsia="en-AU"/>
        </w:rPr>
      </w:pPr>
      <w:r w:rsidRPr="00F6116D">
        <w:rPr>
          <w:rFonts w:eastAsia="Times New Roman" w:cs="Arial"/>
          <w:color w:val="222222"/>
          <w:sz w:val="24"/>
          <w:szCs w:val="24"/>
          <w:lang w:eastAsia="en-AU"/>
        </w:rPr>
        <w:t>Sexuality and relationships education must be inclusive for people of diverse genders, sexualities and with intersex variations, young people from Aboriginal and Torres Strait Islander backgrounds, and people from culturally and lin</w:t>
      </w:r>
      <w:r w:rsidR="00CC5558" w:rsidRPr="00F6116D">
        <w:rPr>
          <w:rFonts w:eastAsia="Times New Roman" w:cs="Arial"/>
          <w:color w:val="222222"/>
          <w:sz w:val="24"/>
          <w:szCs w:val="24"/>
          <w:lang w:eastAsia="en-AU"/>
        </w:rPr>
        <w:t>guistically diverse backgrounds.</w:t>
      </w:r>
    </w:p>
    <w:p w14:paraId="0CDDED07" w14:textId="77777777" w:rsidR="00095AF7" w:rsidRPr="00F6116D" w:rsidRDefault="00294134" w:rsidP="00095AF7">
      <w:pPr>
        <w:pStyle w:val="ListParagraph"/>
        <w:numPr>
          <w:ilvl w:val="0"/>
          <w:numId w:val="17"/>
        </w:numPr>
        <w:jc w:val="both"/>
        <w:rPr>
          <w:rFonts w:eastAsia="Times New Roman" w:cs="Arial"/>
          <w:color w:val="222222"/>
          <w:sz w:val="24"/>
          <w:szCs w:val="24"/>
          <w:lang w:eastAsia="en-AU"/>
        </w:rPr>
      </w:pPr>
      <w:r w:rsidRPr="00F6116D">
        <w:rPr>
          <w:rFonts w:eastAsia="Times New Roman" w:cs="Arial"/>
          <w:color w:val="222222"/>
          <w:sz w:val="24"/>
          <w:szCs w:val="24"/>
          <w:lang w:val="en-US" w:eastAsia="en-AU"/>
        </w:rPr>
        <w:t xml:space="preserve">Given that abortion is now </w:t>
      </w:r>
      <w:proofErr w:type="spellStart"/>
      <w:r w:rsidRPr="00F6116D">
        <w:rPr>
          <w:rFonts w:eastAsia="Times New Roman" w:cs="Arial"/>
          <w:color w:val="222222"/>
          <w:sz w:val="24"/>
          <w:szCs w:val="24"/>
          <w:lang w:val="en-US" w:eastAsia="en-AU"/>
        </w:rPr>
        <w:t>decriminalised</w:t>
      </w:r>
      <w:proofErr w:type="spellEnd"/>
      <w:r w:rsidRPr="00F6116D">
        <w:rPr>
          <w:rFonts w:eastAsia="Times New Roman" w:cs="Arial"/>
          <w:color w:val="222222"/>
          <w:sz w:val="24"/>
          <w:szCs w:val="24"/>
          <w:lang w:val="en-US" w:eastAsia="en-AU"/>
        </w:rPr>
        <w:t xml:space="preserve"> </w:t>
      </w:r>
      <w:r w:rsidR="00CC5558" w:rsidRPr="00F6116D">
        <w:rPr>
          <w:rFonts w:eastAsia="Times New Roman" w:cs="Arial"/>
          <w:color w:val="222222"/>
          <w:sz w:val="24"/>
          <w:szCs w:val="24"/>
          <w:lang w:val="en-US" w:eastAsia="en-AU"/>
        </w:rPr>
        <w:t xml:space="preserve">(up to varying periods of gestation) </w:t>
      </w:r>
      <w:r w:rsidRPr="00F6116D">
        <w:rPr>
          <w:rFonts w:eastAsia="Times New Roman" w:cs="Arial"/>
          <w:color w:val="222222"/>
          <w:sz w:val="24"/>
          <w:szCs w:val="24"/>
          <w:lang w:val="en-US" w:eastAsia="en-AU"/>
        </w:rPr>
        <w:t xml:space="preserve">in every Australian state </w:t>
      </w:r>
      <w:r w:rsidR="00CC5558" w:rsidRPr="00F6116D">
        <w:rPr>
          <w:rFonts w:eastAsia="Times New Roman" w:cs="Arial"/>
          <w:color w:val="222222"/>
          <w:sz w:val="24"/>
          <w:szCs w:val="24"/>
          <w:lang w:val="en-US" w:eastAsia="en-AU"/>
        </w:rPr>
        <w:t>and territory except</w:t>
      </w:r>
      <w:r w:rsidRPr="00F6116D">
        <w:rPr>
          <w:rFonts w:eastAsia="Times New Roman" w:cs="Arial"/>
          <w:color w:val="222222"/>
          <w:sz w:val="24"/>
          <w:szCs w:val="24"/>
          <w:lang w:val="en-US" w:eastAsia="en-AU"/>
        </w:rPr>
        <w:t xml:space="preserve"> New South Wales, it is imperative that abortion be made readily accessible as a health procedure for women and pregnant people. </w:t>
      </w:r>
      <w:r w:rsidRPr="00F6116D">
        <w:rPr>
          <w:rFonts w:eastAsia="Times New Roman" w:cs="Arial"/>
          <w:color w:val="222222"/>
          <w:sz w:val="24"/>
          <w:szCs w:val="24"/>
          <w:lang w:val="en-US" w:eastAsia="en-AU"/>
        </w:rPr>
        <w:lastRenderedPageBreak/>
        <w:t xml:space="preserve">This </w:t>
      </w:r>
      <w:r w:rsidR="004A123A" w:rsidRPr="00F6116D">
        <w:rPr>
          <w:rFonts w:eastAsia="Times New Roman" w:cs="Arial"/>
          <w:color w:val="222222"/>
          <w:sz w:val="24"/>
          <w:szCs w:val="24"/>
          <w:lang w:val="en-US" w:eastAsia="en-AU"/>
        </w:rPr>
        <w:t xml:space="preserve">process </w:t>
      </w:r>
      <w:r w:rsidRPr="00F6116D">
        <w:rPr>
          <w:rFonts w:eastAsia="Times New Roman" w:cs="Arial"/>
          <w:color w:val="222222"/>
          <w:sz w:val="24"/>
          <w:szCs w:val="24"/>
          <w:lang w:val="en-US" w:eastAsia="en-AU"/>
        </w:rPr>
        <w:t xml:space="preserve">could include training programs for doctors, as well as a public health campaign to </w:t>
      </w:r>
      <w:proofErr w:type="spellStart"/>
      <w:r w:rsidRPr="00F6116D">
        <w:rPr>
          <w:rFonts w:eastAsia="Times New Roman" w:cs="Arial"/>
          <w:color w:val="222222"/>
          <w:sz w:val="24"/>
          <w:szCs w:val="24"/>
          <w:lang w:val="en-US" w:eastAsia="en-AU"/>
        </w:rPr>
        <w:t>destigmatise</w:t>
      </w:r>
      <w:proofErr w:type="spellEnd"/>
      <w:r w:rsidRPr="00F6116D">
        <w:rPr>
          <w:rFonts w:eastAsia="Times New Roman" w:cs="Arial"/>
          <w:color w:val="222222"/>
          <w:sz w:val="24"/>
          <w:szCs w:val="24"/>
          <w:lang w:val="en-US" w:eastAsia="en-AU"/>
        </w:rPr>
        <w:t xml:space="preserve"> abortion.</w:t>
      </w:r>
    </w:p>
    <w:p w14:paraId="5D7DDCAE" w14:textId="258A1C3E" w:rsidR="00294134" w:rsidRPr="00F6116D" w:rsidRDefault="004A123A" w:rsidP="00095AF7">
      <w:pPr>
        <w:pStyle w:val="ListParagraph"/>
        <w:numPr>
          <w:ilvl w:val="0"/>
          <w:numId w:val="17"/>
        </w:numPr>
        <w:jc w:val="both"/>
        <w:rPr>
          <w:rFonts w:eastAsia="Times New Roman" w:cs="Arial"/>
          <w:color w:val="222222"/>
          <w:sz w:val="24"/>
          <w:szCs w:val="24"/>
          <w:lang w:eastAsia="en-AU"/>
        </w:rPr>
      </w:pPr>
      <w:r w:rsidRPr="00F6116D">
        <w:rPr>
          <w:rFonts w:eastAsia="Times New Roman" w:cs="Arial"/>
          <w:color w:val="222222"/>
          <w:sz w:val="24"/>
          <w:szCs w:val="24"/>
          <w:lang w:eastAsia="en-AU"/>
        </w:rPr>
        <w:t>B</w:t>
      </w:r>
      <w:r w:rsidR="00294134" w:rsidRPr="00F6116D">
        <w:rPr>
          <w:rFonts w:eastAsia="Times New Roman" w:cs="Arial"/>
          <w:color w:val="222222"/>
          <w:sz w:val="24"/>
          <w:szCs w:val="24"/>
          <w:lang w:eastAsia="en-AU"/>
        </w:rPr>
        <w:t xml:space="preserve">irth control </w:t>
      </w:r>
      <w:r w:rsidRPr="00F6116D">
        <w:rPr>
          <w:rFonts w:eastAsia="Times New Roman" w:cs="Arial"/>
          <w:color w:val="222222"/>
          <w:sz w:val="24"/>
          <w:szCs w:val="24"/>
          <w:lang w:eastAsia="en-AU"/>
        </w:rPr>
        <w:t xml:space="preserve">should be made </w:t>
      </w:r>
      <w:r w:rsidR="00294134" w:rsidRPr="00F6116D">
        <w:rPr>
          <w:rFonts w:eastAsia="Times New Roman" w:cs="Arial"/>
          <w:color w:val="222222"/>
          <w:sz w:val="24"/>
          <w:szCs w:val="24"/>
          <w:lang w:eastAsia="en-AU"/>
        </w:rPr>
        <w:t>more accessible by availability over the counter rather than through a doctor's prescription</w:t>
      </w:r>
      <w:r w:rsidRPr="00F6116D">
        <w:rPr>
          <w:rFonts w:eastAsia="Times New Roman" w:cs="Arial"/>
          <w:color w:val="222222"/>
          <w:sz w:val="24"/>
          <w:szCs w:val="24"/>
          <w:lang w:eastAsia="en-AU"/>
        </w:rPr>
        <w:t>.</w:t>
      </w:r>
    </w:p>
    <w:p w14:paraId="7EB455C3" w14:textId="076E14E1" w:rsidR="00E16BF1" w:rsidRPr="00EE242D" w:rsidRDefault="00EE242D" w:rsidP="00EE242D">
      <w:pPr>
        <w:pStyle w:val="Heading1"/>
      </w:pPr>
      <w:r>
        <w:t xml:space="preserve">Priority area 4: </w:t>
      </w:r>
      <w:r w:rsidR="00E16BF1" w:rsidRPr="00EE242D">
        <w:t xml:space="preserve">Conditions where women are overrepresented </w:t>
      </w:r>
    </w:p>
    <w:p w14:paraId="568B0A57" w14:textId="77777777" w:rsidR="001A43A4" w:rsidRPr="00EE242D" w:rsidRDefault="001A43A4" w:rsidP="001A43A4">
      <w:pPr>
        <w:jc w:val="both"/>
        <w:rPr>
          <w:rFonts w:asciiTheme="minorHAnsi" w:hAnsiTheme="minorHAnsi" w:cs="Arial"/>
        </w:rPr>
      </w:pPr>
      <w:r w:rsidRPr="00F97F3D">
        <w:rPr>
          <w:rFonts w:asciiTheme="minorHAnsi" w:hAnsiTheme="minorHAnsi" w:cs="Arial"/>
        </w:rPr>
        <w:t xml:space="preserve">As mentioned above, while it is good to see domestic and family violence addressed directly, given the large and complex impacts of violence on women’s health – as well as the key role of the health system in </w:t>
      </w:r>
      <w:r w:rsidRPr="00EE242D">
        <w:rPr>
          <w:rFonts w:asciiTheme="minorHAnsi" w:hAnsiTheme="minorHAnsi" w:cs="Arial"/>
        </w:rPr>
        <w:t>responding to and preventing it – violence against women should be a key priority in itself. We therefore question the inclusion of domestic and family violence primarily as a “condition where women are overrepresented”.</w:t>
      </w:r>
    </w:p>
    <w:p w14:paraId="2F187DE1" w14:textId="77777777" w:rsidR="001A43A4" w:rsidRPr="00EE242D" w:rsidRDefault="001A43A4" w:rsidP="001A43A4">
      <w:pPr>
        <w:jc w:val="both"/>
        <w:rPr>
          <w:rFonts w:asciiTheme="minorHAnsi" w:hAnsiTheme="minorHAnsi" w:cs="Arial"/>
        </w:rPr>
      </w:pPr>
    </w:p>
    <w:p w14:paraId="59A1E526" w14:textId="77777777" w:rsidR="001A43A4" w:rsidRPr="00EE242D" w:rsidRDefault="001A43A4" w:rsidP="001A43A4">
      <w:pPr>
        <w:jc w:val="both"/>
        <w:rPr>
          <w:rFonts w:asciiTheme="minorHAnsi" w:hAnsiTheme="minorHAnsi" w:cs="Arial"/>
        </w:rPr>
      </w:pPr>
      <w:r w:rsidRPr="00EE242D">
        <w:rPr>
          <w:rFonts w:asciiTheme="minorHAnsi" w:hAnsiTheme="minorHAnsi" w:cs="Arial"/>
        </w:rPr>
        <w:t>In relation to the first set of priorities and actions:</w:t>
      </w:r>
    </w:p>
    <w:p w14:paraId="32E0B66D" w14:textId="63C970E0" w:rsidR="001A43A4" w:rsidRPr="00EE242D" w:rsidRDefault="001A43A4" w:rsidP="00EE242D">
      <w:pPr>
        <w:pStyle w:val="ListParagraph"/>
        <w:numPr>
          <w:ilvl w:val="0"/>
          <w:numId w:val="30"/>
        </w:numPr>
        <w:jc w:val="both"/>
        <w:rPr>
          <w:rFonts w:cs="Arial"/>
          <w:sz w:val="24"/>
          <w:szCs w:val="24"/>
        </w:rPr>
      </w:pPr>
      <w:r w:rsidRPr="00EE242D">
        <w:rPr>
          <w:rFonts w:cs="Arial"/>
          <w:sz w:val="24"/>
          <w:szCs w:val="24"/>
        </w:rPr>
        <w:t>Inclusive practices should include access to health services including abortion and contraception for women experiencing reproductive coercion and domestic violence.</w:t>
      </w:r>
    </w:p>
    <w:p w14:paraId="71C34258" w14:textId="044D2960" w:rsidR="001A43A4" w:rsidRPr="00EE242D" w:rsidRDefault="001A43A4" w:rsidP="00EE242D">
      <w:pPr>
        <w:pStyle w:val="ListParagraph"/>
        <w:numPr>
          <w:ilvl w:val="0"/>
          <w:numId w:val="30"/>
        </w:numPr>
        <w:jc w:val="both"/>
        <w:rPr>
          <w:rFonts w:cs="Arial"/>
          <w:sz w:val="24"/>
          <w:szCs w:val="24"/>
        </w:rPr>
      </w:pPr>
      <w:r w:rsidRPr="00EE242D">
        <w:rPr>
          <w:rFonts w:cs="Arial"/>
          <w:sz w:val="24"/>
          <w:szCs w:val="24"/>
        </w:rPr>
        <w:t xml:space="preserve">Comprehensive sexuality and relationships education is needed, including about respectful relationships. </w:t>
      </w:r>
    </w:p>
    <w:p w14:paraId="6AD5267F" w14:textId="6682CF36" w:rsidR="001A43A4" w:rsidRPr="00EE242D" w:rsidRDefault="001A43A4" w:rsidP="00EE242D">
      <w:pPr>
        <w:pStyle w:val="ListParagraph"/>
        <w:numPr>
          <w:ilvl w:val="0"/>
          <w:numId w:val="30"/>
        </w:numPr>
        <w:jc w:val="both"/>
        <w:rPr>
          <w:rFonts w:cs="Arial"/>
          <w:sz w:val="24"/>
          <w:szCs w:val="24"/>
        </w:rPr>
      </w:pPr>
      <w:r w:rsidRPr="00EE242D">
        <w:rPr>
          <w:rFonts w:cs="Arial"/>
          <w:sz w:val="24"/>
          <w:szCs w:val="24"/>
        </w:rPr>
        <w:t xml:space="preserve">It needs to be acknowledged that family violence disproportionately affects young people who are transgender, lesbian, </w:t>
      </w:r>
      <w:proofErr w:type="gramStart"/>
      <w:r w:rsidRPr="00EE242D">
        <w:rPr>
          <w:rFonts w:cs="Arial"/>
          <w:sz w:val="24"/>
          <w:szCs w:val="24"/>
        </w:rPr>
        <w:t>bisexual</w:t>
      </w:r>
      <w:proofErr w:type="gramEnd"/>
      <w:r w:rsidRPr="00EE242D">
        <w:rPr>
          <w:rFonts w:cs="Arial"/>
          <w:sz w:val="24"/>
          <w:szCs w:val="24"/>
        </w:rPr>
        <w:t>, gay or gender diverse (ACON 2010, Writing Themselves In 3).</w:t>
      </w:r>
    </w:p>
    <w:p w14:paraId="62DFCC3B" w14:textId="2C6EC9D7" w:rsidR="00EE242D" w:rsidRPr="00EE242D" w:rsidRDefault="001A43A4" w:rsidP="00EE242D">
      <w:pPr>
        <w:pStyle w:val="ListParagraph"/>
        <w:numPr>
          <w:ilvl w:val="0"/>
          <w:numId w:val="30"/>
        </w:numPr>
        <w:jc w:val="both"/>
        <w:rPr>
          <w:rFonts w:cs="Arial"/>
          <w:sz w:val="24"/>
          <w:szCs w:val="24"/>
        </w:rPr>
      </w:pPr>
      <w:r w:rsidRPr="00EE242D">
        <w:rPr>
          <w:rFonts w:cs="Arial"/>
          <w:sz w:val="24"/>
          <w:szCs w:val="24"/>
        </w:rPr>
        <w:t>Specific actions to reduce harm should include screening for reproductive coercion as a way of educating health system professionals on domestic/sexual violence (Ch</w:t>
      </w:r>
      <w:r w:rsidR="00EE242D" w:rsidRPr="00EE242D">
        <w:rPr>
          <w:rFonts w:cs="Arial"/>
          <w:sz w:val="24"/>
          <w:szCs w:val="24"/>
        </w:rPr>
        <w:t>ildren By Choice, 'Reproductive Coercion'</w:t>
      </w:r>
      <w:r w:rsidR="00EE242D" w:rsidRPr="00EE242D">
        <w:rPr>
          <w:rStyle w:val="FootnoteReference"/>
          <w:rFonts w:cs="Arial"/>
          <w:sz w:val="24"/>
          <w:szCs w:val="24"/>
        </w:rPr>
        <w:footnoteReference w:id="7"/>
      </w:r>
      <w:r w:rsidR="00EE242D" w:rsidRPr="00EE242D">
        <w:rPr>
          <w:rFonts w:cs="Arial"/>
          <w:sz w:val="24"/>
          <w:szCs w:val="24"/>
        </w:rPr>
        <w:t xml:space="preserve">)      </w:t>
      </w:r>
      <w:r w:rsidRPr="00EE242D">
        <w:rPr>
          <w:rFonts w:cs="Arial"/>
          <w:sz w:val="24"/>
          <w:szCs w:val="24"/>
        </w:rPr>
        <w:t xml:space="preserve"> </w:t>
      </w:r>
    </w:p>
    <w:p w14:paraId="0281C82E" w14:textId="77777777" w:rsidR="001A43A4" w:rsidRPr="00F97F3D" w:rsidRDefault="001A43A4" w:rsidP="001A43A4">
      <w:pPr>
        <w:jc w:val="both"/>
        <w:rPr>
          <w:rFonts w:asciiTheme="minorHAnsi" w:hAnsiTheme="minorHAnsi" w:cs="Arial"/>
        </w:rPr>
      </w:pPr>
      <w:r w:rsidRPr="00F97F3D">
        <w:rPr>
          <w:rFonts w:asciiTheme="minorHAnsi" w:hAnsiTheme="minorHAnsi" w:cs="Arial"/>
        </w:rPr>
        <w:t xml:space="preserve">Under the second set of priorities and actions: </w:t>
      </w:r>
    </w:p>
    <w:p w14:paraId="47E941D6" w14:textId="2EE1EC8F" w:rsidR="001A43A4" w:rsidRPr="00EE242D" w:rsidRDefault="001A43A4" w:rsidP="00EE242D">
      <w:pPr>
        <w:pStyle w:val="ListParagraph"/>
        <w:numPr>
          <w:ilvl w:val="0"/>
          <w:numId w:val="30"/>
        </w:numPr>
        <w:jc w:val="both"/>
        <w:rPr>
          <w:rFonts w:cs="Arial"/>
          <w:sz w:val="24"/>
          <w:szCs w:val="24"/>
        </w:rPr>
      </w:pPr>
      <w:r w:rsidRPr="00EE242D">
        <w:rPr>
          <w:rFonts w:cs="Arial"/>
          <w:sz w:val="24"/>
          <w:szCs w:val="24"/>
        </w:rPr>
        <w:t xml:space="preserve">As noted above, it is highly problematic to call for 'empowering' victims of violence to speak out and be advocates for their peers before sensitive and responsive systems are in place, and </w:t>
      </w:r>
      <w:r w:rsidR="00EE242D">
        <w:rPr>
          <w:rFonts w:cs="Arial"/>
          <w:sz w:val="24"/>
          <w:szCs w:val="24"/>
        </w:rPr>
        <w:t xml:space="preserve">when funding for shelters, and </w:t>
      </w:r>
      <w:r w:rsidRPr="00EE242D">
        <w:rPr>
          <w:rFonts w:cs="Arial"/>
          <w:sz w:val="24"/>
          <w:szCs w:val="24"/>
        </w:rPr>
        <w:t xml:space="preserve">access to mental health and other support services are inadequate. </w:t>
      </w:r>
    </w:p>
    <w:p w14:paraId="395D8FA2" w14:textId="6DD61E88" w:rsidR="001A43A4" w:rsidRPr="00EE242D" w:rsidRDefault="00EE242D" w:rsidP="008B1215">
      <w:pPr>
        <w:pStyle w:val="ListParagraph"/>
        <w:numPr>
          <w:ilvl w:val="0"/>
          <w:numId w:val="30"/>
        </w:numPr>
        <w:jc w:val="both"/>
        <w:rPr>
          <w:rFonts w:cs="Arial"/>
          <w:sz w:val="24"/>
          <w:szCs w:val="24"/>
        </w:rPr>
      </w:pPr>
      <w:r>
        <w:rPr>
          <w:rFonts w:cs="Arial"/>
          <w:sz w:val="24"/>
          <w:szCs w:val="24"/>
        </w:rPr>
        <w:t>T</w:t>
      </w:r>
      <w:r w:rsidR="001A43A4" w:rsidRPr="00EE242D">
        <w:rPr>
          <w:rFonts w:cs="Arial"/>
          <w:sz w:val="24"/>
          <w:szCs w:val="24"/>
        </w:rPr>
        <w:t>he strategy needs to recognise that coordination with other systems including legal systems, justice systems and health care professionals must be appropriate and sensitive for women to be ‘empowered’ to report and speak, including coordination with mental health care services.</w:t>
      </w:r>
    </w:p>
    <w:p w14:paraId="2F903D18" w14:textId="25370581" w:rsidR="00E16BF1" w:rsidRPr="00EE242D" w:rsidRDefault="00EE242D" w:rsidP="00EE242D">
      <w:pPr>
        <w:pStyle w:val="Heading1"/>
      </w:pPr>
      <w:r w:rsidRPr="00EE242D">
        <w:t>Priority area 5:</w:t>
      </w:r>
      <w:r w:rsidR="00B32176" w:rsidRPr="00EE242D">
        <w:t xml:space="preserve"> Healthy aging</w:t>
      </w:r>
    </w:p>
    <w:p w14:paraId="037C97EA" w14:textId="7BB3B4D0" w:rsidR="0003778F" w:rsidRDefault="00783CB6" w:rsidP="008B1215">
      <w:pPr>
        <w:jc w:val="both"/>
        <w:rPr>
          <w:rFonts w:asciiTheme="minorHAnsi" w:hAnsiTheme="minorHAnsi" w:cs="Arial"/>
          <w:color w:val="1B1B1B"/>
          <w:shd w:val="clear" w:color="auto" w:fill="FFFFFF"/>
        </w:rPr>
      </w:pPr>
      <w:r w:rsidRPr="00F97F3D">
        <w:rPr>
          <w:rFonts w:asciiTheme="minorHAnsi" w:hAnsiTheme="minorHAnsi" w:cs="Arial"/>
        </w:rPr>
        <w:t xml:space="preserve">This section needs to acknowledge the feminisation of poverty, the high risk of poverty for older women, and the fact that these dynamics compound the impacts of violence. </w:t>
      </w:r>
      <w:r w:rsidRPr="00F97F3D">
        <w:rPr>
          <w:rFonts w:asciiTheme="minorHAnsi" w:hAnsiTheme="minorHAnsi"/>
          <w:color w:val="1B2024"/>
          <w:shd w:val="clear" w:color="auto" w:fill="FFFFFF"/>
        </w:rPr>
        <w:t>Single elderly women – aged over 60 – living in Australia belong to the lowest inc</w:t>
      </w:r>
      <w:r w:rsidRPr="00F97F3D">
        <w:rPr>
          <w:rFonts w:asciiTheme="minorHAnsi" w:hAnsiTheme="minorHAnsi" w:cs="Arial"/>
        </w:rPr>
        <w:t>ome earning family group in the </w:t>
      </w:r>
      <w:hyperlink r:id="rId9" w:tgtFrame="_blank" w:history="1">
        <w:r w:rsidRPr="00F97F3D">
          <w:rPr>
            <w:rFonts w:asciiTheme="minorHAnsi" w:hAnsiTheme="minorHAnsi" w:cs="Arial"/>
          </w:rPr>
          <w:t>2017 HILDA survey</w:t>
        </w:r>
      </w:hyperlink>
      <w:r w:rsidRPr="00F97F3D">
        <w:rPr>
          <w:rFonts w:asciiTheme="minorHAnsi" w:hAnsiTheme="minorHAnsi" w:cs="Arial"/>
        </w:rPr>
        <w:t>.</w:t>
      </w:r>
      <w:r w:rsidR="00EE242D">
        <w:rPr>
          <w:rStyle w:val="FootnoteReference"/>
          <w:rFonts w:asciiTheme="minorHAnsi" w:hAnsiTheme="minorHAnsi" w:cs="Arial"/>
        </w:rPr>
        <w:footnoteReference w:id="8"/>
      </w:r>
      <w:r w:rsidRPr="00F97F3D">
        <w:rPr>
          <w:rFonts w:asciiTheme="minorHAnsi" w:hAnsiTheme="minorHAnsi" w:cs="Arial"/>
        </w:rPr>
        <w:t xml:space="preserve"> This family subset, according to the survey, earns on average less than $30,000 a year. This group is the most likely household type to live in poverty. Older women are one of the fastest growing groups experiencing homelessness. AIHW data shows that from 2014/15 to 2015/16 there was </w:t>
      </w:r>
      <w:hyperlink r:id="rId10" w:history="1">
        <w:r w:rsidRPr="00F97F3D">
          <w:rPr>
            <w:rFonts w:asciiTheme="minorHAnsi" w:hAnsiTheme="minorHAnsi"/>
          </w:rPr>
          <w:t xml:space="preserve">a 17.5% increase in the number of women 55+ </w:t>
        </w:r>
        <w:r w:rsidRPr="00F97F3D">
          <w:rPr>
            <w:rFonts w:asciiTheme="minorHAnsi" w:hAnsiTheme="minorHAnsi"/>
          </w:rPr>
          <w:lastRenderedPageBreak/>
          <w:t>seeking out specialist homelessness services</w:t>
        </w:r>
      </w:hyperlink>
      <w:r w:rsidRPr="00F97F3D">
        <w:rPr>
          <w:rFonts w:asciiTheme="minorHAnsi" w:hAnsiTheme="minorHAnsi" w:cs="Arial"/>
        </w:rPr>
        <w:t> (SHS).</w:t>
      </w:r>
      <w:r w:rsidR="00F6116D">
        <w:rPr>
          <w:rStyle w:val="FootnoteReference"/>
          <w:rFonts w:asciiTheme="minorHAnsi" w:hAnsiTheme="minorHAnsi" w:cs="Arial"/>
        </w:rPr>
        <w:footnoteReference w:id="9"/>
      </w:r>
      <w:r w:rsidRPr="00F97F3D">
        <w:rPr>
          <w:rFonts w:asciiTheme="minorHAnsi" w:hAnsiTheme="minorHAnsi" w:cs="Arial"/>
        </w:rPr>
        <w:t xml:space="preserve"> This is </w:t>
      </w:r>
      <w:hyperlink r:id="rId11" w:history="1">
        <w:r w:rsidRPr="00F97F3D">
          <w:rPr>
            <w:rFonts w:asciiTheme="minorHAnsi" w:hAnsiTheme="minorHAnsi"/>
          </w:rPr>
          <w:t>twice the rate of growth for the generalist SHS population</w:t>
        </w:r>
      </w:hyperlink>
      <w:r w:rsidRPr="00F97F3D">
        <w:rPr>
          <w:rFonts w:asciiTheme="minorHAnsi" w:hAnsiTheme="minorHAnsi" w:cs="Arial"/>
        </w:rPr>
        <w:t>.</w:t>
      </w:r>
      <w:r w:rsidRPr="00F97F3D">
        <w:rPr>
          <w:rFonts w:asciiTheme="minorHAnsi" w:hAnsiTheme="minorHAnsi" w:cs="Arial"/>
          <w:color w:val="1B1B1B"/>
          <w:shd w:val="clear" w:color="auto" w:fill="FFFFFF"/>
        </w:rPr>
        <w:t> </w:t>
      </w:r>
    </w:p>
    <w:p w14:paraId="4153410B" w14:textId="77777777" w:rsidR="00F6116D" w:rsidRPr="00F97F3D" w:rsidRDefault="00F6116D" w:rsidP="008B1215">
      <w:pPr>
        <w:jc w:val="both"/>
        <w:rPr>
          <w:rFonts w:asciiTheme="minorHAnsi" w:hAnsiTheme="minorHAnsi" w:cs="Arial"/>
          <w:color w:val="1B1B1B"/>
          <w:shd w:val="clear" w:color="auto" w:fill="FFFFFF"/>
        </w:rPr>
      </w:pPr>
    </w:p>
    <w:p w14:paraId="4AD04747" w14:textId="52A1FD89" w:rsidR="00783CB6" w:rsidRPr="00F97F3D" w:rsidRDefault="00783CB6" w:rsidP="008B1215">
      <w:pPr>
        <w:jc w:val="both"/>
        <w:rPr>
          <w:rFonts w:asciiTheme="minorHAnsi" w:hAnsiTheme="minorHAnsi" w:cs="Arial"/>
        </w:rPr>
      </w:pPr>
      <w:r w:rsidRPr="00F97F3D">
        <w:rPr>
          <w:rFonts w:asciiTheme="minorHAnsi" w:hAnsiTheme="minorHAnsi" w:cs="Arial"/>
        </w:rPr>
        <w:t xml:space="preserve">Improving women’s </w:t>
      </w:r>
      <w:r w:rsidR="00095AF7" w:rsidRPr="00F97F3D">
        <w:rPr>
          <w:rFonts w:asciiTheme="minorHAnsi" w:hAnsiTheme="minorHAnsi" w:cs="Arial"/>
        </w:rPr>
        <w:t>economic well-being across the life course creates options for building lives free of violence</w:t>
      </w:r>
      <w:r w:rsidR="00A37CA0" w:rsidRPr="00F97F3D">
        <w:rPr>
          <w:rFonts w:asciiTheme="minorHAnsi" w:hAnsiTheme="minorHAnsi" w:cs="Arial"/>
        </w:rPr>
        <w:t xml:space="preserve"> and improves p</w:t>
      </w:r>
      <w:r w:rsidR="00095AF7" w:rsidRPr="00F97F3D">
        <w:rPr>
          <w:rFonts w:asciiTheme="minorHAnsi" w:hAnsiTheme="minorHAnsi" w:cs="Arial"/>
        </w:rPr>
        <w:t>rospects for healthy aging. In contrast, violence itself undermines women’s economic well-being which undermines access to preventive health services. The health impacts of both poverty and violence on an individual and population level become acute for older women and need to be addressed in the strategy.</w:t>
      </w:r>
    </w:p>
    <w:p w14:paraId="1840A1A8" w14:textId="77777777" w:rsidR="00F6116D" w:rsidRDefault="00F6116D" w:rsidP="008B1215">
      <w:pPr>
        <w:jc w:val="both"/>
        <w:rPr>
          <w:rFonts w:asciiTheme="minorHAnsi" w:hAnsiTheme="minorHAnsi" w:cs="Arial"/>
          <w:b/>
        </w:rPr>
      </w:pPr>
    </w:p>
    <w:p w14:paraId="3CAE0B92" w14:textId="1EF78F4A" w:rsidR="005B56D8" w:rsidRPr="00F97F3D" w:rsidRDefault="00F6116D" w:rsidP="008B1215">
      <w:pPr>
        <w:jc w:val="both"/>
        <w:rPr>
          <w:rFonts w:asciiTheme="minorHAnsi" w:hAnsiTheme="minorHAnsi" w:cs="Arial"/>
          <w:b/>
        </w:rPr>
      </w:pPr>
      <w:r>
        <w:rPr>
          <w:rFonts w:asciiTheme="minorHAnsi" w:hAnsiTheme="minorHAnsi" w:cs="Arial"/>
          <w:b/>
        </w:rPr>
        <w:t>Comments on s</w:t>
      </w:r>
      <w:r w:rsidR="00B32176" w:rsidRPr="00F97F3D">
        <w:rPr>
          <w:rFonts w:asciiTheme="minorHAnsi" w:hAnsiTheme="minorHAnsi" w:cs="Arial"/>
          <w:b/>
        </w:rPr>
        <w:t xml:space="preserve">trengthening partnerships </w:t>
      </w:r>
    </w:p>
    <w:p w14:paraId="1B792A03" w14:textId="7A207909" w:rsidR="00783CB6" w:rsidRPr="00F97F3D" w:rsidRDefault="00783CB6" w:rsidP="008B1215">
      <w:pPr>
        <w:jc w:val="both"/>
        <w:rPr>
          <w:rFonts w:asciiTheme="minorHAnsi" w:hAnsiTheme="minorHAnsi" w:cs="Arial"/>
        </w:rPr>
      </w:pPr>
      <w:r w:rsidRPr="00F97F3D">
        <w:rPr>
          <w:rFonts w:asciiTheme="minorHAnsi" w:hAnsiTheme="minorHAnsi" w:cs="Arial"/>
        </w:rPr>
        <w:t xml:space="preserve">As mentioned above, integration of a VAW lens throughout the women’s health strategy will create a platform for better partnerships between those working in the health system and those working to prevent and respond to violence against women. </w:t>
      </w:r>
    </w:p>
    <w:p w14:paraId="4E36D46D" w14:textId="77777777" w:rsidR="00095AF7" w:rsidRPr="00F97F3D" w:rsidRDefault="00095AF7" w:rsidP="008B1215">
      <w:pPr>
        <w:jc w:val="both"/>
        <w:rPr>
          <w:rFonts w:asciiTheme="minorHAnsi" w:hAnsiTheme="minorHAnsi" w:cs="Arial"/>
        </w:rPr>
      </w:pPr>
    </w:p>
    <w:p w14:paraId="569D7178" w14:textId="3C763C64" w:rsidR="00B32176" w:rsidRPr="00F97F3D" w:rsidRDefault="00B32176" w:rsidP="008B1215">
      <w:pPr>
        <w:jc w:val="both"/>
        <w:rPr>
          <w:rFonts w:asciiTheme="minorHAnsi" w:hAnsiTheme="minorHAnsi" w:cs="Arial"/>
          <w:b/>
        </w:rPr>
      </w:pPr>
      <w:r w:rsidRPr="00F97F3D">
        <w:rPr>
          <w:rFonts w:asciiTheme="minorHAnsi" w:hAnsiTheme="minorHAnsi" w:cs="Arial"/>
          <w:b/>
        </w:rPr>
        <w:t xml:space="preserve">Additional comments </w:t>
      </w:r>
    </w:p>
    <w:p w14:paraId="7BFEC304" w14:textId="537A7997" w:rsidR="005B56D8" w:rsidRDefault="0069274C" w:rsidP="008B1215">
      <w:pPr>
        <w:jc w:val="both"/>
        <w:rPr>
          <w:rFonts w:asciiTheme="minorHAnsi" w:hAnsiTheme="minorHAnsi"/>
        </w:rPr>
      </w:pPr>
      <w:r w:rsidRPr="00F97F3D">
        <w:rPr>
          <w:rFonts w:asciiTheme="minorHAnsi" w:hAnsiTheme="minorHAnsi"/>
        </w:rPr>
        <w:t xml:space="preserve">We encourage you to use the terminology of domestic and family violence instead of intimate partner violence. </w:t>
      </w:r>
    </w:p>
    <w:p w14:paraId="1A40BDE3" w14:textId="77777777" w:rsidR="00F6116D" w:rsidRPr="00F97F3D" w:rsidRDefault="00F6116D" w:rsidP="008B1215">
      <w:pPr>
        <w:jc w:val="both"/>
        <w:rPr>
          <w:rFonts w:asciiTheme="minorHAnsi" w:hAnsiTheme="minorHAnsi"/>
        </w:rPr>
      </w:pPr>
    </w:p>
    <w:p w14:paraId="1C9778FD" w14:textId="3A07899B" w:rsidR="0069274C" w:rsidRDefault="0069274C" w:rsidP="008B1215">
      <w:pPr>
        <w:jc w:val="both"/>
        <w:rPr>
          <w:rFonts w:asciiTheme="minorHAnsi" w:hAnsiTheme="minorHAnsi"/>
        </w:rPr>
      </w:pPr>
      <w:r w:rsidRPr="00F97F3D">
        <w:rPr>
          <w:rFonts w:asciiTheme="minorHAnsi" w:hAnsiTheme="minorHAnsi"/>
        </w:rPr>
        <w:t xml:space="preserve">We also encourage you to use the terminology of women from culturally and linguistically diverse backgrounds consistently across the strategy. </w:t>
      </w:r>
      <w:r w:rsidR="00E673F0" w:rsidRPr="00F97F3D">
        <w:rPr>
          <w:rFonts w:asciiTheme="minorHAnsi" w:hAnsiTheme="minorHAnsi"/>
        </w:rPr>
        <w:t>Currently, while we welcome the</w:t>
      </w:r>
      <w:r w:rsidR="00095AF7" w:rsidRPr="00F97F3D">
        <w:rPr>
          <w:rFonts w:asciiTheme="minorHAnsi" w:hAnsiTheme="minorHAnsi"/>
        </w:rPr>
        <w:t xml:space="preserve"> intention to use the term </w:t>
      </w:r>
      <w:r w:rsidR="00E673F0" w:rsidRPr="00F97F3D">
        <w:rPr>
          <w:rFonts w:asciiTheme="minorHAnsi" w:hAnsiTheme="minorHAnsi"/>
        </w:rPr>
        <w:t xml:space="preserve">CALD women to be inclusive of migrant, asylum-seeking and refugee women, </w:t>
      </w:r>
      <w:r w:rsidR="00095AF7" w:rsidRPr="00F97F3D">
        <w:rPr>
          <w:rFonts w:asciiTheme="minorHAnsi" w:hAnsiTheme="minorHAnsi"/>
        </w:rPr>
        <w:t>this</w:t>
      </w:r>
      <w:r w:rsidR="00E673F0" w:rsidRPr="00F97F3D">
        <w:rPr>
          <w:rFonts w:asciiTheme="minorHAnsi" w:hAnsiTheme="minorHAnsi"/>
        </w:rPr>
        <w:t xml:space="preserve"> is not used consistently. We also note the importance of </w:t>
      </w:r>
      <w:r w:rsidR="00095AF7" w:rsidRPr="00F97F3D">
        <w:rPr>
          <w:rFonts w:asciiTheme="minorHAnsi" w:hAnsiTheme="minorHAnsi"/>
        </w:rPr>
        <w:t>identifying</w:t>
      </w:r>
      <w:r w:rsidR="00E673F0" w:rsidRPr="00F97F3D">
        <w:rPr>
          <w:rFonts w:asciiTheme="minorHAnsi" w:hAnsiTheme="minorHAnsi"/>
        </w:rPr>
        <w:t xml:space="preserve"> refugee women specifically when it comes to mental health for instance. We advise against the use of the ‘non-English speaking background’ terminology use. </w:t>
      </w:r>
    </w:p>
    <w:p w14:paraId="4344CE64" w14:textId="77777777" w:rsidR="00F6116D" w:rsidRPr="00F97F3D" w:rsidRDefault="00F6116D" w:rsidP="008B1215">
      <w:pPr>
        <w:jc w:val="both"/>
        <w:rPr>
          <w:rFonts w:asciiTheme="minorHAnsi" w:hAnsiTheme="minorHAnsi"/>
        </w:rPr>
      </w:pPr>
    </w:p>
    <w:p w14:paraId="13520473" w14:textId="4C815EC2" w:rsidR="0069274C" w:rsidRPr="00F97F3D" w:rsidRDefault="0069274C" w:rsidP="008B1215">
      <w:pPr>
        <w:jc w:val="both"/>
        <w:rPr>
          <w:rFonts w:asciiTheme="minorHAnsi" w:hAnsiTheme="minorHAnsi"/>
        </w:rPr>
      </w:pPr>
    </w:p>
    <w:p w14:paraId="4F0CB429" w14:textId="645D874F" w:rsidR="004B141B" w:rsidRPr="00F97F3D" w:rsidRDefault="004B141B" w:rsidP="00F6116D">
      <w:pPr>
        <w:rPr>
          <w:rFonts w:asciiTheme="minorHAnsi" w:hAnsiTheme="minorHAnsi"/>
        </w:rPr>
      </w:pPr>
      <w:r w:rsidRPr="00F97F3D">
        <w:rPr>
          <w:rFonts w:asciiTheme="minorHAnsi" w:hAnsiTheme="minorHAnsi"/>
        </w:rPr>
        <w:t xml:space="preserve">If you would like to discuss the contents of </w:t>
      </w:r>
      <w:r w:rsidR="00F6116D">
        <w:rPr>
          <w:rFonts w:asciiTheme="minorHAnsi" w:hAnsiTheme="minorHAnsi"/>
        </w:rPr>
        <w:t xml:space="preserve">this </w:t>
      </w:r>
      <w:r w:rsidRPr="00F97F3D">
        <w:rPr>
          <w:rFonts w:asciiTheme="minorHAnsi" w:hAnsiTheme="minorHAnsi"/>
        </w:rPr>
        <w:t>AWAVA submission further, please contact Merrindahl Andrew, AWAVA Program Manager, using the details below.</w:t>
      </w:r>
    </w:p>
    <w:p w14:paraId="35686116" w14:textId="77777777" w:rsidR="004B141B" w:rsidRPr="00F97F3D" w:rsidRDefault="004B141B" w:rsidP="008B1215">
      <w:pPr>
        <w:jc w:val="both"/>
        <w:rPr>
          <w:rFonts w:asciiTheme="minorHAnsi" w:hAnsiTheme="minorHAnsi"/>
        </w:rPr>
      </w:pPr>
      <w:r w:rsidRPr="00F97F3D">
        <w:rPr>
          <w:rFonts w:asciiTheme="minorHAnsi" w:hAnsiTheme="minorHAnsi"/>
        </w:rPr>
        <w:t xml:space="preserve"> </w:t>
      </w:r>
    </w:p>
    <w:p w14:paraId="00615AD1" w14:textId="77777777" w:rsidR="004B141B" w:rsidRPr="00F97F3D" w:rsidRDefault="004B141B" w:rsidP="008B1215">
      <w:pPr>
        <w:jc w:val="both"/>
        <w:rPr>
          <w:rFonts w:asciiTheme="minorHAnsi" w:hAnsiTheme="minorHAnsi" w:cstheme="minorHAnsi"/>
        </w:rPr>
      </w:pPr>
      <w:r w:rsidRPr="00F97F3D">
        <w:rPr>
          <w:rFonts w:asciiTheme="minorHAnsi" w:hAnsiTheme="minorHAnsi" w:cstheme="minorHAnsi"/>
        </w:rPr>
        <w:t>Merrindahl Andrew</w:t>
      </w:r>
    </w:p>
    <w:p w14:paraId="31E5C4E4" w14:textId="77777777" w:rsidR="004B141B" w:rsidRPr="00F97F3D" w:rsidRDefault="004B141B" w:rsidP="008B1215">
      <w:pPr>
        <w:jc w:val="both"/>
        <w:rPr>
          <w:rFonts w:asciiTheme="minorHAnsi" w:hAnsiTheme="minorHAnsi" w:cstheme="minorHAnsi"/>
        </w:rPr>
      </w:pPr>
      <w:r w:rsidRPr="00F97F3D">
        <w:rPr>
          <w:rFonts w:asciiTheme="minorHAnsi" w:hAnsiTheme="minorHAnsi" w:cstheme="minorHAnsi"/>
        </w:rPr>
        <w:t>Program Manager</w:t>
      </w:r>
    </w:p>
    <w:p w14:paraId="56BF24D0" w14:textId="77777777" w:rsidR="004B141B" w:rsidRPr="00F97F3D" w:rsidRDefault="004B141B" w:rsidP="008B1215">
      <w:pPr>
        <w:jc w:val="both"/>
        <w:rPr>
          <w:rFonts w:asciiTheme="minorHAnsi" w:hAnsiTheme="minorHAnsi" w:cstheme="minorHAnsi"/>
        </w:rPr>
      </w:pPr>
      <w:r w:rsidRPr="00F97F3D">
        <w:rPr>
          <w:rFonts w:asciiTheme="minorHAnsi" w:hAnsiTheme="minorHAnsi" w:cstheme="minorHAnsi"/>
        </w:rPr>
        <w:t>Australian Women Against Violence Alliance</w:t>
      </w:r>
    </w:p>
    <w:p w14:paraId="7DF41A72" w14:textId="1A7383BC" w:rsidR="004B141B" w:rsidRPr="00F97F3D" w:rsidRDefault="000D3EBB" w:rsidP="008B1215">
      <w:pPr>
        <w:jc w:val="both"/>
        <w:rPr>
          <w:rFonts w:asciiTheme="minorHAnsi" w:hAnsiTheme="minorHAnsi"/>
        </w:rPr>
      </w:pPr>
      <w:hyperlink r:id="rId12" w:history="1">
        <w:r w:rsidR="004B141B" w:rsidRPr="00F97F3D">
          <w:rPr>
            <w:rStyle w:val="Hyperlink"/>
            <w:rFonts w:asciiTheme="minorHAnsi" w:hAnsiTheme="minorHAnsi" w:cstheme="minorHAnsi"/>
          </w:rPr>
          <w:t>www.awava.org.au</w:t>
        </w:r>
      </w:hyperlink>
      <w:r w:rsidR="004B141B" w:rsidRPr="00F97F3D">
        <w:rPr>
          <w:rFonts w:asciiTheme="minorHAnsi" w:hAnsiTheme="minorHAnsi" w:cstheme="minorHAnsi"/>
        </w:rPr>
        <w:t xml:space="preserve"> | </w:t>
      </w:r>
      <w:hyperlink r:id="rId13" w:history="1">
        <w:r w:rsidR="004B141B" w:rsidRPr="00F97F3D">
          <w:rPr>
            <w:rStyle w:val="Hyperlink"/>
            <w:rFonts w:asciiTheme="minorHAnsi" w:hAnsiTheme="minorHAnsi" w:cstheme="minorHAnsi"/>
          </w:rPr>
          <w:t>pm@awava.org.au</w:t>
        </w:r>
      </w:hyperlink>
      <w:r w:rsidR="004B141B" w:rsidRPr="00F97F3D">
        <w:rPr>
          <w:rFonts w:asciiTheme="minorHAnsi" w:hAnsiTheme="minorHAnsi" w:cstheme="minorHAnsi"/>
        </w:rPr>
        <w:t xml:space="preserve"> | </w:t>
      </w:r>
      <w:proofErr w:type="spellStart"/>
      <w:r w:rsidR="004B141B" w:rsidRPr="00F97F3D">
        <w:rPr>
          <w:rFonts w:asciiTheme="minorHAnsi" w:hAnsiTheme="minorHAnsi" w:cstheme="minorHAnsi"/>
        </w:rPr>
        <w:t>ph</w:t>
      </w:r>
      <w:proofErr w:type="spellEnd"/>
      <w:r w:rsidR="004B141B" w:rsidRPr="00F97F3D">
        <w:rPr>
          <w:rFonts w:asciiTheme="minorHAnsi" w:hAnsiTheme="minorHAnsi" w:cstheme="minorHAnsi"/>
        </w:rPr>
        <w:t xml:space="preserve">: </w:t>
      </w:r>
      <w:r w:rsidR="008B1215" w:rsidRPr="00F97F3D">
        <w:rPr>
          <w:rFonts w:asciiTheme="minorHAnsi" w:hAnsiTheme="minorHAnsi" w:cstheme="minorHAnsi"/>
        </w:rPr>
        <w:t xml:space="preserve">+61 </w:t>
      </w:r>
      <w:r w:rsidR="004B141B" w:rsidRPr="00F97F3D">
        <w:rPr>
          <w:rFonts w:asciiTheme="minorHAnsi" w:hAnsiTheme="minorHAnsi" w:cstheme="minorHAnsi"/>
        </w:rPr>
        <w:t>0428 541 396</w:t>
      </w:r>
    </w:p>
    <w:p w14:paraId="317D457E" w14:textId="77777777" w:rsidR="00EC780C" w:rsidRPr="00F97F3D" w:rsidRDefault="00EC780C" w:rsidP="008B1215">
      <w:pPr>
        <w:jc w:val="both"/>
        <w:rPr>
          <w:rFonts w:asciiTheme="minorHAnsi" w:hAnsiTheme="minorHAnsi"/>
        </w:rPr>
      </w:pPr>
      <w:bookmarkStart w:id="0" w:name="_GoBack"/>
      <w:bookmarkEnd w:id="0"/>
    </w:p>
    <w:sectPr w:rsidR="00EC780C" w:rsidRPr="00F97F3D" w:rsidSect="00E90D35">
      <w:footerReference w:type="default" r:id="rId14"/>
      <w:headerReference w:type="first" r:id="rId15"/>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85708" w14:textId="77777777" w:rsidR="000D3EBB" w:rsidRDefault="000D3EBB" w:rsidP="00605EDA">
      <w:r>
        <w:separator/>
      </w:r>
    </w:p>
  </w:endnote>
  <w:endnote w:type="continuationSeparator" w:id="0">
    <w:p w14:paraId="7B0E0E9B" w14:textId="77777777" w:rsidR="000D3EBB" w:rsidRDefault="000D3EBB" w:rsidP="0060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996557"/>
      <w:docPartObj>
        <w:docPartGallery w:val="Page Numbers (Bottom of Page)"/>
        <w:docPartUnique/>
      </w:docPartObj>
    </w:sdtPr>
    <w:sdtEndPr/>
    <w:sdtContent>
      <w:sdt>
        <w:sdtPr>
          <w:id w:val="-1769616900"/>
          <w:docPartObj>
            <w:docPartGallery w:val="Page Numbers (Top of Page)"/>
            <w:docPartUnique/>
          </w:docPartObj>
        </w:sdtPr>
        <w:sdtEndPr/>
        <w:sdtContent>
          <w:p w14:paraId="73C6BA5B" w14:textId="559151CE" w:rsidR="00477A64" w:rsidRDefault="00477A6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6116D">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116D">
              <w:rPr>
                <w:b/>
                <w:bCs/>
                <w:noProof/>
              </w:rPr>
              <w:t>7</w:t>
            </w:r>
            <w:r>
              <w:rPr>
                <w:b/>
                <w:bCs/>
                <w:sz w:val="24"/>
                <w:szCs w:val="24"/>
              </w:rPr>
              <w:fldChar w:fldCharType="end"/>
            </w:r>
          </w:p>
        </w:sdtContent>
      </w:sdt>
    </w:sdtContent>
  </w:sdt>
  <w:p w14:paraId="38DD1BFE" w14:textId="77777777" w:rsidR="00477A64" w:rsidRDefault="00477A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9DC99" w14:textId="77777777" w:rsidR="000D3EBB" w:rsidRDefault="000D3EBB" w:rsidP="00605EDA">
      <w:r>
        <w:separator/>
      </w:r>
    </w:p>
  </w:footnote>
  <w:footnote w:type="continuationSeparator" w:id="0">
    <w:p w14:paraId="5DAF8B87" w14:textId="77777777" w:rsidR="000D3EBB" w:rsidRDefault="000D3EBB" w:rsidP="00605EDA">
      <w:r>
        <w:continuationSeparator/>
      </w:r>
    </w:p>
  </w:footnote>
  <w:footnote w:id="1">
    <w:p w14:paraId="75CBB1F8" w14:textId="6D6CEE6F" w:rsidR="00EE242D" w:rsidRPr="00EE242D" w:rsidRDefault="00EE242D">
      <w:pPr>
        <w:pStyle w:val="FootnoteText"/>
        <w:rPr>
          <w:lang w:val="en-AU"/>
        </w:rPr>
      </w:pPr>
      <w:r>
        <w:rPr>
          <w:rStyle w:val="FootnoteReference"/>
        </w:rPr>
        <w:footnoteRef/>
      </w:r>
      <w:r>
        <w:t xml:space="preserve"> </w:t>
      </w:r>
      <w:hyperlink r:id="rId1" w:history="1">
        <w:r w:rsidRPr="00843883">
          <w:rPr>
            <w:rStyle w:val="Hyperlink"/>
          </w:rPr>
          <w:t>https://consultations.health.gov.au/population-health-and-sport-division-1/establishing-a-national-womens-health-strategy/</w:t>
        </w:r>
      </w:hyperlink>
      <w:r>
        <w:t xml:space="preserve"> </w:t>
      </w:r>
    </w:p>
  </w:footnote>
  <w:footnote w:id="2">
    <w:p w14:paraId="7202C8C7" w14:textId="605488B9" w:rsidR="00F6116D" w:rsidRPr="00F6116D" w:rsidRDefault="00F6116D">
      <w:pPr>
        <w:pStyle w:val="FootnoteText"/>
        <w:rPr>
          <w:lang w:val="en-AU"/>
        </w:rPr>
      </w:pPr>
      <w:r>
        <w:rPr>
          <w:rStyle w:val="FootnoteReference"/>
        </w:rPr>
        <w:footnoteRef/>
      </w:r>
      <w:r>
        <w:t xml:space="preserve"> </w:t>
      </w:r>
      <w:hyperlink r:id="rId2" w:history="1">
        <w:r w:rsidRPr="00843883">
          <w:rPr>
            <w:rStyle w:val="Hyperlink"/>
          </w:rPr>
          <w:t>http://media.aomx.com/anrows.org.au/s3fs-public/28%2010%2016%20BOD%20Compass.pdf</w:t>
        </w:r>
      </w:hyperlink>
      <w:r>
        <w:t xml:space="preserve"> </w:t>
      </w:r>
    </w:p>
  </w:footnote>
  <w:footnote w:id="3">
    <w:p w14:paraId="3E485EE1" w14:textId="3EE5B3A7" w:rsidR="00F6116D" w:rsidRPr="00F6116D" w:rsidRDefault="00F6116D" w:rsidP="00F6116D">
      <w:pPr>
        <w:pStyle w:val="FootnoteText"/>
        <w:rPr>
          <w:lang w:val="en-AU"/>
        </w:rPr>
      </w:pPr>
      <w:r>
        <w:rPr>
          <w:rStyle w:val="FootnoteReference"/>
        </w:rPr>
        <w:footnoteRef/>
      </w:r>
      <w:r>
        <w:t xml:space="preserve"> </w:t>
      </w:r>
      <w:r>
        <w:t xml:space="preserve">Julie </w:t>
      </w:r>
      <w:proofErr w:type="spellStart"/>
      <w:r>
        <w:t>Ayre</w:t>
      </w:r>
      <w:proofErr w:type="spellEnd"/>
      <w:r>
        <w:t xml:space="preserve">, Miriam </w:t>
      </w:r>
      <w:proofErr w:type="spellStart"/>
      <w:r>
        <w:t>Lum</w:t>
      </w:r>
      <w:proofErr w:type="spellEnd"/>
      <w:r>
        <w:t xml:space="preserve"> On, Kim Webster, Michelle </w:t>
      </w:r>
      <w:proofErr w:type="spellStart"/>
      <w:r>
        <w:t>Gourley</w:t>
      </w:r>
      <w:proofErr w:type="spellEnd"/>
      <w:r>
        <w:t xml:space="preserve"> and </w:t>
      </w:r>
      <w:proofErr w:type="spellStart"/>
      <w:r>
        <w:t>Lynelle</w:t>
      </w:r>
      <w:proofErr w:type="spellEnd"/>
      <w:r>
        <w:t xml:space="preserve"> Moon (2016) Examination of the burden of disease of intimate partner violence against wome</w:t>
      </w:r>
      <w:r>
        <w:t xml:space="preserve">n in 2011: Final report, </w:t>
      </w:r>
      <w:r>
        <w:t>Sydney: ANROWS</w:t>
      </w:r>
      <w:r>
        <w:t xml:space="preserve"> </w:t>
      </w:r>
      <w:hyperlink r:id="rId3" w:history="1">
        <w:r w:rsidRPr="00843883">
          <w:rPr>
            <w:rStyle w:val="Hyperlink"/>
          </w:rPr>
          <w:t>https://dh2wpaq0gtxwe.cloudfront.net/s3fs-public/BoD%20Horizons.pdf</w:t>
        </w:r>
      </w:hyperlink>
      <w:r>
        <w:t xml:space="preserve"> </w:t>
      </w:r>
    </w:p>
  </w:footnote>
  <w:footnote w:id="4">
    <w:p w14:paraId="0AEFB59A" w14:textId="7FF7C845" w:rsidR="00D71875" w:rsidRPr="00D71875" w:rsidRDefault="00D71875">
      <w:pPr>
        <w:pStyle w:val="FootnoteText"/>
        <w:rPr>
          <w:lang w:val="en-AU"/>
        </w:rPr>
      </w:pPr>
      <w:r>
        <w:rPr>
          <w:rStyle w:val="FootnoteReference"/>
        </w:rPr>
        <w:footnoteRef/>
      </w:r>
      <w:r>
        <w:t xml:space="preserve"> </w:t>
      </w:r>
      <w:hyperlink r:id="rId4" w:history="1">
        <w:r w:rsidRPr="00843883">
          <w:rPr>
            <w:rStyle w:val="Hyperlink"/>
          </w:rPr>
          <w:t>https://www.who.int/reproductivehealth/publications/violence/9789241548595/en/</w:t>
        </w:r>
      </w:hyperlink>
      <w:r>
        <w:t xml:space="preserve"> </w:t>
      </w:r>
    </w:p>
  </w:footnote>
  <w:footnote w:id="5">
    <w:p w14:paraId="31344020" w14:textId="131CFFB7" w:rsidR="00D71875" w:rsidRPr="00D71875" w:rsidRDefault="00D71875">
      <w:pPr>
        <w:pStyle w:val="FootnoteText"/>
        <w:rPr>
          <w:lang w:val="en-AU"/>
        </w:rPr>
      </w:pPr>
      <w:r>
        <w:rPr>
          <w:rStyle w:val="FootnoteReference"/>
        </w:rPr>
        <w:footnoteRef/>
      </w:r>
      <w:r>
        <w:t xml:space="preserve"> </w:t>
      </w:r>
      <w:hyperlink r:id="rId5" w:history="1">
        <w:r w:rsidRPr="00843883">
          <w:rPr>
            <w:rStyle w:val="Hyperlink"/>
          </w:rPr>
          <w:t>http://apps.who.int/iris/bitstream/handle/10665/77431/WHO_RHR_12.43_eng.pdf?sequence=1</w:t>
        </w:r>
      </w:hyperlink>
      <w:r>
        <w:t xml:space="preserve"> </w:t>
      </w:r>
    </w:p>
  </w:footnote>
  <w:footnote w:id="6">
    <w:p w14:paraId="1F7F1B61" w14:textId="5118FEDA" w:rsidR="00D71875" w:rsidRPr="00D71875" w:rsidRDefault="00D71875">
      <w:pPr>
        <w:pStyle w:val="FootnoteText"/>
        <w:rPr>
          <w:lang w:val="en-AU"/>
        </w:rPr>
      </w:pPr>
      <w:r>
        <w:rPr>
          <w:rStyle w:val="FootnoteReference"/>
        </w:rPr>
        <w:footnoteRef/>
      </w:r>
      <w:r>
        <w:t xml:space="preserve"> </w:t>
      </w:r>
      <w:hyperlink r:id="rId6" w:history="1">
        <w:r w:rsidRPr="00843883">
          <w:rPr>
            <w:rStyle w:val="Hyperlink"/>
          </w:rPr>
          <w:t>https://www.vic.gov.au/familyviolence/family-safety-victoria/industry-plan.html</w:t>
        </w:r>
      </w:hyperlink>
      <w:r>
        <w:t xml:space="preserve"> </w:t>
      </w:r>
    </w:p>
  </w:footnote>
  <w:footnote w:id="7">
    <w:p w14:paraId="3142112D" w14:textId="5174FE82" w:rsidR="00EE242D" w:rsidRPr="00EE242D" w:rsidRDefault="00EE242D">
      <w:pPr>
        <w:pStyle w:val="FootnoteText"/>
        <w:rPr>
          <w:lang w:val="en-AU"/>
        </w:rPr>
      </w:pPr>
      <w:r>
        <w:rPr>
          <w:rStyle w:val="FootnoteReference"/>
        </w:rPr>
        <w:footnoteRef/>
      </w:r>
      <w:r>
        <w:t xml:space="preserve"> </w:t>
      </w:r>
      <w:hyperlink r:id="rId7" w:history="1">
        <w:r w:rsidRPr="00843883">
          <w:rPr>
            <w:rStyle w:val="Hyperlink"/>
          </w:rPr>
          <w:t>https://www.childrenbychoice.org.au/factsandfigures/reproductivecoercion</w:t>
        </w:r>
      </w:hyperlink>
      <w:r>
        <w:t xml:space="preserve"> </w:t>
      </w:r>
    </w:p>
  </w:footnote>
  <w:footnote w:id="8">
    <w:p w14:paraId="77C50705" w14:textId="6BBA10AA" w:rsidR="00EE242D" w:rsidRPr="00EE242D" w:rsidRDefault="00EE242D">
      <w:pPr>
        <w:pStyle w:val="FootnoteText"/>
        <w:rPr>
          <w:lang w:val="en-AU"/>
        </w:rPr>
      </w:pPr>
      <w:r>
        <w:rPr>
          <w:rStyle w:val="FootnoteReference"/>
        </w:rPr>
        <w:footnoteRef/>
      </w:r>
      <w:r>
        <w:t xml:space="preserve"> Melbourne Institute (2017), </w:t>
      </w:r>
      <w:r w:rsidRPr="00EE242D">
        <w:rPr>
          <w:i/>
        </w:rPr>
        <w:t>The Household, Income and Labour Dynamics in Australia Survey: Selected Findings from Waves 1 to 15</w:t>
      </w:r>
      <w:r>
        <w:t xml:space="preserve"> </w:t>
      </w:r>
      <w:hyperlink r:id="rId8" w:history="1">
        <w:r w:rsidRPr="00843883">
          <w:rPr>
            <w:rStyle w:val="Hyperlink"/>
          </w:rPr>
          <w:t>https://melbourneinstitute.unimelb.edu.au/__data/assets/pdf_file/0010/2437426/HILDA-SR-med-res.pdf</w:t>
        </w:r>
      </w:hyperlink>
      <w:r>
        <w:t xml:space="preserve"> </w:t>
      </w:r>
    </w:p>
  </w:footnote>
  <w:footnote w:id="9">
    <w:p w14:paraId="382C995B" w14:textId="69B78AC3" w:rsidR="00F6116D" w:rsidRPr="00F6116D" w:rsidRDefault="00F6116D">
      <w:pPr>
        <w:pStyle w:val="FootnoteText"/>
        <w:rPr>
          <w:lang w:val="en-AU"/>
        </w:rPr>
      </w:pPr>
      <w:r>
        <w:rPr>
          <w:rStyle w:val="FootnoteReference"/>
        </w:rPr>
        <w:footnoteRef/>
      </w:r>
      <w:r>
        <w:t xml:space="preserve"> </w:t>
      </w:r>
      <w:r>
        <w:rPr>
          <w:lang w:val="en-AU"/>
        </w:rPr>
        <w:t xml:space="preserve">Equality Rights Alliance (2017) ‘Pre-Budget Submission’, </w:t>
      </w:r>
      <w:hyperlink r:id="rId9" w:history="1">
        <w:r w:rsidRPr="00843883">
          <w:rPr>
            <w:rStyle w:val="Hyperlink"/>
            <w:lang w:val="en-AU"/>
          </w:rPr>
          <w:t>http://www.equalityrightsalliance.org.au/wp-content/uploads/2017/02/ERA-Pre-Budget-Submission-17-18-Final.pdf</w:t>
        </w:r>
      </w:hyperlink>
      <w:r>
        <w:rPr>
          <w:lang w:val="en-AU"/>
        </w:rPr>
        <w:t xml:space="preserve"> p4.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D8B3E" w14:textId="77777777" w:rsidR="00477A64" w:rsidRDefault="00477A64">
    <w:pPr>
      <w:pStyle w:val="Header"/>
    </w:pPr>
    <w:r>
      <w:rPr>
        <w:noProof/>
        <w:lang w:eastAsia="en-AU"/>
      </w:rPr>
      <w:drawing>
        <wp:anchor distT="0" distB="0" distL="114300" distR="114300" simplePos="0" relativeHeight="251658240" behindDoc="0" locked="0" layoutInCell="1" allowOverlap="1" wp14:anchorId="349D5526" wp14:editId="15F80B40">
          <wp:simplePos x="0" y="0"/>
          <wp:positionH relativeFrom="column">
            <wp:posOffset>-1104265</wp:posOffset>
          </wp:positionH>
          <wp:positionV relativeFrom="paragraph">
            <wp:posOffset>-449580</wp:posOffset>
          </wp:positionV>
          <wp:extent cx="7801610" cy="1590675"/>
          <wp:effectExtent l="0" t="0" r="8890" b="9525"/>
          <wp:wrapThrough wrapText="bothSides">
            <wp:wrapPolygon edited="0">
              <wp:start x="0" y="0"/>
              <wp:lineTo x="0" y="21471"/>
              <wp:lineTo x="21572" y="21471"/>
              <wp:lineTo x="21572" y="0"/>
              <wp:lineTo x="0" y="0"/>
            </wp:wrapPolygon>
          </wp:wrapThrough>
          <wp:docPr id="3" name="Picture 3" descr="Wordpress AWAVA Banner.jpg"/>
          <wp:cNvGraphicFramePr/>
          <a:graphic xmlns:a="http://schemas.openxmlformats.org/drawingml/2006/main">
            <a:graphicData uri="http://schemas.openxmlformats.org/drawingml/2006/picture">
              <pic:pic xmlns:pic="http://schemas.openxmlformats.org/drawingml/2006/picture">
                <pic:nvPicPr>
                  <pic:cNvPr id="8" name="Picture 8" descr="Wordpress AWAVA Banner.jpg"/>
                  <pic:cNvPicPr/>
                </pic:nvPicPr>
                <pic:blipFill>
                  <a:blip r:embed="rId1" cstate="print">
                    <a:extLst>
                      <a:ext uri="{28A0092B-C50C-407E-A947-70E740481C1C}">
                        <a14:useLocalDpi xmlns:a14="http://schemas.microsoft.com/office/drawing/2010/main" val="0"/>
                      </a:ext>
                    </a:extLst>
                  </a:blip>
                  <a:srcRect t="20148" r="3958" b="19802"/>
                  <a:stretch>
                    <a:fillRect/>
                  </a:stretch>
                </pic:blipFill>
                <pic:spPr>
                  <a:xfrm>
                    <a:off x="0" y="0"/>
                    <a:ext cx="7801610" cy="1590675"/>
                  </a:xfrm>
                  <a:prstGeom prst="rect">
                    <a:avLst/>
                  </a:prstGeom>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47BE"/>
    <w:multiLevelType w:val="hybridMultilevel"/>
    <w:tmpl w:val="F25C3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141999"/>
    <w:multiLevelType w:val="multilevel"/>
    <w:tmpl w:val="7550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15E04"/>
    <w:multiLevelType w:val="hybridMultilevel"/>
    <w:tmpl w:val="55AAB58A"/>
    <w:lvl w:ilvl="0" w:tplc="C66007D8">
      <w:start w:val="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07B81"/>
    <w:multiLevelType w:val="multilevel"/>
    <w:tmpl w:val="8F88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75456"/>
    <w:multiLevelType w:val="multilevel"/>
    <w:tmpl w:val="6DA6E4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A7E1429"/>
    <w:multiLevelType w:val="hybridMultilevel"/>
    <w:tmpl w:val="4552A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EF5C87"/>
    <w:multiLevelType w:val="hybridMultilevel"/>
    <w:tmpl w:val="53A206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D62AE0"/>
    <w:multiLevelType w:val="hybridMultilevel"/>
    <w:tmpl w:val="517C5328"/>
    <w:lvl w:ilvl="0" w:tplc="8084A7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C264E"/>
    <w:multiLevelType w:val="multilevel"/>
    <w:tmpl w:val="7CFA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4F4DCE"/>
    <w:multiLevelType w:val="hybridMultilevel"/>
    <w:tmpl w:val="4F224518"/>
    <w:lvl w:ilvl="0" w:tplc="60EE29E4">
      <w:numFmt w:val="bullet"/>
      <w:lvlText w:val="-"/>
      <w:lvlJc w:val="left"/>
      <w:pPr>
        <w:ind w:left="720" w:hanging="360"/>
      </w:pPr>
      <w:rPr>
        <w:rFonts w:ascii="inherit" w:eastAsiaTheme="minorHAnsi" w:hAnsi="inheri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3660326"/>
    <w:multiLevelType w:val="hybridMultilevel"/>
    <w:tmpl w:val="B28C5C06"/>
    <w:lvl w:ilvl="0" w:tplc="A91C15C6">
      <w:start w:val="5"/>
      <w:numFmt w:val="bullet"/>
      <w:lvlText w:val=""/>
      <w:lvlJc w:val="left"/>
      <w:pPr>
        <w:ind w:left="720" w:hanging="360"/>
      </w:pPr>
      <w:rPr>
        <w:rFonts w:ascii="Symbol" w:eastAsiaTheme="minorHAns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2A6553"/>
    <w:multiLevelType w:val="hybridMultilevel"/>
    <w:tmpl w:val="3A0A01DA"/>
    <w:lvl w:ilvl="0" w:tplc="81CE58E8">
      <w:start w:val="5"/>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A85E22"/>
    <w:multiLevelType w:val="multilevel"/>
    <w:tmpl w:val="F9D0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272997"/>
    <w:multiLevelType w:val="multilevel"/>
    <w:tmpl w:val="6354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545DB1"/>
    <w:multiLevelType w:val="hybridMultilevel"/>
    <w:tmpl w:val="50AEA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1247C6"/>
    <w:multiLevelType w:val="hybridMultilevel"/>
    <w:tmpl w:val="C3D2DF8C"/>
    <w:lvl w:ilvl="0" w:tplc="B344BA12">
      <w:start w:val="1"/>
      <w:numFmt w:val="decimal"/>
      <w:lvlText w:val="%1."/>
      <w:lvlJc w:val="left"/>
      <w:pPr>
        <w:ind w:left="720" w:hanging="360"/>
      </w:pPr>
      <w:rPr>
        <w:rFonts w:cstheme="minorBidi"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6303582"/>
    <w:multiLevelType w:val="hybridMultilevel"/>
    <w:tmpl w:val="018233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730E49"/>
    <w:multiLevelType w:val="hybridMultilevel"/>
    <w:tmpl w:val="5454A7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8B55ACA"/>
    <w:multiLevelType w:val="hybridMultilevel"/>
    <w:tmpl w:val="4036CC4E"/>
    <w:lvl w:ilvl="0" w:tplc="90883DE0">
      <w:start w:val="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9917FE"/>
    <w:multiLevelType w:val="hybridMultilevel"/>
    <w:tmpl w:val="D64CA452"/>
    <w:lvl w:ilvl="0" w:tplc="F5347DF6">
      <w:start w:val="7"/>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8912BF"/>
    <w:multiLevelType w:val="hybridMultilevel"/>
    <w:tmpl w:val="8D72EB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2483A2F"/>
    <w:multiLevelType w:val="multilevel"/>
    <w:tmpl w:val="B458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E819EC"/>
    <w:multiLevelType w:val="hybridMultilevel"/>
    <w:tmpl w:val="2E8AC316"/>
    <w:lvl w:ilvl="0" w:tplc="D5DE59BE">
      <w:start w:val="1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731BD5"/>
    <w:multiLevelType w:val="multilevel"/>
    <w:tmpl w:val="FCE0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0F2CBD"/>
    <w:multiLevelType w:val="hybridMultilevel"/>
    <w:tmpl w:val="BBF8B644"/>
    <w:lvl w:ilvl="0" w:tplc="C66233C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4349CD"/>
    <w:multiLevelType w:val="hybridMultilevel"/>
    <w:tmpl w:val="53A206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65F7710"/>
    <w:multiLevelType w:val="hybridMultilevel"/>
    <w:tmpl w:val="C99046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938368B"/>
    <w:multiLevelType w:val="multilevel"/>
    <w:tmpl w:val="5AF6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7E02C1"/>
    <w:multiLevelType w:val="multilevel"/>
    <w:tmpl w:val="B8E0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6"/>
  </w:num>
  <w:num w:numId="3">
    <w:abstractNumId w:val="17"/>
  </w:num>
  <w:num w:numId="4">
    <w:abstractNumId w:val="4"/>
  </w:num>
  <w:num w:numId="5">
    <w:abstractNumId w:val="16"/>
  </w:num>
  <w:num w:numId="6">
    <w:abstractNumId w:val="24"/>
  </w:num>
  <w:num w:numId="7">
    <w:abstractNumId w:val="25"/>
  </w:num>
  <w:num w:numId="8">
    <w:abstractNumId w:val="22"/>
  </w:num>
  <w:num w:numId="9">
    <w:abstractNumId w:val="6"/>
  </w:num>
  <w:num w:numId="10">
    <w:abstractNumId w:val="9"/>
  </w:num>
  <w:num w:numId="11">
    <w:abstractNumId w:val="9"/>
  </w:num>
  <w:num w:numId="12">
    <w:abstractNumId w:val="5"/>
  </w:num>
  <w:num w:numId="13">
    <w:abstractNumId w:val="20"/>
  </w:num>
  <w:num w:numId="14">
    <w:abstractNumId w:val="18"/>
  </w:num>
  <w:num w:numId="15">
    <w:abstractNumId w:val="19"/>
  </w:num>
  <w:num w:numId="16">
    <w:abstractNumId w:val="15"/>
  </w:num>
  <w:num w:numId="17">
    <w:abstractNumId w:val="11"/>
  </w:num>
  <w:num w:numId="18">
    <w:abstractNumId w:val="10"/>
  </w:num>
  <w:num w:numId="19">
    <w:abstractNumId w:val="7"/>
  </w:num>
  <w:num w:numId="20">
    <w:abstractNumId w:val="2"/>
  </w:num>
  <w:num w:numId="21">
    <w:abstractNumId w:val="23"/>
  </w:num>
  <w:num w:numId="22">
    <w:abstractNumId w:val="28"/>
  </w:num>
  <w:num w:numId="23">
    <w:abstractNumId w:val="3"/>
  </w:num>
  <w:num w:numId="24">
    <w:abstractNumId w:val="27"/>
  </w:num>
  <w:num w:numId="25">
    <w:abstractNumId w:val="12"/>
  </w:num>
  <w:num w:numId="26">
    <w:abstractNumId w:val="8"/>
  </w:num>
  <w:num w:numId="27">
    <w:abstractNumId w:val="13"/>
  </w:num>
  <w:num w:numId="28">
    <w:abstractNumId w:val="21"/>
  </w:num>
  <w:num w:numId="29">
    <w:abstractNumId w:val="14"/>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6AF"/>
    <w:rsid w:val="000248CC"/>
    <w:rsid w:val="0003019D"/>
    <w:rsid w:val="0003390B"/>
    <w:rsid w:val="0003778F"/>
    <w:rsid w:val="00046094"/>
    <w:rsid w:val="00047858"/>
    <w:rsid w:val="0006222A"/>
    <w:rsid w:val="00063B87"/>
    <w:rsid w:val="00066F75"/>
    <w:rsid w:val="000954B2"/>
    <w:rsid w:val="00095AF7"/>
    <w:rsid w:val="00097041"/>
    <w:rsid w:val="000B3062"/>
    <w:rsid w:val="000B7342"/>
    <w:rsid w:val="000D0DF4"/>
    <w:rsid w:val="000D112C"/>
    <w:rsid w:val="000D24AC"/>
    <w:rsid w:val="000D3EBB"/>
    <w:rsid w:val="000D774D"/>
    <w:rsid w:val="000E2ABF"/>
    <w:rsid w:val="000F56C3"/>
    <w:rsid w:val="00103C09"/>
    <w:rsid w:val="001113DF"/>
    <w:rsid w:val="00113785"/>
    <w:rsid w:val="0011434B"/>
    <w:rsid w:val="001236A9"/>
    <w:rsid w:val="00130022"/>
    <w:rsid w:val="001303EB"/>
    <w:rsid w:val="00131AF4"/>
    <w:rsid w:val="00136F19"/>
    <w:rsid w:val="001477D0"/>
    <w:rsid w:val="001602DE"/>
    <w:rsid w:val="0016517E"/>
    <w:rsid w:val="00170FAA"/>
    <w:rsid w:val="001765E6"/>
    <w:rsid w:val="001940E5"/>
    <w:rsid w:val="001A43A4"/>
    <w:rsid w:val="001B6124"/>
    <w:rsid w:val="001C5B00"/>
    <w:rsid w:val="001E7D9D"/>
    <w:rsid w:val="00217776"/>
    <w:rsid w:val="0024441A"/>
    <w:rsid w:val="0024460E"/>
    <w:rsid w:val="002450C3"/>
    <w:rsid w:val="002655EE"/>
    <w:rsid w:val="0027127A"/>
    <w:rsid w:val="00284DB1"/>
    <w:rsid w:val="00294134"/>
    <w:rsid w:val="00294BE2"/>
    <w:rsid w:val="00296297"/>
    <w:rsid w:val="00296FE2"/>
    <w:rsid w:val="002D0280"/>
    <w:rsid w:val="002D68CF"/>
    <w:rsid w:val="002F05F0"/>
    <w:rsid w:val="002F10C0"/>
    <w:rsid w:val="002F3F39"/>
    <w:rsid w:val="00321C50"/>
    <w:rsid w:val="003220DD"/>
    <w:rsid w:val="00333ECD"/>
    <w:rsid w:val="00334FC2"/>
    <w:rsid w:val="00351865"/>
    <w:rsid w:val="003544E4"/>
    <w:rsid w:val="00364E09"/>
    <w:rsid w:val="003852BF"/>
    <w:rsid w:val="003976E7"/>
    <w:rsid w:val="003B132B"/>
    <w:rsid w:val="003C1816"/>
    <w:rsid w:val="003C1B62"/>
    <w:rsid w:val="003C1BAA"/>
    <w:rsid w:val="003D1F3D"/>
    <w:rsid w:val="00400AF7"/>
    <w:rsid w:val="0040628A"/>
    <w:rsid w:val="00424987"/>
    <w:rsid w:val="0043021B"/>
    <w:rsid w:val="00431BB3"/>
    <w:rsid w:val="00437CDD"/>
    <w:rsid w:val="00450BC9"/>
    <w:rsid w:val="004537FF"/>
    <w:rsid w:val="00453E39"/>
    <w:rsid w:val="00477A64"/>
    <w:rsid w:val="00481318"/>
    <w:rsid w:val="00486401"/>
    <w:rsid w:val="00491750"/>
    <w:rsid w:val="00493FC1"/>
    <w:rsid w:val="004959D5"/>
    <w:rsid w:val="004A0180"/>
    <w:rsid w:val="004A123A"/>
    <w:rsid w:val="004A302F"/>
    <w:rsid w:val="004B141B"/>
    <w:rsid w:val="004C3DCB"/>
    <w:rsid w:val="004C48D7"/>
    <w:rsid w:val="004F7A58"/>
    <w:rsid w:val="005042DF"/>
    <w:rsid w:val="005310A0"/>
    <w:rsid w:val="00531ABE"/>
    <w:rsid w:val="0053458C"/>
    <w:rsid w:val="0054266C"/>
    <w:rsid w:val="005558FE"/>
    <w:rsid w:val="005638FE"/>
    <w:rsid w:val="005730E2"/>
    <w:rsid w:val="00575521"/>
    <w:rsid w:val="00596B4F"/>
    <w:rsid w:val="0059735B"/>
    <w:rsid w:val="005B56D8"/>
    <w:rsid w:val="005C2EAB"/>
    <w:rsid w:val="005D040D"/>
    <w:rsid w:val="005D39E1"/>
    <w:rsid w:val="00605EDA"/>
    <w:rsid w:val="006150F2"/>
    <w:rsid w:val="0061644D"/>
    <w:rsid w:val="00622888"/>
    <w:rsid w:val="00627647"/>
    <w:rsid w:val="00641128"/>
    <w:rsid w:val="006546CC"/>
    <w:rsid w:val="0065723D"/>
    <w:rsid w:val="006623E2"/>
    <w:rsid w:val="00671907"/>
    <w:rsid w:val="0067246F"/>
    <w:rsid w:val="006740C7"/>
    <w:rsid w:val="0069274C"/>
    <w:rsid w:val="006A0FDD"/>
    <w:rsid w:val="006B26B0"/>
    <w:rsid w:val="006B410D"/>
    <w:rsid w:val="006D6D2F"/>
    <w:rsid w:val="006E0649"/>
    <w:rsid w:val="006F5CF8"/>
    <w:rsid w:val="00701594"/>
    <w:rsid w:val="00707170"/>
    <w:rsid w:val="00712AF0"/>
    <w:rsid w:val="007304DD"/>
    <w:rsid w:val="007501A8"/>
    <w:rsid w:val="00753671"/>
    <w:rsid w:val="0075616C"/>
    <w:rsid w:val="007673CF"/>
    <w:rsid w:val="007679DA"/>
    <w:rsid w:val="00783CB6"/>
    <w:rsid w:val="0079043F"/>
    <w:rsid w:val="007A1CB0"/>
    <w:rsid w:val="007A5128"/>
    <w:rsid w:val="007B093A"/>
    <w:rsid w:val="007B5758"/>
    <w:rsid w:val="007C1B75"/>
    <w:rsid w:val="007C7EF2"/>
    <w:rsid w:val="007E1051"/>
    <w:rsid w:val="007E5DD2"/>
    <w:rsid w:val="007F7E7A"/>
    <w:rsid w:val="008058D1"/>
    <w:rsid w:val="008102B2"/>
    <w:rsid w:val="00812082"/>
    <w:rsid w:val="00812722"/>
    <w:rsid w:val="008443B2"/>
    <w:rsid w:val="00865553"/>
    <w:rsid w:val="00874252"/>
    <w:rsid w:val="0087460A"/>
    <w:rsid w:val="008A01E7"/>
    <w:rsid w:val="008B1215"/>
    <w:rsid w:val="008B5CFA"/>
    <w:rsid w:val="008C6496"/>
    <w:rsid w:val="008D0043"/>
    <w:rsid w:val="008F48CD"/>
    <w:rsid w:val="00912C5E"/>
    <w:rsid w:val="009219D6"/>
    <w:rsid w:val="00923589"/>
    <w:rsid w:val="00930F5E"/>
    <w:rsid w:val="0093497F"/>
    <w:rsid w:val="0094007C"/>
    <w:rsid w:val="00944AFC"/>
    <w:rsid w:val="009455E7"/>
    <w:rsid w:val="00952212"/>
    <w:rsid w:val="00980480"/>
    <w:rsid w:val="00981079"/>
    <w:rsid w:val="009811CE"/>
    <w:rsid w:val="00982285"/>
    <w:rsid w:val="0098540A"/>
    <w:rsid w:val="00986C25"/>
    <w:rsid w:val="009A4577"/>
    <w:rsid w:val="009A4AB8"/>
    <w:rsid w:val="009B3FC1"/>
    <w:rsid w:val="009C3C7C"/>
    <w:rsid w:val="009F67E0"/>
    <w:rsid w:val="00A15303"/>
    <w:rsid w:val="00A22AAB"/>
    <w:rsid w:val="00A35532"/>
    <w:rsid w:val="00A37CA0"/>
    <w:rsid w:val="00A53537"/>
    <w:rsid w:val="00A53817"/>
    <w:rsid w:val="00A563FB"/>
    <w:rsid w:val="00A6580B"/>
    <w:rsid w:val="00A71C77"/>
    <w:rsid w:val="00A772D7"/>
    <w:rsid w:val="00AA2A4C"/>
    <w:rsid w:val="00AA407A"/>
    <w:rsid w:val="00AB2753"/>
    <w:rsid w:val="00AB4D2D"/>
    <w:rsid w:val="00AD1C8A"/>
    <w:rsid w:val="00AD3503"/>
    <w:rsid w:val="00AD753C"/>
    <w:rsid w:val="00B01847"/>
    <w:rsid w:val="00B100C4"/>
    <w:rsid w:val="00B124C0"/>
    <w:rsid w:val="00B131B3"/>
    <w:rsid w:val="00B302BE"/>
    <w:rsid w:val="00B305E4"/>
    <w:rsid w:val="00B31955"/>
    <w:rsid w:val="00B32176"/>
    <w:rsid w:val="00B32AF4"/>
    <w:rsid w:val="00B5160B"/>
    <w:rsid w:val="00B548F6"/>
    <w:rsid w:val="00B652A0"/>
    <w:rsid w:val="00B8285D"/>
    <w:rsid w:val="00B85161"/>
    <w:rsid w:val="00BA6875"/>
    <w:rsid w:val="00BB7312"/>
    <w:rsid w:val="00BB791F"/>
    <w:rsid w:val="00BC0CD4"/>
    <w:rsid w:val="00BC59F0"/>
    <w:rsid w:val="00BD0EEC"/>
    <w:rsid w:val="00BD6FC1"/>
    <w:rsid w:val="00BE5A04"/>
    <w:rsid w:val="00BE7077"/>
    <w:rsid w:val="00BE770C"/>
    <w:rsid w:val="00BF0B42"/>
    <w:rsid w:val="00BF693A"/>
    <w:rsid w:val="00C20888"/>
    <w:rsid w:val="00C35BB3"/>
    <w:rsid w:val="00C45359"/>
    <w:rsid w:val="00C55081"/>
    <w:rsid w:val="00C748FD"/>
    <w:rsid w:val="00CB2B50"/>
    <w:rsid w:val="00CC5558"/>
    <w:rsid w:val="00CD099F"/>
    <w:rsid w:val="00D16CD0"/>
    <w:rsid w:val="00D20DE2"/>
    <w:rsid w:val="00D214A9"/>
    <w:rsid w:val="00D560B8"/>
    <w:rsid w:val="00D71875"/>
    <w:rsid w:val="00D77F57"/>
    <w:rsid w:val="00D9030B"/>
    <w:rsid w:val="00DC66AF"/>
    <w:rsid w:val="00DD0DFA"/>
    <w:rsid w:val="00DD2AC6"/>
    <w:rsid w:val="00DE49F7"/>
    <w:rsid w:val="00DE6E25"/>
    <w:rsid w:val="00DF606F"/>
    <w:rsid w:val="00E01EF4"/>
    <w:rsid w:val="00E16BF1"/>
    <w:rsid w:val="00E2179B"/>
    <w:rsid w:val="00E319F2"/>
    <w:rsid w:val="00E46AE6"/>
    <w:rsid w:val="00E60965"/>
    <w:rsid w:val="00E61FD5"/>
    <w:rsid w:val="00E673F0"/>
    <w:rsid w:val="00E74444"/>
    <w:rsid w:val="00E90D35"/>
    <w:rsid w:val="00EC55E8"/>
    <w:rsid w:val="00EC780C"/>
    <w:rsid w:val="00ED6438"/>
    <w:rsid w:val="00EE242D"/>
    <w:rsid w:val="00F07DE2"/>
    <w:rsid w:val="00F10963"/>
    <w:rsid w:val="00F10D3E"/>
    <w:rsid w:val="00F1448D"/>
    <w:rsid w:val="00F21B1E"/>
    <w:rsid w:val="00F272AB"/>
    <w:rsid w:val="00F4005E"/>
    <w:rsid w:val="00F57AD6"/>
    <w:rsid w:val="00F6116D"/>
    <w:rsid w:val="00F72B06"/>
    <w:rsid w:val="00F7712C"/>
    <w:rsid w:val="00F95DD9"/>
    <w:rsid w:val="00F97F3D"/>
    <w:rsid w:val="00FC3777"/>
    <w:rsid w:val="00FC7DF3"/>
    <w:rsid w:val="00FE2C88"/>
    <w:rsid w:val="00FF3F7C"/>
    <w:rsid w:val="00FF5F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C823F"/>
  <w15:chartTrackingRefBased/>
  <w15:docId w15:val="{49E6F226-17BD-488B-ACD9-416B6022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3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35532"/>
    <w:pPr>
      <w:keepNext/>
      <w:keepLines/>
      <w:spacing w:before="240" w:line="259" w:lineRule="auto"/>
      <w:outlineLvl w:val="0"/>
    </w:pPr>
    <w:rPr>
      <w:rFonts w:asciiTheme="majorHAnsi" w:eastAsiaTheme="majorEastAsia" w:hAnsiTheme="majorHAnsi" w:cstheme="majorBidi"/>
      <w:b/>
      <w:color w:val="7030A0"/>
      <w:sz w:val="32"/>
      <w:szCs w:val="32"/>
    </w:rPr>
  </w:style>
  <w:style w:type="paragraph" w:styleId="Heading2">
    <w:name w:val="heading 2"/>
    <w:basedOn w:val="Normal"/>
    <w:next w:val="Normal"/>
    <w:link w:val="Heading2Char"/>
    <w:uiPriority w:val="9"/>
    <w:unhideWhenUsed/>
    <w:qFormat/>
    <w:rsid w:val="0024460E"/>
    <w:pPr>
      <w:keepNext/>
      <w:keepLines/>
      <w:spacing w:before="160" w:after="120" w:line="259" w:lineRule="auto"/>
      <w:outlineLvl w:val="1"/>
    </w:pPr>
    <w:rPr>
      <w:rFonts w:asciiTheme="majorHAnsi" w:eastAsiaTheme="majorEastAsia" w:hAnsiTheme="majorHAnsi" w:cstheme="majorBidi"/>
      <w:b/>
      <w:color w:val="7030A0"/>
      <w:sz w:val="26"/>
      <w:szCs w:val="26"/>
    </w:rPr>
  </w:style>
  <w:style w:type="paragraph" w:styleId="Heading3">
    <w:name w:val="heading 3"/>
    <w:basedOn w:val="Normal"/>
    <w:next w:val="Normal"/>
    <w:link w:val="Heading3Char"/>
    <w:uiPriority w:val="9"/>
    <w:unhideWhenUsed/>
    <w:qFormat/>
    <w:rsid w:val="00F21B1E"/>
    <w:pPr>
      <w:keepNext/>
      <w:keepLines/>
      <w:spacing w:before="40"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3B132B"/>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5532"/>
    <w:rPr>
      <w:rFonts w:asciiTheme="majorHAnsi" w:eastAsiaTheme="majorEastAsia" w:hAnsiTheme="majorHAnsi" w:cstheme="majorBidi"/>
      <w:b/>
      <w:color w:val="7030A0"/>
      <w:sz w:val="32"/>
      <w:szCs w:val="32"/>
    </w:rPr>
  </w:style>
  <w:style w:type="paragraph" w:styleId="FootnoteText">
    <w:name w:val="footnote text"/>
    <w:aliases w:val="FN,fn,Footnote Text Char1,Footnote Text Char Char,Footnote Text Char1 Char Char,Footnote Text Char Char Char Char,Footnote Text Char Char1,Footnote Text Char1 Char,Footnote Text Char Char Char,Footnote ak,Ca"/>
    <w:basedOn w:val="Normal"/>
    <w:link w:val="FootnoteTextChar"/>
    <w:uiPriority w:val="99"/>
    <w:unhideWhenUsed/>
    <w:qFormat/>
    <w:rsid w:val="00605EDA"/>
    <w:rPr>
      <w:rFonts w:asciiTheme="minorHAnsi" w:hAnsiTheme="minorHAnsi" w:cstheme="minorHAnsi"/>
      <w:sz w:val="18"/>
      <w:szCs w:val="18"/>
      <w:lang w:val="en-GB" w:eastAsia="en-GB"/>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Footnote ak Char,Ca Char"/>
    <w:basedOn w:val="DefaultParagraphFont"/>
    <w:link w:val="FootnoteText"/>
    <w:uiPriority w:val="99"/>
    <w:rsid w:val="00605EDA"/>
    <w:rPr>
      <w:rFonts w:eastAsia="Times New Roman" w:cstheme="minorHAnsi"/>
      <w:sz w:val="18"/>
      <w:szCs w:val="18"/>
      <w:lang w:val="en-GB" w:eastAsia="en-GB"/>
    </w:rPr>
  </w:style>
  <w:style w:type="character" w:styleId="FootnoteReference">
    <w:name w:val="footnote reference"/>
    <w:aliases w:val="NO,Footnotes refss,Footnote number,Footnote,4_G,Ref,de nota al pie,opcalrc,callout,4_G Char Char Char Char,Footnotes refss Char Char Char Char,ftref Char Char Char Char,BVI fnr Char Char Char Char,BVI fnr Car Car Char Char Char Char,f"/>
    <w:basedOn w:val="DefaultParagraphFont"/>
    <w:link w:val="4GCharCharChar"/>
    <w:uiPriority w:val="99"/>
    <w:unhideWhenUsed/>
    <w:qFormat/>
    <w:rsid w:val="00605EDA"/>
    <w:rPr>
      <w:vertAlign w:val="superscript"/>
    </w:rPr>
  </w:style>
  <w:style w:type="character" w:styleId="Hyperlink">
    <w:name w:val="Hyperlink"/>
    <w:basedOn w:val="DefaultParagraphFont"/>
    <w:uiPriority w:val="99"/>
    <w:unhideWhenUsed/>
    <w:rsid w:val="00605EDA"/>
    <w:rPr>
      <w:color w:val="0563C1" w:themeColor="hyperlink"/>
      <w:u w:val="single"/>
    </w:rPr>
  </w:style>
  <w:style w:type="character" w:styleId="CommentReference">
    <w:name w:val="annotation reference"/>
    <w:basedOn w:val="DefaultParagraphFont"/>
    <w:uiPriority w:val="99"/>
    <w:semiHidden/>
    <w:unhideWhenUsed/>
    <w:rsid w:val="00605EDA"/>
    <w:rPr>
      <w:sz w:val="16"/>
      <w:szCs w:val="16"/>
    </w:rPr>
  </w:style>
  <w:style w:type="paragraph" w:styleId="CommentText">
    <w:name w:val="annotation text"/>
    <w:basedOn w:val="Normal"/>
    <w:link w:val="CommentTextChar"/>
    <w:uiPriority w:val="99"/>
    <w:unhideWhenUsed/>
    <w:rsid w:val="00605EDA"/>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05EDA"/>
    <w:rPr>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605EDA"/>
    <w:pPr>
      <w:spacing w:before="120" w:after="120" w:line="240" w:lineRule="exact"/>
      <w:jc w:val="both"/>
    </w:pPr>
    <w:rPr>
      <w:rFonts w:asciiTheme="minorHAnsi" w:eastAsiaTheme="minorHAnsi" w:hAnsiTheme="minorHAnsi" w:cstheme="minorBidi"/>
      <w:sz w:val="22"/>
      <w:szCs w:val="22"/>
      <w:vertAlign w:val="superscript"/>
    </w:rPr>
  </w:style>
  <w:style w:type="paragraph" w:styleId="BalloonText">
    <w:name w:val="Balloon Text"/>
    <w:basedOn w:val="Normal"/>
    <w:link w:val="BalloonTextChar"/>
    <w:uiPriority w:val="99"/>
    <w:semiHidden/>
    <w:unhideWhenUsed/>
    <w:rsid w:val="00605EDA"/>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605EDA"/>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A2A4C"/>
    <w:rPr>
      <w:b/>
      <w:bCs/>
    </w:rPr>
  </w:style>
  <w:style w:type="character" w:customStyle="1" w:styleId="CommentSubjectChar">
    <w:name w:val="Comment Subject Char"/>
    <w:basedOn w:val="CommentTextChar"/>
    <w:link w:val="CommentSubject"/>
    <w:uiPriority w:val="99"/>
    <w:semiHidden/>
    <w:rsid w:val="00AA2A4C"/>
    <w:rPr>
      <w:b/>
      <w:bCs/>
      <w:sz w:val="20"/>
      <w:szCs w:val="20"/>
    </w:rPr>
  </w:style>
  <w:style w:type="paragraph" w:styleId="Header">
    <w:name w:val="header"/>
    <w:basedOn w:val="Normal"/>
    <w:link w:val="HeaderChar"/>
    <w:uiPriority w:val="99"/>
    <w:unhideWhenUsed/>
    <w:rsid w:val="00A35532"/>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35532"/>
  </w:style>
  <w:style w:type="paragraph" w:styleId="Footer">
    <w:name w:val="footer"/>
    <w:basedOn w:val="Normal"/>
    <w:link w:val="FooterChar"/>
    <w:uiPriority w:val="99"/>
    <w:unhideWhenUsed/>
    <w:rsid w:val="00A35532"/>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35532"/>
  </w:style>
  <w:style w:type="paragraph" w:styleId="NoSpacing">
    <w:name w:val="No Spacing"/>
    <w:uiPriority w:val="1"/>
    <w:qFormat/>
    <w:rsid w:val="008443B2"/>
    <w:pPr>
      <w:spacing w:after="0" w:line="240" w:lineRule="auto"/>
    </w:pPr>
  </w:style>
  <w:style w:type="character" w:customStyle="1" w:styleId="Heading2Char">
    <w:name w:val="Heading 2 Char"/>
    <w:basedOn w:val="DefaultParagraphFont"/>
    <w:link w:val="Heading2"/>
    <w:uiPriority w:val="9"/>
    <w:rsid w:val="0024460E"/>
    <w:rPr>
      <w:rFonts w:asciiTheme="majorHAnsi" w:eastAsiaTheme="majorEastAsia" w:hAnsiTheme="majorHAnsi" w:cstheme="majorBidi"/>
      <w:b/>
      <w:color w:val="7030A0"/>
      <w:sz w:val="26"/>
      <w:szCs w:val="26"/>
    </w:rPr>
  </w:style>
  <w:style w:type="table" w:styleId="TableGrid">
    <w:name w:val="Table Grid"/>
    <w:basedOn w:val="TableNormal"/>
    <w:uiPriority w:val="39"/>
    <w:rsid w:val="00400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0F56C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rsid w:val="000F56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0F56C3"/>
    <w:pPr>
      <w:spacing w:after="160" w:line="259" w:lineRule="auto"/>
      <w:ind w:left="720"/>
      <w:contextualSpacing/>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F21B1E"/>
    <w:rPr>
      <w:rFonts w:asciiTheme="majorHAnsi" w:eastAsiaTheme="majorEastAsia" w:hAnsiTheme="majorHAnsi" w:cstheme="majorBidi"/>
      <w:color w:val="1F4D78" w:themeColor="accent1" w:themeShade="7F"/>
      <w:sz w:val="24"/>
      <w:szCs w:val="24"/>
    </w:rPr>
  </w:style>
  <w:style w:type="paragraph" w:customStyle="1" w:styleId="Default">
    <w:name w:val="Default"/>
    <w:rsid w:val="002D0280"/>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046094"/>
    <w:rPr>
      <w:color w:val="954F72" w:themeColor="followedHyperlink"/>
      <w:u w:val="single"/>
    </w:rPr>
  </w:style>
  <w:style w:type="paragraph" w:styleId="TOCHeading">
    <w:name w:val="TOC Heading"/>
    <w:basedOn w:val="Heading1"/>
    <w:next w:val="Normal"/>
    <w:uiPriority w:val="39"/>
    <w:unhideWhenUsed/>
    <w:qFormat/>
    <w:rsid w:val="008B1215"/>
    <w:pPr>
      <w:outlineLvl w:val="9"/>
    </w:pPr>
    <w:rPr>
      <w:b w:val="0"/>
      <w:color w:val="2E74B5" w:themeColor="accent1" w:themeShade="BF"/>
      <w:lang w:val="en-US"/>
    </w:rPr>
  </w:style>
  <w:style w:type="paragraph" w:styleId="TOC1">
    <w:name w:val="toc 1"/>
    <w:basedOn w:val="Normal"/>
    <w:next w:val="Normal"/>
    <w:autoRedefine/>
    <w:uiPriority w:val="39"/>
    <w:unhideWhenUsed/>
    <w:rsid w:val="008B1215"/>
    <w:pPr>
      <w:spacing w:after="100" w:line="259"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rsid w:val="008B1215"/>
    <w:pPr>
      <w:spacing w:after="100" w:line="259" w:lineRule="auto"/>
      <w:ind w:left="220"/>
    </w:pPr>
    <w:rPr>
      <w:rFonts w:asciiTheme="minorHAnsi" w:eastAsiaTheme="minorHAnsi" w:hAnsiTheme="minorHAnsi" w:cstheme="minorBidi"/>
      <w:sz w:val="22"/>
      <w:szCs w:val="22"/>
    </w:rPr>
  </w:style>
  <w:style w:type="paragraph" w:styleId="TOC3">
    <w:name w:val="toc 3"/>
    <w:basedOn w:val="Normal"/>
    <w:next w:val="Normal"/>
    <w:autoRedefine/>
    <w:uiPriority w:val="39"/>
    <w:unhideWhenUsed/>
    <w:rsid w:val="008B1215"/>
    <w:pPr>
      <w:spacing w:after="100" w:line="259" w:lineRule="auto"/>
      <w:ind w:left="440"/>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rsid w:val="003B132B"/>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6B26B0"/>
    <w:rPr>
      <w:b/>
      <w:bCs/>
    </w:rPr>
  </w:style>
  <w:style w:type="character" w:customStyle="1" w:styleId="UnresolvedMention1">
    <w:name w:val="Unresolved Mention1"/>
    <w:basedOn w:val="DefaultParagraphFont"/>
    <w:uiPriority w:val="99"/>
    <w:semiHidden/>
    <w:unhideWhenUsed/>
    <w:rsid w:val="00B302BE"/>
    <w:rPr>
      <w:color w:val="808080"/>
      <w:shd w:val="clear" w:color="auto" w:fill="E6E6E6"/>
    </w:rPr>
  </w:style>
  <w:style w:type="paragraph" w:styleId="NormalWeb">
    <w:name w:val="Normal (Web)"/>
    <w:basedOn w:val="Normal"/>
    <w:uiPriority w:val="99"/>
    <w:semiHidden/>
    <w:unhideWhenUsed/>
    <w:rsid w:val="000B3062"/>
    <w:pPr>
      <w:spacing w:before="100" w:beforeAutospacing="1" w:after="100" w:afterAutospacing="1"/>
    </w:pPr>
  </w:style>
  <w:style w:type="paragraph" w:customStyle="1" w:styleId="m-3387907182521946727gmail-msocommenttext">
    <w:name w:val="m_-3387907182521946727gmail-msocommenttext"/>
    <w:basedOn w:val="Normal"/>
    <w:rsid w:val="00294134"/>
    <w:pPr>
      <w:spacing w:before="100" w:beforeAutospacing="1" w:after="100" w:afterAutospacing="1"/>
    </w:pPr>
    <w:rPr>
      <w:lang w:eastAsia="en-AU"/>
    </w:rPr>
  </w:style>
  <w:style w:type="character" w:customStyle="1" w:styleId="UnresolvedMention">
    <w:name w:val="Unresolved Mention"/>
    <w:basedOn w:val="DefaultParagraphFont"/>
    <w:uiPriority w:val="99"/>
    <w:semiHidden/>
    <w:unhideWhenUsed/>
    <w:rsid w:val="008127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4076">
      <w:bodyDiv w:val="1"/>
      <w:marLeft w:val="0"/>
      <w:marRight w:val="0"/>
      <w:marTop w:val="0"/>
      <w:marBottom w:val="0"/>
      <w:divBdr>
        <w:top w:val="none" w:sz="0" w:space="0" w:color="auto"/>
        <w:left w:val="none" w:sz="0" w:space="0" w:color="auto"/>
        <w:bottom w:val="none" w:sz="0" w:space="0" w:color="auto"/>
        <w:right w:val="none" w:sz="0" w:space="0" w:color="auto"/>
      </w:divBdr>
    </w:div>
    <w:div w:id="121965709">
      <w:bodyDiv w:val="1"/>
      <w:marLeft w:val="0"/>
      <w:marRight w:val="0"/>
      <w:marTop w:val="0"/>
      <w:marBottom w:val="0"/>
      <w:divBdr>
        <w:top w:val="none" w:sz="0" w:space="0" w:color="auto"/>
        <w:left w:val="none" w:sz="0" w:space="0" w:color="auto"/>
        <w:bottom w:val="none" w:sz="0" w:space="0" w:color="auto"/>
        <w:right w:val="none" w:sz="0" w:space="0" w:color="auto"/>
      </w:divBdr>
      <w:divsChild>
        <w:div w:id="1216625091">
          <w:marLeft w:val="0"/>
          <w:marRight w:val="0"/>
          <w:marTop w:val="0"/>
          <w:marBottom w:val="0"/>
          <w:divBdr>
            <w:top w:val="none" w:sz="0" w:space="0" w:color="auto"/>
            <w:left w:val="none" w:sz="0" w:space="0" w:color="auto"/>
            <w:bottom w:val="none" w:sz="0" w:space="0" w:color="auto"/>
            <w:right w:val="none" w:sz="0" w:space="0" w:color="auto"/>
          </w:divBdr>
        </w:div>
        <w:div w:id="1099907517">
          <w:marLeft w:val="0"/>
          <w:marRight w:val="0"/>
          <w:marTop w:val="0"/>
          <w:marBottom w:val="0"/>
          <w:divBdr>
            <w:top w:val="none" w:sz="0" w:space="0" w:color="auto"/>
            <w:left w:val="none" w:sz="0" w:space="0" w:color="auto"/>
            <w:bottom w:val="none" w:sz="0" w:space="0" w:color="auto"/>
            <w:right w:val="none" w:sz="0" w:space="0" w:color="auto"/>
          </w:divBdr>
        </w:div>
      </w:divsChild>
    </w:div>
    <w:div w:id="183787680">
      <w:bodyDiv w:val="1"/>
      <w:marLeft w:val="0"/>
      <w:marRight w:val="0"/>
      <w:marTop w:val="0"/>
      <w:marBottom w:val="0"/>
      <w:divBdr>
        <w:top w:val="none" w:sz="0" w:space="0" w:color="auto"/>
        <w:left w:val="none" w:sz="0" w:space="0" w:color="auto"/>
        <w:bottom w:val="none" w:sz="0" w:space="0" w:color="auto"/>
        <w:right w:val="none" w:sz="0" w:space="0" w:color="auto"/>
      </w:divBdr>
    </w:div>
    <w:div w:id="312570143">
      <w:bodyDiv w:val="1"/>
      <w:marLeft w:val="0"/>
      <w:marRight w:val="0"/>
      <w:marTop w:val="0"/>
      <w:marBottom w:val="0"/>
      <w:divBdr>
        <w:top w:val="none" w:sz="0" w:space="0" w:color="auto"/>
        <w:left w:val="none" w:sz="0" w:space="0" w:color="auto"/>
        <w:bottom w:val="none" w:sz="0" w:space="0" w:color="auto"/>
        <w:right w:val="none" w:sz="0" w:space="0" w:color="auto"/>
      </w:divBdr>
    </w:div>
    <w:div w:id="313068127">
      <w:bodyDiv w:val="1"/>
      <w:marLeft w:val="0"/>
      <w:marRight w:val="0"/>
      <w:marTop w:val="0"/>
      <w:marBottom w:val="0"/>
      <w:divBdr>
        <w:top w:val="none" w:sz="0" w:space="0" w:color="auto"/>
        <w:left w:val="none" w:sz="0" w:space="0" w:color="auto"/>
        <w:bottom w:val="none" w:sz="0" w:space="0" w:color="auto"/>
        <w:right w:val="none" w:sz="0" w:space="0" w:color="auto"/>
      </w:divBdr>
    </w:div>
    <w:div w:id="538670712">
      <w:bodyDiv w:val="1"/>
      <w:marLeft w:val="0"/>
      <w:marRight w:val="0"/>
      <w:marTop w:val="0"/>
      <w:marBottom w:val="0"/>
      <w:divBdr>
        <w:top w:val="none" w:sz="0" w:space="0" w:color="auto"/>
        <w:left w:val="none" w:sz="0" w:space="0" w:color="auto"/>
        <w:bottom w:val="none" w:sz="0" w:space="0" w:color="auto"/>
        <w:right w:val="none" w:sz="0" w:space="0" w:color="auto"/>
      </w:divBdr>
    </w:div>
    <w:div w:id="609043452">
      <w:bodyDiv w:val="1"/>
      <w:marLeft w:val="0"/>
      <w:marRight w:val="0"/>
      <w:marTop w:val="0"/>
      <w:marBottom w:val="0"/>
      <w:divBdr>
        <w:top w:val="none" w:sz="0" w:space="0" w:color="auto"/>
        <w:left w:val="none" w:sz="0" w:space="0" w:color="auto"/>
        <w:bottom w:val="none" w:sz="0" w:space="0" w:color="auto"/>
        <w:right w:val="none" w:sz="0" w:space="0" w:color="auto"/>
      </w:divBdr>
    </w:div>
    <w:div w:id="621764264">
      <w:bodyDiv w:val="1"/>
      <w:marLeft w:val="0"/>
      <w:marRight w:val="0"/>
      <w:marTop w:val="0"/>
      <w:marBottom w:val="0"/>
      <w:divBdr>
        <w:top w:val="none" w:sz="0" w:space="0" w:color="auto"/>
        <w:left w:val="none" w:sz="0" w:space="0" w:color="auto"/>
        <w:bottom w:val="none" w:sz="0" w:space="0" w:color="auto"/>
        <w:right w:val="none" w:sz="0" w:space="0" w:color="auto"/>
      </w:divBdr>
    </w:div>
    <w:div w:id="648903985">
      <w:bodyDiv w:val="1"/>
      <w:marLeft w:val="0"/>
      <w:marRight w:val="0"/>
      <w:marTop w:val="0"/>
      <w:marBottom w:val="0"/>
      <w:divBdr>
        <w:top w:val="none" w:sz="0" w:space="0" w:color="auto"/>
        <w:left w:val="none" w:sz="0" w:space="0" w:color="auto"/>
        <w:bottom w:val="none" w:sz="0" w:space="0" w:color="auto"/>
        <w:right w:val="none" w:sz="0" w:space="0" w:color="auto"/>
      </w:divBdr>
    </w:div>
    <w:div w:id="663781205">
      <w:bodyDiv w:val="1"/>
      <w:marLeft w:val="0"/>
      <w:marRight w:val="0"/>
      <w:marTop w:val="0"/>
      <w:marBottom w:val="0"/>
      <w:divBdr>
        <w:top w:val="none" w:sz="0" w:space="0" w:color="auto"/>
        <w:left w:val="none" w:sz="0" w:space="0" w:color="auto"/>
        <w:bottom w:val="none" w:sz="0" w:space="0" w:color="auto"/>
        <w:right w:val="none" w:sz="0" w:space="0" w:color="auto"/>
      </w:divBdr>
    </w:div>
    <w:div w:id="718943166">
      <w:bodyDiv w:val="1"/>
      <w:marLeft w:val="0"/>
      <w:marRight w:val="0"/>
      <w:marTop w:val="0"/>
      <w:marBottom w:val="0"/>
      <w:divBdr>
        <w:top w:val="none" w:sz="0" w:space="0" w:color="auto"/>
        <w:left w:val="none" w:sz="0" w:space="0" w:color="auto"/>
        <w:bottom w:val="none" w:sz="0" w:space="0" w:color="auto"/>
        <w:right w:val="none" w:sz="0" w:space="0" w:color="auto"/>
      </w:divBdr>
      <w:divsChild>
        <w:div w:id="1110467826">
          <w:marLeft w:val="0"/>
          <w:marRight w:val="0"/>
          <w:marTop w:val="0"/>
          <w:marBottom w:val="0"/>
          <w:divBdr>
            <w:top w:val="none" w:sz="0" w:space="0" w:color="auto"/>
            <w:left w:val="none" w:sz="0" w:space="0" w:color="auto"/>
            <w:bottom w:val="none" w:sz="0" w:space="0" w:color="auto"/>
            <w:right w:val="none" w:sz="0" w:space="0" w:color="auto"/>
          </w:divBdr>
        </w:div>
        <w:div w:id="1003124455">
          <w:marLeft w:val="0"/>
          <w:marRight w:val="0"/>
          <w:marTop w:val="0"/>
          <w:marBottom w:val="0"/>
          <w:divBdr>
            <w:top w:val="none" w:sz="0" w:space="0" w:color="auto"/>
            <w:left w:val="none" w:sz="0" w:space="0" w:color="auto"/>
            <w:bottom w:val="none" w:sz="0" w:space="0" w:color="auto"/>
            <w:right w:val="none" w:sz="0" w:space="0" w:color="auto"/>
          </w:divBdr>
        </w:div>
        <w:div w:id="1547714877">
          <w:marLeft w:val="0"/>
          <w:marRight w:val="0"/>
          <w:marTop w:val="0"/>
          <w:marBottom w:val="0"/>
          <w:divBdr>
            <w:top w:val="none" w:sz="0" w:space="0" w:color="auto"/>
            <w:left w:val="none" w:sz="0" w:space="0" w:color="auto"/>
            <w:bottom w:val="none" w:sz="0" w:space="0" w:color="auto"/>
            <w:right w:val="none" w:sz="0" w:space="0" w:color="auto"/>
          </w:divBdr>
        </w:div>
        <w:div w:id="482088779">
          <w:marLeft w:val="0"/>
          <w:marRight w:val="0"/>
          <w:marTop w:val="0"/>
          <w:marBottom w:val="0"/>
          <w:divBdr>
            <w:top w:val="none" w:sz="0" w:space="0" w:color="auto"/>
            <w:left w:val="none" w:sz="0" w:space="0" w:color="auto"/>
            <w:bottom w:val="none" w:sz="0" w:space="0" w:color="auto"/>
            <w:right w:val="none" w:sz="0" w:space="0" w:color="auto"/>
          </w:divBdr>
        </w:div>
      </w:divsChild>
    </w:div>
    <w:div w:id="735320379">
      <w:bodyDiv w:val="1"/>
      <w:marLeft w:val="0"/>
      <w:marRight w:val="0"/>
      <w:marTop w:val="0"/>
      <w:marBottom w:val="0"/>
      <w:divBdr>
        <w:top w:val="none" w:sz="0" w:space="0" w:color="auto"/>
        <w:left w:val="none" w:sz="0" w:space="0" w:color="auto"/>
        <w:bottom w:val="none" w:sz="0" w:space="0" w:color="auto"/>
        <w:right w:val="none" w:sz="0" w:space="0" w:color="auto"/>
      </w:divBdr>
    </w:div>
    <w:div w:id="761872850">
      <w:bodyDiv w:val="1"/>
      <w:marLeft w:val="0"/>
      <w:marRight w:val="0"/>
      <w:marTop w:val="0"/>
      <w:marBottom w:val="0"/>
      <w:divBdr>
        <w:top w:val="none" w:sz="0" w:space="0" w:color="auto"/>
        <w:left w:val="none" w:sz="0" w:space="0" w:color="auto"/>
        <w:bottom w:val="none" w:sz="0" w:space="0" w:color="auto"/>
        <w:right w:val="none" w:sz="0" w:space="0" w:color="auto"/>
      </w:divBdr>
    </w:div>
    <w:div w:id="796679672">
      <w:bodyDiv w:val="1"/>
      <w:marLeft w:val="0"/>
      <w:marRight w:val="0"/>
      <w:marTop w:val="0"/>
      <w:marBottom w:val="0"/>
      <w:divBdr>
        <w:top w:val="none" w:sz="0" w:space="0" w:color="auto"/>
        <w:left w:val="none" w:sz="0" w:space="0" w:color="auto"/>
        <w:bottom w:val="none" w:sz="0" w:space="0" w:color="auto"/>
        <w:right w:val="none" w:sz="0" w:space="0" w:color="auto"/>
      </w:divBdr>
    </w:div>
    <w:div w:id="1024594389">
      <w:bodyDiv w:val="1"/>
      <w:marLeft w:val="0"/>
      <w:marRight w:val="0"/>
      <w:marTop w:val="0"/>
      <w:marBottom w:val="0"/>
      <w:divBdr>
        <w:top w:val="none" w:sz="0" w:space="0" w:color="auto"/>
        <w:left w:val="none" w:sz="0" w:space="0" w:color="auto"/>
        <w:bottom w:val="none" w:sz="0" w:space="0" w:color="auto"/>
        <w:right w:val="none" w:sz="0" w:space="0" w:color="auto"/>
      </w:divBdr>
    </w:div>
    <w:div w:id="1037849963">
      <w:bodyDiv w:val="1"/>
      <w:marLeft w:val="0"/>
      <w:marRight w:val="0"/>
      <w:marTop w:val="0"/>
      <w:marBottom w:val="0"/>
      <w:divBdr>
        <w:top w:val="none" w:sz="0" w:space="0" w:color="auto"/>
        <w:left w:val="none" w:sz="0" w:space="0" w:color="auto"/>
        <w:bottom w:val="none" w:sz="0" w:space="0" w:color="auto"/>
        <w:right w:val="none" w:sz="0" w:space="0" w:color="auto"/>
      </w:divBdr>
    </w:div>
    <w:div w:id="1144154238">
      <w:bodyDiv w:val="1"/>
      <w:marLeft w:val="0"/>
      <w:marRight w:val="0"/>
      <w:marTop w:val="0"/>
      <w:marBottom w:val="0"/>
      <w:divBdr>
        <w:top w:val="none" w:sz="0" w:space="0" w:color="auto"/>
        <w:left w:val="none" w:sz="0" w:space="0" w:color="auto"/>
        <w:bottom w:val="none" w:sz="0" w:space="0" w:color="auto"/>
        <w:right w:val="none" w:sz="0" w:space="0" w:color="auto"/>
      </w:divBdr>
    </w:div>
    <w:div w:id="1260334447">
      <w:bodyDiv w:val="1"/>
      <w:marLeft w:val="0"/>
      <w:marRight w:val="0"/>
      <w:marTop w:val="0"/>
      <w:marBottom w:val="0"/>
      <w:divBdr>
        <w:top w:val="none" w:sz="0" w:space="0" w:color="auto"/>
        <w:left w:val="none" w:sz="0" w:space="0" w:color="auto"/>
        <w:bottom w:val="none" w:sz="0" w:space="0" w:color="auto"/>
        <w:right w:val="none" w:sz="0" w:space="0" w:color="auto"/>
      </w:divBdr>
    </w:div>
    <w:div w:id="1303581066">
      <w:bodyDiv w:val="1"/>
      <w:marLeft w:val="0"/>
      <w:marRight w:val="0"/>
      <w:marTop w:val="0"/>
      <w:marBottom w:val="0"/>
      <w:divBdr>
        <w:top w:val="none" w:sz="0" w:space="0" w:color="auto"/>
        <w:left w:val="none" w:sz="0" w:space="0" w:color="auto"/>
        <w:bottom w:val="none" w:sz="0" w:space="0" w:color="auto"/>
        <w:right w:val="none" w:sz="0" w:space="0" w:color="auto"/>
      </w:divBdr>
      <w:divsChild>
        <w:div w:id="1926065893">
          <w:marLeft w:val="0"/>
          <w:marRight w:val="0"/>
          <w:marTop w:val="0"/>
          <w:marBottom w:val="0"/>
          <w:divBdr>
            <w:top w:val="none" w:sz="0" w:space="0" w:color="auto"/>
            <w:left w:val="none" w:sz="0" w:space="0" w:color="auto"/>
            <w:bottom w:val="none" w:sz="0" w:space="0" w:color="auto"/>
            <w:right w:val="none" w:sz="0" w:space="0" w:color="auto"/>
          </w:divBdr>
        </w:div>
        <w:div w:id="608925640">
          <w:marLeft w:val="0"/>
          <w:marRight w:val="0"/>
          <w:marTop w:val="0"/>
          <w:marBottom w:val="0"/>
          <w:divBdr>
            <w:top w:val="none" w:sz="0" w:space="0" w:color="auto"/>
            <w:left w:val="none" w:sz="0" w:space="0" w:color="auto"/>
            <w:bottom w:val="none" w:sz="0" w:space="0" w:color="auto"/>
            <w:right w:val="none" w:sz="0" w:space="0" w:color="auto"/>
          </w:divBdr>
        </w:div>
      </w:divsChild>
    </w:div>
    <w:div w:id="1366715374">
      <w:bodyDiv w:val="1"/>
      <w:marLeft w:val="0"/>
      <w:marRight w:val="0"/>
      <w:marTop w:val="0"/>
      <w:marBottom w:val="0"/>
      <w:divBdr>
        <w:top w:val="none" w:sz="0" w:space="0" w:color="auto"/>
        <w:left w:val="none" w:sz="0" w:space="0" w:color="auto"/>
        <w:bottom w:val="none" w:sz="0" w:space="0" w:color="auto"/>
        <w:right w:val="none" w:sz="0" w:space="0" w:color="auto"/>
      </w:divBdr>
    </w:div>
    <w:div w:id="1453551608">
      <w:bodyDiv w:val="1"/>
      <w:marLeft w:val="0"/>
      <w:marRight w:val="0"/>
      <w:marTop w:val="0"/>
      <w:marBottom w:val="0"/>
      <w:divBdr>
        <w:top w:val="none" w:sz="0" w:space="0" w:color="auto"/>
        <w:left w:val="none" w:sz="0" w:space="0" w:color="auto"/>
        <w:bottom w:val="none" w:sz="0" w:space="0" w:color="auto"/>
        <w:right w:val="none" w:sz="0" w:space="0" w:color="auto"/>
      </w:divBdr>
    </w:div>
    <w:div w:id="1482383273">
      <w:bodyDiv w:val="1"/>
      <w:marLeft w:val="0"/>
      <w:marRight w:val="0"/>
      <w:marTop w:val="0"/>
      <w:marBottom w:val="0"/>
      <w:divBdr>
        <w:top w:val="none" w:sz="0" w:space="0" w:color="auto"/>
        <w:left w:val="none" w:sz="0" w:space="0" w:color="auto"/>
        <w:bottom w:val="none" w:sz="0" w:space="0" w:color="auto"/>
        <w:right w:val="none" w:sz="0" w:space="0" w:color="auto"/>
      </w:divBdr>
      <w:divsChild>
        <w:div w:id="1891070356">
          <w:marLeft w:val="0"/>
          <w:marRight w:val="0"/>
          <w:marTop w:val="0"/>
          <w:marBottom w:val="0"/>
          <w:divBdr>
            <w:top w:val="none" w:sz="0" w:space="0" w:color="auto"/>
            <w:left w:val="none" w:sz="0" w:space="0" w:color="auto"/>
            <w:bottom w:val="none" w:sz="0" w:space="0" w:color="auto"/>
            <w:right w:val="none" w:sz="0" w:space="0" w:color="auto"/>
          </w:divBdr>
          <w:divsChild>
            <w:div w:id="261231900">
              <w:marLeft w:val="0"/>
              <w:marRight w:val="0"/>
              <w:marTop w:val="0"/>
              <w:marBottom w:val="0"/>
              <w:divBdr>
                <w:top w:val="none" w:sz="0" w:space="0" w:color="auto"/>
                <w:left w:val="none" w:sz="0" w:space="0" w:color="auto"/>
                <w:bottom w:val="none" w:sz="0" w:space="0" w:color="auto"/>
                <w:right w:val="none" w:sz="0" w:space="0" w:color="auto"/>
              </w:divBdr>
              <w:divsChild>
                <w:div w:id="10585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29915">
      <w:bodyDiv w:val="1"/>
      <w:marLeft w:val="0"/>
      <w:marRight w:val="0"/>
      <w:marTop w:val="0"/>
      <w:marBottom w:val="0"/>
      <w:divBdr>
        <w:top w:val="none" w:sz="0" w:space="0" w:color="auto"/>
        <w:left w:val="none" w:sz="0" w:space="0" w:color="auto"/>
        <w:bottom w:val="none" w:sz="0" w:space="0" w:color="auto"/>
        <w:right w:val="none" w:sz="0" w:space="0" w:color="auto"/>
      </w:divBdr>
    </w:div>
    <w:div w:id="1537306375">
      <w:bodyDiv w:val="1"/>
      <w:marLeft w:val="0"/>
      <w:marRight w:val="0"/>
      <w:marTop w:val="0"/>
      <w:marBottom w:val="0"/>
      <w:divBdr>
        <w:top w:val="none" w:sz="0" w:space="0" w:color="auto"/>
        <w:left w:val="none" w:sz="0" w:space="0" w:color="auto"/>
        <w:bottom w:val="none" w:sz="0" w:space="0" w:color="auto"/>
        <w:right w:val="none" w:sz="0" w:space="0" w:color="auto"/>
      </w:divBdr>
    </w:div>
    <w:div w:id="1671984916">
      <w:bodyDiv w:val="1"/>
      <w:marLeft w:val="0"/>
      <w:marRight w:val="0"/>
      <w:marTop w:val="0"/>
      <w:marBottom w:val="0"/>
      <w:divBdr>
        <w:top w:val="none" w:sz="0" w:space="0" w:color="auto"/>
        <w:left w:val="none" w:sz="0" w:space="0" w:color="auto"/>
        <w:bottom w:val="none" w:sz="0" w:space="0" w:color="auto"/>
        <w:right w:val="none" w:sz="0" w:space="0" w:color="auto"/>
      </w:divBdr>
    </w:div>
    <w:div w:id="1737045325">
      <w:bodyDiv w:val="1"/>
      <w:marLeft w:val="0"/>
      <w:marRight w:val="0"/>
      <w:marTop w:val="0"/>
      <w:marBottom w:val="0"/>
      <w:divBdr>
        <w:top w:val="none" w:sz="0" w:space="0" w:color="auto"/>
        <w:left w:val="none" w:sz="0" w:space="0" w:color="auto"/>
        <w:bottom w:val="none" w:sz="0" w:space="0" w:color="auto"/>
        <w:right w:val="none" w:sz="0" w:space="0" w:color="auto"/>
      </w:divBdr>
    </w:div>
    <w:div w:id="1956063161">
      <w:bodyDiv w:val="1"/>
      <w:marLeft w:val="0"/>
      <w:marRight w:val="0"/>
      <w:marTop w:val="0"/>
      <w:marBottom w:val="0"/>
      <w:divBdr>
        <w:top w:val="none" w:sz="0" w:space="0" w:color="auto"/>
        <w:left w:val="none" w:sz="0" w:space="0" w:color="auto"/>
        <w:bottom w:val="none" w:sz="0" w:space="0" w:color="auto"/>
        <w:right w:val="none" w:sz="0" w:space="0" w:color="auto"/>
      </w:divBdr>
    </w:div>
    <w:div w:id="2009552542">
      <w:bodyDiv w:val="1"/>
      <w:marLeft w:val="0"/>
      <w:marRight w:val="0"/>
      <w:marTop w:val="0"/>
      <w:marBottom w:val="0"/>
      <w:divBdr>
        <w:top w:val="none" w:sz="0" w:space="0" w:color="auto"/>
        <w:left w:val="none" w:sz="0" w:space="0" w:color="auto"/>
        <w:bottom w:val="none" w:sz="0" w:space="0" w:color="auto"/>
        <w:right w:val="none" w:sz="0" w:space="0" w:color="auto"/>
      </w:divBdr>
      <w:divsChild>
        <w:div w:id="323124544">
          <w:marLeft w:val="0"/>
          <w:marRight w:val="0"/>
          <w:marTop w:val="0"/>
          <w:marBottom w:val="0"/>
          <w:divBdr>
            <w:top w:val="none" w:sz="0" w:space="0" w:color="auto"/>
            <w:left w:val="none" w:sz="0" w:space="0" w:color="auto"/>
            <w:bottom w:val="none" w:sz="0" w:space="0" w:color="auto"/>
            <w:right w:val="none" w:sz="0" w:space="0" w:color="auto"/>
          </w:divBdr>
          <w:divsChild>
            <w:div w:id="1397624853">
              <w:marLeft w:val="0"/>
              <w:marRight w:val="0"/>
              <w:marTop w:val="0"/>
              <w:marBottom w:val="0"/>
              <w:divBdr>
                <w:top w:val="none" w:sz="0" w:space="0" w:color="auto"/>
                <w:left w:val="none" w:sz="0" w:space="0" w:color="auto"/>
                <w:bottom w:val="none" w:sz="0" w:space="0" w:color="auto"/>
                <w:right w:val="none" w:sz="0" w:space="0" w:color="auto"/>
              </w:divBdr>
            </w:div>
          </w:divsChild>
        </w:div>
        <w:div w:id="1758667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system/user_files/Documents/fv/FSV_Download.pdf" TargetMode="External"/><Relationship Id="rId13" Type="http://schemas.openxmlformats.org/officeDocument/2006/relationships/hyperlink" Target="mailto:pm@awava.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wava.org.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hw.gov.au/homelessness/specialist-homelessness-services-2015-16/clients-services-outcome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qualityrightsalliance.org.au/wp-content/uploads/2017/02/ERA-Pre-Budget-Submission-17-18-Final.pdf" TargetMode="External"/><Relationship Id="rId4" Type="http://schemas.openxmlformats.org/officeDocument/2006/relationships/settings" Target="settings.xml"/><Relationship Id="rId9" Type="http://schemas.openxmlformats.org/officeDocument/2006/relationships/hyperlink" Target="http://melbourneinstitute.unimelb.edu.au/__data/assets/pdf_file/0010/2437426/HILDA-SR-med-res.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melbourneinstitute.unimelb.edu.au/__data/assets/pdf_file/0010/2437426/HILDA-SR-med-res.pdf" TargetMode="External"/><Relationship Id="rId3" Type="http://schemas.openxmlformats.org/officeDocument/2006/relationships/hyperlink" Target="https://dh2wpaq0gtxwe.cloudfront.net/s3fs-public/BoD%20Horizons.pdf" TargetMode="External"/><Relationship Id="rId7" Type="http://schemas.openxmlformats.org/officeDocument/2006/relationships/hyperlink" Target="https://www.childrenbychoice.org.au/factsandfigures/reproductivecoercion" TargetMode="External"/><Relationship Id="rId2" Type="http://schemas.openxmlformats.org/officeDocument/2006/relationships/hyperlink" Target="http://media.aomx.com/anrows.org.au/s3fs-public/28%2010%2016%20BOD%20Compass.pdf" TargetMode="External"/><Relationship Id="rId1" Type="http://schemas.openxmlformats.org/officeDocument/2006/relationships/hyperlink" Target="https://consultations.health.gov.au/population-health-and-sport-division-1/establishing-a-national-womens-health-strategy/" TargetMode="External"/><Relationship Id="rId6" Type="http://schemas.openxmlformats.org/officeDocument/2006/relationships/hyperlink" Target="https://www.vic.gov.au/familyviolence/family-safety-victoria/industry-plan.html" TargetMode="External"/><Relationship Id="rId5" Type="http://schemas.openxmlformats.org/officeDocument/2006/relationships/hyperlink" Target="http://apps.who.int/iris/bitstream/handle/10665/77431/WHO_RHR_12.43_eng.pdf?sequence=1" TargetMode="External"/><Relationship Id="rId4" Type="http://schemas.openxmlformats.org/officeDocument/2006/relationships/hyperlink" Target="https://www.who.int/reproductivehealth/publications/violence/9789241548595/en/" TargetMode="External"/><Relationship Id="rId9" Type="http://schemas.openxmlformats.org/officeDocument/2006/relationships/hyperlink" Target="http://www.equalityrightsalliance.org.au/wp-content/uploads/2017/02/ERA-Pre-Budget-Submission-17-18-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2D392-AE2A-4BB4-980D-8197C358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2802</Words>
  <Characters>15974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User Org</Company>
  <LinksUpToDate>false</LinksUpToDate>
  <CharactersWithSpaces>18739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Policy Officer</dc:creator>
  <cp:keywords/>
  <dc:description/>
  <cp:lastModifiedBy>ProgramManager</cp:lastModifiedBy>
  <cp:revision>2</cp:revision>
  <cp:lastPrinted>2017-10-29T21:58:00Z</cp:lastPrinted>
  <dcterms:created xsi:type="dcterms:W3CDTF">2018-11-09T01:09:00Z</dcterms:created>
  <dcterms:modified xsi:type="dcterms:W3CDTF">2018-11-09T01:09:00Z</dcterms:modified>
</cp:coreProperties>
</file>