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7F03" w14:textId="09740AB5" w:rsidR="00186B5D" w:rsidRPr="00203EAF" w:rsidRDefault="00186B5D" w:rsidP="00186B5D">
      <w:pPr>
        <w:pStyle w:val="Title"/>
        <w:spacing w:before="120" w:after="120" w:line="276" w:lineRule="auto"/>
        <w:jc w:val="center"/>
        <w:rPr>
          <w:rFonts w:cstheme="majorHAnsi"/>
          <w:b/>
          <w:sz w:val="28"/>
          <w:szCs w:val="28"/>
        </w:rPr>
      </w:pPr>
      <w:r w:rsidRPr="00203EAF">
        <w:rPr>
          <w:rFonts w:cstheme="majorHAnsi"/>
          <w:b/>
          <w:sz w:val="28"/>
          <w:szCs w:val="28"/>
        </w:rPr>
        <w:t xml:space="preserve">Submission to the consultation on the development of the Fourth Action Plan </w:t>
      </w:r>
    </w:p>
    <w:p w14:paraId="4AB3727A" w14:textId="752E019E" w:rsidR="00186B5D" w:rsidRDefault="00203EAF" w:rsidP="00186B5D">
      <w:pPr>
        <w:pStyle w:val="Title"/>
        <w:spacing w:before="120" w:after="120" w:line="276" w:lineRule="auto"/>
        <w:jc w:val="center"/>
        <w:rPr>
          <w:rFonts w:cstheme="majorHAnsi"/>
          <w:b/>
          <w:sz w:val="28"/>
          <w:szCs w:val="28"/>
        </w:rPr>
      </w:pPr>
      <w:r w:rsidRPr="00203EAF">
        <w:rPr>
          <w:rFonts w:cstheme="majorHAnsi"/>
          <w:b/>
          <w:sz w:val="28"/>
          <w:szCs w:val="28"/>
        </w:rPr>
        <w:t xml:space="preserve">of </w:t>
      </w:r>
      <w:r w:rsidR="00186B5D" w:rsidRPr="00203EAF">
        <w:rPr>
          <w:rFonts w:cstheme="majorHAnsi"/>
          <w:b/>
          <w:sz w:val="28"/>
          <w:szCs w:val="28"/>
        </w:rPr>
        <w:t>the National Plan to Reduce Violence Against Women and their Children</w:t>
      </w:r>
    </w:p>
    <w:p w14:paraId="0100F22E" w14:textId="0F438BF5" w:rsidR="00431C21" w:rsidRPr="00431C21" w:rsidRDefault="00431C21" w:rsidP="00431C21">
      <w:pPr>
        <w:jc w:val="center"/>
      </w:pPr>
      <w:r>
        <w:rPr>
          <w:rFonts w:eastAsiaTheme="majorEastAsia" w:cstheme="majorHAnsi"/>
          <w:b/>
          <w:spacing w:val="-10"/>
          <w:kern w:val="28"/>
          <w:sz w:val="28"/>
          <w:szCs w:val="28"/>
        </w:rPr>
        <w:t>Su</w:t>
      </w:r>
      <w:r w:rsidRPr="00431C21">
        <w:rPr>
          <w:rFonts w:eastAsiaTheme="majorEastAsia" w:cstheme="majorHAnsi"/>
          <w:b/>
          <w:spacing w:val="-10"/>
          <w:kern w:val="28"/>
          <w:sz w:val="28"/>
          <w:szCs w:val="28"/>
        </w:rPr>
        <w:t>mmary</w:t>
      </w:r>
    </w:p>
    <w:p w14:paraId="269C1BA8" w14:textId="476E82DE" w:rsidR="00385F3D" w:rsidRPr="009D0FFE" w:rsidRDefault="00385F3D" w:rsidP="009D0FFE">
      <w:pPr>
        <w:jc w:val="center"/>
        <w:rPr>
          <w:b/>
        </w:rPr>
      </w:pPr>
      <w:r w:rsidRPr="009D0FFE">
        <w:rPr>
          <w:b/>
        </w:rPr>
        <w:t>21 September 2018</w:t>
      </w:r>
    </w:p>
    <w:p w14:paraId="613B8ABC" w14:textId="5B9C7A9C" w:rsidR="00186B5D" w:rsidRPr="00AD3ADE" w:rsidRDefault="00186B5D" w:rsidP="00186B5D">
      <w:pPr>
        <w:spacing w:before="120" w:after="120" w:line="240" w:lineRule="auto"/>
        <w:rPr>
          <w:rFonts w:cstheme="majorHAnsi"/>
        </w:rPr>
      </w:pPr>
      <w:r w:rsidRPr="00440E93">
        <w:rPr>
          <w:rFonts w:cstheme="majorHAnsi"/>
        </w:rPr>
        <w:t>We thank you for the opportunity to make a submission to the consultation on the development of the Fourth Action Plan of the National Plan to Reduce Violence against Women and their Children</w:t>
      </w:r>
      <w:r w:rsidR="00324A15">
        <w:rPr>
          <w:rFonts w:cstheme="majorHAnsi"/>
        </w:rPr>
        <w:t xml:space="preserve"> (the Fourth Action Plan)</w:t>
      </w:r>
      <w:r w:rsidRPr="00440E93">
        <w:rPr>
          <w:rFonts w:cstheme="majorHAnsi"/>
        </w:rPr>
        <w:t xml:space="preserve">. </w:t>
      </w:r>
      <w:r w:rsidR="00AD3ADE" w:rsidRPr="00EF6020">
        <w:t>This submission draws on the survey conducted by AWAVA in May-June 2018</w:t>
      </w:r>
      <w:r w:rsidR="00203EAF">
        <w:rPr>
          <w:rStyle w:val="FootnoteReference"/>
        </w:rPr>
        <w:footnoteReference w:id="1"/>
      </w:r>
      <w:r w:rsidR="00AD3ADE" w:rsidRPr="00EF6020">
        <w:t>, as well as AWAVA’s policy position</w:t>
      </w:r>
      <w:r w:rsidR="00041B3E">
        <w:t>s</w:t>
      </w:r>
      <w:r w:rsidR="00AD3ADE" w:rsidRPr="00BB2CCC">
        <w:t xml:space="preserve"> established</w:t>
      </w:r>
      <w:r w:rsidR="00041B3E">
        <w:t xml:space="preserve"> in consultation with our members and networks including peak bodies and other diverse organisations from every State and Territory in Australia </w:t>
      </w:r>
      <w:r w:rsidR="00AD3ADE" w:rsidRPr="00BB2CCC">
        <w:t xml:space="preserve">working </w:t>
      </w:r>
      <w:r w:rsidR="00041B3E">
        <w:t xml:space="preserve">in areas </w:t>
      </w:r>
      <w:r w:rsidR="00EF6020">
        <w:t xml:space="preserve">such as </w:t>
      </w:r>
      <w:r w:rsidR="00AD3ADE" w:rsidRPr="00BB2CCC">
        <w:t xml:space="preserve">domestic and family violence, sexual assault, </w:t>
      </w:r>
      <w:r w:rsidR="00041B3E">
        <w:t xml:space="preserve">legal assistance, and education. </w:t>
      </w:r>
    </w:p>
    <w:p w14:paraId="63EDB030" w14:textId="1D189F8C" w:rsidR="0023246F" w:rsidRPr="00EF6020" w:rsidRDefault="0023246F" w:rsidP="0023246F">
      <w:pPr>
        <w:spacing w:before="120" w:after="120" w:line="240" w:lineRule="auto"/>
      </w:pPr>
      <w:r w:rsidRPr="00EF6020">
        <w:t xml:space="preserve">The Fourth Action Plan is a milestone in the efforts to respond to violence against women in Australia. Being the last four-year plan of the 12-year timeframe, it represents a crucial opportunity for honest evaluation and thoughtful planning towards ongoing, consistent and well-resourced efforts to reduce and ultimately end violence against women. </w:t>
      </w:r>
    </w:p>
    <w:p w14:paraId="35338D57" w14:textId="0D8D680B" w:rsidR="0023246F" w:rsidRPr="00324A15" w:rsidRDefault="0023246F" w:rsidP="00324A15">
      <w:pPr>
        <w:tabs>
          <w:tab w:val="left" w:pos="720"/>
          <w:tab w:val="left" w:pos="851"/>
        </w:tabs>
        <w:spacing w:before="120" w:after="120" w:line="240" w:lineRule="auto"/>
      </w:pPr>
      <w:r w:rsidRPr="00EF6020">
        <w:t xml:space="preserve">The Fourth Action Plan background and evidence paper has put forward proposed priorities to be addressed. </w:t>
      </w:r>
      <w:r w:rsidRPr="00AD3ADE">
        <w:rPr>
          <w:rFonts w:cs="Arial"/>
        </w:rPr>
        <w:t xml:space="preserve">We commend the </w:t>
      </w:r>
      <w:r w:rsidR="00385F3D">
        <w:rPr>
          <w:rFonts w:cs="Arial"/>
        </w:rPr>
        <w:t xml:space="preserve">Department of Social Services (DSS) </w:t>
      </w:r>
      <w:r w:rsidRPr="00AD3ADE">
        <w:rPr>
          <w:rFonts w:cs="Arial"/>
        </w:rPr>
        <w:t xml:space="preserve">on the extensive list that covers a broad range of areas and continues much of the work already in progress. However, the priorities as articulated differ greatly in their level of specificity. For example, some priorities such as access to justice address large and complex systems whereas others such as addressing the impact of violence on children are quite targeted. For this reason, several of the priorities overlap in ways that might make it difficult to </w:t>
      </w:r>
      <w:r w:rsidR="00385F3D">
        <w:rPr>
          <w:rFonts w:cs="Arial"/>
        </w:rPr>
        <w:t>develop</w:t>
      </w:r>
      <w:r w:rsidRPr="00AD3ADE">
        <w:rPr>
          <w:rFonts w:cs="Arial"/>
        </w:rPr>
        <w:t xml:space="preserve"> specific a</w:t>
      </w:r>
      <w:r w:rsidRPr="00440E93">
        <w:rPr>
          <w:rFonts w:cs="Arial"/>
        </w:rPr>
        <w:t xml:space="preserve">ctions building towards larger goals. We would therefore like to offer an alternative structure that policy-makers might find useful in conceptualising the priority areas for the Fourth Action Plan, and </w:t>
      </w:r>
      <w:r w:rsidR="00EF6020">
        <w:rPr>
          <w:rFonts w:cs="Arial"/>
        </w:rPr>
        <w:t>working</w:t>
      </w:r>
      <w:r w:rsidR="00EF6020" w:rsidRPr="00440E93">
        <w:rPr>
          <w:rFonts w:cs="Arial"/>
        </w:rPr>
        <w:t xml:space="preserve"> </w:t>
      </w:r>
      <w:r w:rsidRPr="00440E93">
        <w:rPr>
          <w:rFonts w:cs="Arial"/>
        </w:rPr>
        <w:t xml:space="preserve">towards a second National Plan. </w:t>
      </w:r>
      <w:r w:rsidR="00324A15">
        <w:rPr>
          <w:rFonts w:cs="Arial"/>
        </w:rPr>
        <w:t xml:space="preserve">The matrix below outlines </w:t>
      </w:r>
      <w:r w:rsidR="00EE71A4">
        <w:rPr>
          <w:rFonts w:cs="Arial"/>
        </w:rPr>
        <w:t>this structure</w:t>
      </w:r>
      <w:r w:rsidR="00324A15">
        <w:rPr>
          <w:rFonts w:cs="Arial"/>
        </w:rPr>
        <w:t xml:space="preserve">. </w:t>
      </w:r>
    </w:p>
    <w:p w14:paraId="15C208E4" w14:textId="4D84D219" w:rsidR="0023246F" w:rsidRPr="00BB2CCC" w:rsidRDefault="0023246F" w:rsidP="0023246F">
      <w:pPr>
        <w:spacing w:before="120" w:after="120" w:line="240" w:lineRule="auto"/>
      </w:pPr>
      <w:r w:rsidRPr="00BB2CCC">
        <w:t xml:space="preserve">As shown in the </w:t>
      </w:r>
      <w:r w:rsidR="00385F3D">
        <w:t>matrix</w:t>
      </w:r>
      <w:r w:rsidR="00385F3D" w:rsidRPr="00BB2CCC">
        <w:t xml:space="preserve"> </w:t>
      </w:r>
      <w:r w:rsidRPr="00BB2CCC">
        <w:t>below, the</w:t>
      </w:r>
      <w:r w:rsidR="00EE71A4">
        <w:t xml:space="preserve"> structure</w:t>
      </w:r>
      <w:r w:rsidRPr="00BB2CCC">
        <w:t xml:space="preserve"> </w:t>
      </w:r>
      <w:r w:rsidR="00385F3D">
        <w:t>include</w:t>
      </w:r>
      <w:r w:rsidR="00EE71A4">
        <w:t>s</w:t>
      </w:r>
      <w:r w:rsidR="00385F3D" w:rsidRPr="00BB2CCC">
        <w:t xml:space="preserve"> </w:t>
      </w:r>
      <w:r w:rsidRPr="00BB2CCC">
        <w:t xml:space="preserve">the priorities put forward by </w:t>
      </w:r>
      <w:r w:rsidR="00385F3D">
        <w:t xml:space="preserve">DSS </w:t>
      </w:r>
      <w:r w:rsidRPr="00BB2CCC">
        <w:t>and point</w:t>
      </w:r>
      <w:r w:rsidR="004C1170">
        <w:t>s</w:t>
      </w:r>
      <w:r w:rsidRPr="00BB2CCC">
        <w:t xml:space="preserve"> to the gaps that require attention. </w:t>
      </w:r>
      <w:r w:rsidR="00EE71A4">
        <w:t xml:space="preserve">Each of the </w:t>
      </w:r>
      <w:r w:rsidRPr="00BB2CCC">
        <w:t xml:space="preserve">priority areas </w:t>
      </w:r>
      <w:r w:rsidR="00EE71A4">
        <w:t xml:space="preserve">identified </w:t>
      </w:r>
      <w:r w:rsidRPr="00BB2CCC">
        <w:t xml:space="preserve">comprise a number of </w:t>
      </w:r>
      <w:r w:rsidR="00385F3D">
        <w:t xml:space="preserve">more </w:t>
      </w:r>
      <w:r w:rsidRPr="00BB2CCC">
        <w:t>detailed measures</w:t>
      </w:r>
      <w:r w:rsidR="00385F3D">
        <w:t xml:space="preserve"> that are</w:t>
      </w:r>
      <w:r w:rsidRPr="00BB2CCC">
        <w:t xml:space="preserve"> outlined in the text of this submission. </w:t>
      </w:r>
    </w:p>
    <w:p w14:paraId="4FDBD4D7" w14:textId="14BA12A6" w:rsidR="0023246F" w:rsidRPr="00BB2CCC" w:rsidRDefault="0023246F" w:rsidP="0023246F">
      <w:pPr>
        <w:spacing w:before="120" w:after="120" w:line="240" w:lineRule="auto"/>
      </w:pPr>
      <w:r w:rsidRPr="00BB2CCC">
        <w:t xml:space="preserve">Legend to the </w:t>
      </w:r>
      <w:r w:rsidR="00A81A31" w:rsidRPr="00BB2CCC">
        <w:t>matrix</w:t>
      </w:r>
      <w:r w:rsidRPr="00BB2CCC">
        <w:t xml:space="preserve">: </w:t>
      </w:r>
    </w:p>
    <w:p w14:paraId="3F8116EB" w14:textId="7B7CEB4F" w:rsidR="0023246F" w:rsidRPr="00BB2CCC" w:rsidRDefault="0023246F" w:rsidP="0023246F">
      <w:pPr>
        <w:pStyle w:val="ListParagraph"/>
        <w:numPr>
          <w:ilvl w:val="0"/>
          <w:numId w:val="2"/>
        </w:numPr>
        <w:spacing w:before="120" w:after="120" w:line="240" w:lineRule="auto"/>
        <w:ind w:left="714" w:hanging="357"/>
      </w:pPr>
      <w:r w:rsidRPr="00BB2CCC">
        <w:t xml:space="preserve">The first column represents DSS-identified priorities (in black) and </w:t>
      </w:r>
      <w:r w:rsidR="00A81A31" w:rsidRPr="00BB2CCC">
        <w:t>areas that are</w:t>
      </w:r>
      <w:r w:rsidRPr="00BB2CCC">
        <w:t xml:space="preserve"> not yet or not sufficiently addressed </w:t>
      </w:r>
      <w:r w:rsidR="00385F3D">
        <w:t xml:space="preserve">by these priorities </w:t>
      </w:r>
      <w:r w:rsidRPr="00BB2CCC">
        <w:t xml:space="preserve">(in red). </w:t>
      </w:r>
      <w:r w:rsidR="00385F3D">
        <w:t>T</w:t>
      </w:r>
      <w:r w:rsidRPr="00BB2CCC">
        <w:t xml:space="preserve">ogether they represent the measures required to reduce and ultimately end violence against women. </w:t>
      </w:r>
    </w:p>
    <w:p w14:paraId="565914E7" w14:textId="025C3AED" w:rsidR="0023246F" w:rsidRPr="00BB2CCC" w:rsidRDefault="0023246F" w:rsidP="0023246F">
      <w:pPr>
        <w:pStyle w:val="ListParagraph"/>
        <w:numPr>
          <w:ilvl w:val="0"/>
          <w:numId w:val="2"/>
        </w:numPr>
        <w:spacing w:before="120" w:after="120" w:line="240" w:lineRule="auto"/>
        <w:ind w:left="714" w:hanging="357"/>
      </w:pPr>
      <w:r w:rsidRPr="00BB2CCC">
        <w:t xml:space="preserve">The second column represents AWAVA-identified </w:t>
      </w:r>
      <w:r w:rsidR="00EE71A4">
        <w:t>priority areas</w:t>
      </w:r>
      <w:r w:rsidR="00EE71A4" w:rsidRPr="00BB2CCC">
        <w:t xml:space="preserve"> </w:t>
      </w:r>
      <w:r w:rsidRPr="00BB2CCC">
        <w:t xml:space="preserve">that serve as overarching objectives. </w:t>
      </w:r>
    </w:p>
    <w:p w14:paraId="3283D276" w14:textId="77777777" w:rsidR="0023246F" w:rsidRPr="00BB2CCC" w:rsidRDefault="0023246F" w:rsidP="0023246F">
      <w:pPr>
        <w:pStyle w:val="ListParagraph"/>
        <w:numPr>
          <w:ilvl w:val="0"/>
          <w:numId w:val="2"/>
        </w:numPr>
        <w:spacing w:before="120" w:after="120" w:line="240" w:lineRule="auto"/>
        <w:ind w:left="714" w:hanging="357"/>
      </w:pPr>
      <w:r w:rsidRPr="00BB2CCC">
        <w:t>The last column represents principles that should underpin the Fourth Action Plan.</w:t>
      </w:r>
    </w:p>
    <w:p w14:paraId="25F68711" w14:textId="15EBD752" w:rsidR="0023246F" w:rsidRPr="00BB2CCC" w:rsidRDefault="0023246F" w:rsidP="000E7E01">
      <w:pPr>
        <w:pStyle w:val="ListParagraph"/>
        <w:numPr>
          <w:ilvl w:val="0"/>
          <w:numId w:val="2"/>
        </w:numPr>
        <w:spacing w:before="120" w:after="120" w:line="240" w:lineRule="auto"/>
        <w:ind w:left="714" w:hanging="357"/>
        <w:jc w:val="left"/>
      </w:pPr>
      <w:r w:rsidRPr="00BB2CCC">
        <w:t xml:space="preserve">The dotted purple frame indicates the necessity of sufficient levels of funding and resourcing. </w:t>
      </w:r>
      <w:r w:rsidRPr="00BB2CCC">
        <w:br w:type="page"/>
      </w:r>
    </w:p>
    <w:p w14:paraId="7DA863D3" w14:textId="2975FBCF" w:rsidR="0023246F" w:rsidRDefault="0023246F" w:rsidP="00E43620">
      <w:pPr>
        <w:pStyle w:val="Heading2"/>
        <w:numPr>
          <w:ilvl w:val="0"/>
          <w:numId w:val="0"/>
        </w:numPr>
        <w:rPr>
          <w:lang w:val="en-AU"/>
        </w:rPr>
      </w:pPr>
      <w:r w:rsidRPr="00BB2CCC">
        <w:rPr>
          <w:lang w:val="en-AU"/>
        </w:rPr>
        <w:lastRenderedPageBreak/>
        <w:t xml:space="preserve">Matrix of proposed priority areas by AWAVA </w:t>
      </w:r>
    </w:p>
    <w:p w14:paraId="61A9B167" w14:textId="2E49F803" w:rsidR="0023246F" w:rsidRPr="00BB2CCC" w:rsidRDefault="009D0FFE" w:rsidP="0023246F">
      <w:r w:rsidRPr="00AD3ADE">
        <w:rPr>
          <w:noProof/>
          <w:lang w:eastAsia="en-AU"/>
        </w:rPr>
        <mc:AlternateContent>
          <mc:Choice Requires="wps">
            <w:drawing>
              <wp:anchor distT="0" distB="0" distL="114300" distR="114300" simplePos="0" relativeHeight="251659264" behindDoc="1" locked="0" layoutInCell="1" allowOverlap="1" wp14:anchorId="04A9539E" wp14:editId="46D646CD">
                <wp:simplePos x="0" y="0"/>
                <wp:positionH relativeFrom="column">
                  <wp:posOffset>-152400</wp:posOffset>
                </wp:positionH>
                <wp:positionV relativeFrom="paragraph">
                  <wp:posOffset>165312</wp:posOffset>
                </wp:positionV>
                <wp:extent cx="6044989" cy="8407400"/>
                <wp:effectExtent l="12700" t="12700" r="13335" b="12700"/>
                <wp:wrapNone/>
                <wp:docPr id="1" name="Rectangle 1"/>
                <wp:cNvGraphicFramePr/>
                <a:graphic xmlns:a="http://schemas.openxmlformats.org/drawingml/2006/main">
                  <a:graphicData uri="http://schemas.microsoft.com/office/word/2010/wordprocessingShape">
                    <wps:wsp>
                      <wps:cNvSpPr/>
                      <wps:spPr>
                        <a:xfrm>
                          <a:off x="0" y="0"/>
                          <a:ext cx="6044989" cy="8407400"/>
                        </a:xfrm>
                        <a:prstGeom prst="rect">
                          <a:avLst/>
                        </a:prstGeom>
                        <a:ln w="28575">
                          <a:solidFill>
                            <a:srgbClr val="7030A0"/>
                          </a:solidFill>
                          <a:prstDash val="dash"/>
                        </a:ln>
                      </wps:spPr>
                      <wps:style>
                        <a:lnRef idx="2">
                          <a:schemeClr val="dk1"/>
                        </a:lnRef>
                        <a:fillRef idx="1">
                          <a:schemeClr val="lt1"/>
                        </a:fillRef>
                        <a:effectRef idx="0">
                          <a:schemeClr val="dk1"/>
                        </a:effectRef>
                        <a:fontRef idx="minor">
                          <a:schemeClr val="dk1"/>
                        </a:fontRef>
                      </wps:style>
                      <wps:txbx>
                        <w:txbxContent>
                          <w:p w14:paraId="09CF07C5" w14:textId="77777777" w:rsidR="009D0FFE" w:rsidRPr="00BB2CCC" w:rsidRDefault="009D0FFE" w:rsidP="009D0FF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539E" id="Rectangle 1" o:spid="_x0000_s1026" style="position:absolute;left:0;text-align:left;margin-left:-12pt;margin-top:13pt;width:476pt;height:6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" fillcolor="white [3201]" strokecolor="#7030a0" strokeweight="2.25pt">
                <v:stroke dashstyle="dash"/>
                <v:textbox>
                  <w:txbxContent>
                    <w:p w14:paraId="09CF07C5" w14:textId="77777777" w:rsidR="009D0FFE" w:rsidRPr="00BB2CCC" w:rsidRDefault="009D0FFE" w:rsidP="009D0FFE">
                      <w:pPr>
                        <w:jc w:val="center"/>
                        <w:rPr>
                          <w:lang w:val="en-US"/>
                        </w:rPr>
                      </w:pPr>
                    </w:p>
                  </w:txbxContent>
                </v:textbox>
              </v:rect>
            </w:pict>
          </mc:Fallback>
        </mc:AlternateContent>
      </w:r>
    </w:p>
    <w:tbl>
      <w:tblPr>
        <w:tblStyle w:val="TableGrid"/>
        <w:tblW w:w="90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842"/>
        <w:gridCol w:w="284"/>
        <w:gridCol w:w="1701"/>
      </w:tblGrid>
      <w:tr w:rsidR="00F23D05" w:rsidRPr="004A25DB" w14:paraId="57A2EAC7" w14:textId="77777777" w:rsidTr="009D0FFE">
        <w:tc>
          <w:tcPr>
            <w:tcW w:w="5245" w:type="dxa"/>
            <w:tcBorders>
              <w:top w:val="single" w:sz="12" w:space="0" w:color="7030A0"/>
              <w:left w:val="single" w:sz="12" w:space="0" w:color="7030A0"/>
              <w:bottom w:val="single" w:sz="12" w:space="0" w:color="7030A0"/>
            </w:tcBorders>
            <w:shd w:val="clear" w:color="auto" w:fill="auto"/>
          </w:tcPr>
          <w:p w14:paraId="0FB26A04" w14:textId="1EC256B6" w:rsidR="00F23D05" w:rsidRPr="004A25DB" w:rsidRDefault="00F23D05" w:rsidP="004A25DB">
            <w:pPr>
              <w:pStyle w:val="NoSpacing"/>
              <w:jc w:val="left"/>
              <w:rPr>
                <w:sz w:val="21"/>
                <w:szCs w:val="21"/>
              </w:rPr>
            </w:pPr>
            <w:r w:rsidRPr="004A25DB">
              <w:rPr>
                <w:sz w:val="21"/>
                <w:szCs w:val="21"/>
              </w:rPr>
              <w:t xml:space="preserve">Reducing violence against women and their children through prevention activities </w:t>
            </w:r>
          </w:p>
        </w:tc>
        <w:tc>
          <w:tcPr>
            <w:tcW w:w="1842" w:type="dxa"/>
            <w:tcBorders>
              <w:top w:val="single" w:sz="12" w:space="0" w:color="7030A0"/>
              <w:bottom w:val="single" w:sz="12" w:space="0" w:color="7030A0"/>
              <w:right w:val="single" w:sz="12" w:space="0" w:color="7030A0"/>
            </w:tcBorders>
            <w:shd w:val="clear" w:color="auto" w:fill="auto"/>
            <w:vAlign w:val="center"/>
          </w:tcPr>
          <w:p w14:paraId="4A99E183" w14:textId="5308FAF5" w:rsidR="00F23D05" w:rsidRPr="004A25DB" w:rsidRDefault="00345DC5" w:rsidP="004A25DB">
            <w:pPr>
              <w:pStyle w:val="NoSpacing"/>
              <w:jc w:val="left"/>
              <w:rPr>
                <w:b/>
                <w:sz w:val="21"/>
                <w:szCs w:val="21"/>
              </w:rPr>
            </w:pPr>
            <w:r>
              <w:rPr>
                <w:b/>
                <w:sz w:val="21"/>
                <w:szCs w:val="21"/>
              </w:rPr>
              <w:t>Approaches to End Violence against W</w:t>
            </w:r>
            <w:r w:rsidR="00F23D05" w:rsidRPr="004A25DB">
              <w:rPr>
                <w:b/>
                <w:sz w:val="21"/>
                <w:szCs w:val="21"/>
              </w:rPr>
              <w:t>omen</w:t>
            </w:r>
          </w:p>
        </w:tc>
        <w:tc>
          <w:tcPr>
            <w:tcW w:w="284" w:type="dxa"/>
            <w:vMerge w:val="restart"/>
            <w:tcBorders>
              <w:left w:val="single" w:sz="12" w:space="0" w:color="7030A0"/>
              <w:right w:val="dashSmallGap" w:sz="8" w:space="0" w:color="000000" w:themeColor="text1"/>
            </w:tcBorders>
            <w:shd w:val="clear" w:color="auto" w:fill="auto"/>
          </w:tcPr>
          <w:p w14:paraId="0C6D3210" w14:textId="77777777" w:rsidR="00F23D05" w:rsidRPr="004A25DB" w:rsidRDefault="00F23D05" w:rsidP="004A25DB">
            <w:pPr>
              <w:pStyle w:val="NoSpacing"/>
              <w:rPr>
                <w:sz w:val="21"/>
                <w:szCs w:val="21"/>
              </w:rPr>
            </w:pPr>
          </w:p>
        </w:tc>
        <w:tc>
          <w:tcPr>
            <w:tcW w:w="1701" w:type="dxa"/>
            <w:vMerge w:val="restart"/>
            <w:tcBorders>
              <w:top w:val="dashSmallGap" w:sz="2" w:space="0" w:color="000000" w:themeColor="text1"/>
              <w:left w:val="dashSmallGap" w:sz="8" w:space="0" w:color="000000" w:themeColor="text1"/>
              <w:right w:val="dashSmallGap" w:sz="8" w:space="0" w:color="000000" w:themeColor="text1"/>
            </w:tcBorders>
            <w:shd w:val="clear" w:color="auto" w:fill="auto"/>
            <w:vAlign w:val="center"/>
          </w:tcPr>
          <w:p w14:paraId="542650A0" w14:textId="6701A97B" w:rsidR="00F23D05" w:rsidRPr="004A25DB" w:rsidRDefault="00F23D05" w:rsidP="004A25DB">
            <w:pPr>
              <w:pStyle w:val="NoSpacing"/>
              <w:spacing w:before="120" w:after="120"/>
              <w:jc w:val="left"/>
              <w:rPr>
                <w:b/>
                <w:color w:val="7030A0"/>
                <w:sz w:val="21"/>
                <w:szCs w:val="21"/>
              </w:rPr>
            </w:pPr>
            <w:r w:rsidRPr="004A25DB">
              <w:rPr>
                <w:b/>
                <w:color w:val="7030A0"/>
                <w:sz w:val="21"/>
                <w:szCs w:val="21"/>
              </w:rPr>
              <w:t xml:space="preserve">√ </w:t>
            </w:r>
            <w:r w:rsidR="004C1170">
              <w:rPr>
                <w:b/>
                <w:color w:val="7030A0"/>
                <w:sz w:val="21"/>
                <w:szCs w:val="21"/>
              </w:rPr>
              <w:t>Recognises g</w:t>
            </w:r>
            <w:r w:rsidRPr="004A25DB">
              <w:rPr>
                <w:b/>
                <w:color w:val="7030A0"/>
                <w:sz w:val="21"/>
                <w:szCs w:val="21"/>
              </w:rPr>
              <w:t xml:space="preserve">ender inequality and other forms of oppression </w:t>
            </w:r>
            <w:r w:rsidR="004C1170">
              <w:rPr>
                <w:b/>
                <w:color w:val="7030A0"/>
                <w:sz w:val="21"/>
                <w:szCs w:val="21"/>
              </w:rPr>
              <w:t xml:space="preserve">as </w:t>
            </w:r>
            <w:r w:rsidRPr="004A25DB">
              <w:rPr>
                <w:b/>
                <w:color w:val="7030A0"/>
                <w:sz w:val="21"/>
                <w:szCs w:val="21"/>
              </w:rPr>
              <w:t>the main driver of VAW</w:t>
            </w:r>
          </w:p>
          <w:p w14:paraId="5CEFE889" w14:textId="45CFB7B6" w:rsidR="00F23D05" w:rsidRPr="004A25DB" w:rsidRDefault="00F23D05" w:rsidP="004A25DB">
            <w:pPr>
              <w:pStyle w:val="NoSpacing"/>
              <w:spacing w:before="120" w:after="120"/>
              <w:jc w:val="left"/>
              <w:rPr>
                <w:b/>
                <w:color w:val="7030A0"/>
                <w:sz w:val="21"/>
                <w:szCs w:val="21"/>
              </w:rPr>
            </w:pPr>
            <w:r w:rsidRPr="004A25DB">
              <w:rPr>
                <w:b/>
                <w:color w:val="7030A0"/>
                <w:sz w:val="21"/>
                <w:szCs w:val="21"/>
              </w:rPr>
              <w:t xml:space="preserve">√ </w:t>
            </w:r>
            <w:r w:rsidR="00C13253">
              <w:rPr>
                <w:b/>
                <w:color w:val="7030A0"/>
                <w:sz w:val="21"/>
                <w:szCs w:val="21"/>
              </w:rPr>
              <w:t>Recognises</w:t>
            </w:r>
            <w:r w:rsidRPr="004A25DB">
              <w:rPr>
                <w:b/>
                <w:color w:val="7030A0"/>
                <w:sz w:val="21"/>
                <w:szCs w:val="21"/>
              </w:rPr>
              <w:t xml:space="preserve"> the role of specialist women’s services</w:t>
            </w:r>
          </w:p>
          <w:p w14:paraId="7AB8A483"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xml:space="preserve">√ Recognises diversity </w:t>
            </w:r>
          </w:p>
          <w:p w14:paraId="188C2024"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Intersectional</w:t>
            </w:r>
          </w:p>
          <w:p w14:paraId="52B9C3F1"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Culturally competent</w:t>
            </w:r>
          </w:p>
          <w:p w14:paraId="3B9EDD9A"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Inclusive</w:t>
            </w:r>
          </w:p>
          <w:p w14:paraId="58A829BF"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Sustainable</w:t>
            </w:r>
          </w:p>
          <w:p w14:paraId="46566532"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Ongoing</w:t>
            </w:r>
          </w:p>
          <w:p w14:paraId="7B74FCB6"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Transparent</w:t>
            </w:r>
          </w:p>
          <w:p w14:paraId="520FD23E"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Collaborative</w:t>
            </w:r>
          </w:p>
          <w:p w14:paraId="440185BD"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Accounts for regional, rural and remote locality</w:t>
            </w:r>
          </w:p>
          <w:p w14:paraId="09748F1C" w14:textId="77777777" w:rsidR="00F23D05" w:rsidRPr="004A25DB" w:rsidRDefault="00F23D05" w:rsidP="004A25DB">
            <w:pPr>
              <w:pStyle w:val="NoSpacing"/>
              <w:spacing w:before="120" w:after="120"/>
              <w:jc w:val="left"/>
              <w:rPr>
                <w:b/>
                <w:color w:val="7030A0"/>
                <w:sz w:val="21"/>
                <w:szCs w:val="21"/>
              </w:rPr>
            </w:pPr>
            <w:r w:rsidRPr="004A25DB">
              <w:rPr>
                <w:b/>
                <w:color w:val="7030A0"/>
                <w:sz w:val="21"/>
                <w:szCs w:val="21"/>
              </w:rPr>
              <w:t xml:space="preserve">√ Centres the voices of victims/survivors </w:t>
            </w:r>
          </w:p>
        </w:tc>
      </w:tr>
      <w:tr w:rsidR="00F23D05" w:rsidRPr="004A25DB" w14:paraId="6DBD6DC8" w14:textId="77777777" w:rsidTr="009D0FFE">
        <w:trPr>
          <w:trHeight w:val="135"/>
        </w:trPr>
        <w:tc>
          <w:tcPr>
            <w:tcW w:w="5245" w:type="dxa"/>
            <w:tcBorders>
              <w:top w:val="single" w:sz="12" w:space="0" w:color="7030A0"/>
              <w:bottom w:val="single" w:sz="12" w:space="0" w:color="0070C0"/>
            </w:tcBorders>
            <w:shd w:val="clear" w:color="auto" w:fill="auto"/>
          </w:tcPr>
          <w:p w14:paraId="2015CAAF" w14:textId="03C6F6D6" w:rsidR="00F23D05" w:rsidRPr="004A25DB" w:rsidRDefault="00F23D05" w:rsidP="004A25DB">
            <w:pPr>
              <w:pStyle w:val="NoSpacing"/>
              <w:jc w:val="left"/>
              <w:rPr>
                <w:sz w:val="21"/>
                <w:szCs w:val="21"/>
              </w:rPr>
            </w:pPr>
          </w:p>
        </w:tc>
        <w:tc>
          <w:tcPr>
            <w:tcW w:w="1842" w:type="dxa"/>
            <w:tcBorders>
              <w:top w:val="single" w:sz="12" w:space="0" w:color="7030A0"/>
              <w:bottom w:val="single" w:sz="12" w:space="0" w:color="0070C0"/>
            </w:tcBorders>
            <w:shd w:val="clear" w:color="auto" w:fill="auto"/>
          </w:tcPr>
          <w:p w14:paraId="7F0D4EBF" w14:textId="77777777" w:rsidR="00F23D05" w:rsidRPr="004A25DB" w:rsidRDefault="00F23D05" w:rsidP="004A25DB">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3C92F7EA"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6D3D8FAA" w14:textId="77777777" w:rsidR="00F23D05" w:rsidRPr="004A25DB" w:rsidRDefault="00F23D05" w:rsidP="004A25DB">
            <w:pPr>
              <w:pStyle w:val="NoSpacing"/>
              <w:rPr>
                <w:sz w:val="21"/>
                <w:szCs w:val="21"/>
              </w:rPr>
            </w:pPr>
          </w:p>
        </w:tc>
      </w:tr>
      <w:tr w:rsidR="00F23D05" w:rsidRPr="004A25DB" w14:paraId="50FA2B26" w14:textId="77777777" w:rsidTr="009D0FFE">
        <w:trPr>
          <w:trHeight w:val="339"/>
        </w:trPr>
        <w:tc>
          <w:tcPr>
            <w:tcW w:w="5245" w:type="dxa"/>
            <w:tcBorders>
              <w:top w:val="single" w:sz="12" w:space="0" w:color="0070C0"/>
              <w:left w:val="single" w:sz="12" w:space="0" w:color="0070C0"/>
              <w:bottom w:val="single" w:sz="4" w:space="0" w:color="6699FF"/>
            </w:tcBorders>
            <w:shd w:val="clear" w:color="auto" w:fill="auto"/>
          </w:tcPr>
          <w:p w14:paraId="172989C5" w14:textId="36E44D48" w:rsidR="00F23D05" w:rsidRPr="004A25DB" w:rsidRDefault="00F23D05" w:rsidP="00EE71A4">
            <w:pPr>
              <w:pStyle w:val="NoSpacing"/>
              <w:rPr>
                <w:sz w:val="21"/>
                <w:szCs w:val="21"/>
              </w:rPr>
            </w:pPr>
            <w:r w:rsidRPr="004A25DB">
              <w:rPr>
                <w:sz w:val="21"/>
                <w:szCs w:val="21"/>
              </w:rPr>
              <w:t xml:space="preserve">Addressing violence against Aboriginal and Torres Strait Islander </w:t>
            </w:r>
            <w:r w:rsidR="00EE71A4">
              <w:rPr>
                <w:sz w:val="21"/>
                <w:szCs w:val="21"/>
              </w:rPr>
              <w:t>women</w:t>
            </w:r>
            <w:r w:rsidR="00EE71A4" w:rsidRPr="004A25DB">
              <w:rPr>
                <w:sz w:val="21"/>
                <w:szCs w:val="21"/>
              </w:rPr>
              <w:t xml:space="preserve"> </w:t>
            </w:r>
          </w:p>
        </w:tc>
        <w:tc>
          <w:tcPr>
            <w:tcW w:w="1842" w:type="dxa"/>
            <w:vMerge w:val="restart"/>
            <w:tcBorders>
              <w:top w:val="single" w:sz="12" w:space="0" w:color="0070C0"/>
              <w:right w:val="single" w:sz="12" w:space="0" w:color="0070C0"/>
            </w:tcBorders>
            <w:shd w:val="clear" w:color="auto" w:fill="auto"/>
            <w:vAlign w:val="center"/>
          </w:tcPr>
          <w:p w14:paraId="2F9704A3" w14:textId="77777777" w:rsidR="00F23D05" w:rsidRPr="004A25DB" w:rsidRDefault="00F23D05" w:rsidP="004A25DB">
            <w:pPr>
              <w:pStyle w:val="NoSpacing"/>
              <w:jc w:val="left"/>
              <w:rPr>
                <w:b/>
                <w:sz w:val="21"/>
                <w:szCs w:val="21"/>
              </w:rPr>
            </w:pPr>
            <w:r w:rsidRPr="004A25DB">
              <w:rPr>
                <w:b/>
                <w:sz w:val="21"/>
                <w:szCs w:val="21"/>
              </w:rPr>
              <w:t>Addressing Violence against Diverse Groups of Women &amp; Children</w:t>
            </w:r>
          </w:p>
          <w:p w14:paraId="4F99B249"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565988E3"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43E55BA9" w14:textId="77777777" w:rsidR="00F23D05" w:rsidRPr="004A25DB" w:rsidRDefault="00F23D05" w:rsidP="004A25DB">
            <w:pPr>
              <w:pStyle w:val="NoSpacing"/>
              <w:rPr>
                <w:sz w:val="21"/>
                <w:szCs w:val="21"/>
              </w:rPr>
            </w:pPr>
          </w:p>
        </w:tc>
      </w:tr>
      <w:tr w:rsidR="00F23D05" w:rsidRPr="004A25DB" w14:paraId="4AF631F5" w14:textId="77777777" w:rsidTr="009D0FFE">
        <w:trPr>
          <w:trHeight w:val="337"/>
        </w:trPr>
        <w:tc>
          <w:tcPr>
            <w:tcW w:w="5245" w:type="dxa"/>
            <w:tcBorders>
              <w:top w:val="single" w:sz="4" w:space="0" w:color="6699FF"/>
              <w:left w:val="single" w:sz="12" w:space="0" w:color="0070C0"/>
              <w:bottom w:val="single" w:sz="4" w:space="0" w:color="6699FF"/>
            </w:tcBorders>
            <w:shd w:val="clear" w:color="auto" w:fill="auto"/>
          </w:tcPr>
          <w:p w14:paraId="285638F5" w14:textId="0BBBFACE" w:rsidR="00F23D05" w:rsidRPr="004A25DB" w:rsidRDefault="00F23D05" w:rsidP="004A25DB">
            <w:pPr>
              <w:pStyle w:val="NoSpacing"/>
              <w:jc w:val="left"/>
              <w:rPr>
                <w:sz w:val="21"/>
                <w:szCs w:val="21"/>
              </w:rPr>
            </w:pPr>
            <w:r w:rsidRPr="004A25DB">
              <w:rPr>
                <w:sz w:val="21"/>
                <w:szCs w:val="21"/>
              </w:rPr>
              <w:t>Addressing violence against women from culturally and linguistically diverse communities</w:t>
            </w:r>
          </w:p>
        </w:tc>
        <w:tc>
          <w:tcPr>
            <w:tcW w:w="1842" w:type="dxa"/>
            <w:vMerge/>
            <w:tcBorders>
              <w:right w:val="single" w:sz="12" w:space="0" w:color="0070C0"/>
            </w:tcBorders>
            <w:shd w:val="clear" w:color="auto" w:fill="auto"/>
          </w:tcPr>
          <w:p w14:paraId="0ED3D4EA"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6F9BDA8A"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491BCF8D" w14:textId="77777777" w:rsidR="00F23D05" w:rsidRPr="004A25DB" w:rsidRDefault="00F23D05" w:rsidP="004A25DB">
            <w:pPr>
              <w:pStyle w:val="NoSpacing"/>
              <w:rPr>
                <w:sz w:val="21"/>
                <w:szCs w:val="21"/>
              </w:rPr>
            </w:pPr>
          </w:p>
        </w:tc>
      </w:tr>
      <w:tr w:rsidR="00F23D05" w:rsidRPr="004A25DB" w14:paraId="20BDF0F4" w14:textId="77777777" w:rsidTr="009D0FFE">
        <w:trPr>
          <w:trHeight w:val="239"/>
        </w:trPr>
        <w:tc>
          <w:tcPr>
            <w:tcW w:w="5245" w:type="dxa"/>
            <w:tcBorders>
              <w:top w:val="single" w:sz="4" w:space="0" w:color="6699FF"/>
              <w:left w:val="single" w:sz="12" w:space="0" w:color="0070C0"/>
              <w:bottom w:val="single" w:sz="4" w:space="0" w:color="6699FF"/>
            </w:tcBorders>
            <w:shd w:val="clear" w:color="auto" w:fill="auto"/>
          </w:tcPr>
          <w:p w14:paraId="61E766C2" w14:textId="771B1336" w:rsidR="00F23D05" w:rsidRPr="004A25DB" w:rsidRDefault="00F23D05" w:rsidP="004A25DB">
            <w:pPr>
              <w:pStyle w:val="NoSpacing"/>
              <w:jc w:val="left"/>
              <w:rPr>
                <w:sz w:val="21"/>
                <w:szCs w:val="21"/>
              </w:rPr>
            </w:pPr>
            <w:r w:rsidRPr="004A25DB">
              <w:rPr>
                <w:sz w:val="21"/>
                <w:szCs w:val="21"/>
              </w:rPr>
              <w:t>Addressing violence against women with disability</w:t>
            </w:r>
          </w:p>
        </w:tc>
        <w:tc>
          <w:tcPr>
            <w:tcW w:w="1842" w:type="dxa"/>
            <w:vMerge/>
            <w:tcBorders>
              <w:right w:val="single" w:sz="12" w:space="0" w:color="0070C0"/>
            </w:tcBorders>
            <w:shd w:val="clear" w:color="auto" w:fill="auto"/>
          </w:tcPr>
          <w:p w14:paraId="055E09C1"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03A8EC76"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028418F4" w14:textId="77777777" w:rsidR="00F23D05" w:rsidRPr="004A25DB" w:rsidRDefault="00F23D05" w:rsidP="004A25DB">
            <w:pPr>
              <w:pStyle w:val="NoSpacing"/>
              <w:rPr>
                <w:sz w:val="21"/>
                <w:szCs w:val="21"/>
              </w:rPr>
            </w:pPr>
          </w:p>
        </w:tc>
      </w:tr>
      <w:tr w:rsidR="00F23D05" w:rsidRPr="004A25DB" w14:paraId="7DC7A1F7" w14:textId="77777777" w:rsidTr="009D0FFE">
        <w:trPr>
          <w:trHeight w:val="271"/>
        </w:trPr>
        <w:tc>
          <w:tcPr>
            <w:tcW w:w="5245" w:type="dxa"/>
            <w:tcBorders>
              <w:top w:val="single" w:sz="4" w:space="0" w:color="6699FF"/>
              <w:left w:val="single" w:sz="12" w:space="0" w:color="0070C0"/>
              <w:bottom w:val="single" w:sz="4" w:space="0" w:color="6699FF"/>
            </w:tcBorders>
            <w:shd w:val="clear" w:color="auto" w:fill="auto"/>
          </w:tcPr>
          <w:p w14:paraId="31D18FD8" w14:textId="42184992" w:rsidR="00F23D05" w:rsidRPr="004A25DB" w:rsidRDefault="00F23D05" w:rsidP="004A25DB">
            <w:pPr>
              <w:pStyle w:val="NoSpacing"/>
              <w:rPr>
                <w:color w:val="FF0000"/>
                <w:sz w:val="21"/>
                <w:szCs w:val="21"/>
              </w:rPr>
            </w:pPr>
            <w:r w:rsidRPr="004A25DB">
              <w:rPr>
                <w:color w:val="FF0000"/>
                <w:sz w:val="21"/>
                <w:szCs w:val="21"/>
              </w:rPr>
              <w:t xml:space="preserve">Addressing violence against people who identify as LGBTIQ </w:t>
            </w:r>
          </w:p>
        </w:tc>
        <w:tc>
          <w:tcPr>
            <w:tcW w:w="1842" w:type="dxa"/>
            <w:vMerge/>
            <w:tcBorders>
              <w:right w:val="single" w:sz="12" w:space="0" w:color="0070C0"/>
            </w:tcBorders>
            <w:shd w:val="clear" w:color="auto" w:fill="auto"/>
          </w:tcPr>
          <w:p w14:paraId="4F881BB9"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339C6246"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1172D7A5" w14:textId="77777777" w:rsidR="00F23D05" w:rsidRPr="004A25DB" w:rsidRDefault="00F23D05" w:rsidP="004A25DB">
            <w:pPr>
              <w:pStyle w:val="NoSpacing"/>
              <w:rPr>
                <w:sz w:val="21"/>
                <w:szCs w:val="21"/>
              </w:rPr>
            </w:pPr>
          </w:p>
        </w:tc>
      </w:tr>
      <w:tr w:rsidR="00F23D05" w:rsidRPr="004A25DB" w14:paraId="1CC7AD41" w14:textId="77777777" w:rsidTr="009D0FFE">
        <w:tc>
          <w:tcPr>
            <w:tcW w:w="5245" w:type="dxa"/>
            <w:tcBorders>
              <w:top w:val="single" w:sz="4" w:space="0" w:color="6699FF"/>
              <w:left w:val="single" w:sz="12" w:space="0" w:color="0070C0"/>
              <w:bottom w:val="single" w:sz="4" w:space="0" w:color="6699FF"/>
            </w:tcBorders>
            <w:shd w:val="clear" w:color="auto" w:fill="auto"/>
          </w:tcPr>
          <w:p w14:paraId="6E9D7671" w14:textId="673659BB" w:rsidR="00F23D05" w:rsidRPr="004A25DB" w:rsidRDefault="00F23D05" w:rsidP="004A25DB">
            <w:pPr>
              <w:pStyle w:val="NoSpacing"/>
              <w:jc w:val="left"/>
              <w:rPr>
                <w:color w:val="FF0000"/>
                <w:sz w:val="21"/>
                <w:szCs w:val="21"/>
              </w:rPr>
            </w:pPr>
            <w:r w:rsidRPr="004A25DB">
              <w:rPr>
                <w:color w:val="FF0000"/>
                <w:sz w:val="21"/>
                <w:szCs w:val="21"/>
              </w:rPr>
              <w:t xml:space="preserve">Addressing violence against specific age groups of women </w:t>
            </w:r>
          </w:p>
        </w:tc>
        <w:tc>
          <w:tcPr>
            <w:tcW w:w="1842" w:type="dxa"/>
            <w:vMerge/>
            <w:tcBorders>
              <w:right w:val="single" w:sz="12" w:space="0" w:color="0070C0"/>
            </w:tcBorders>
            <w:shd w:val="clear" w:color="auto" w:fill="auto"/>
          </w:tcPr>
          <w:p w14:paraId="29D5B4AE"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068132C8"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2585E5A5" w14:textId="77777777" w:rsidR="00F23D05" w:rsidRPr="004A25DB" w:rsidRDefault="00F23D05" w:rsidP="004A25DB">
            <w:pPr>
              <w:pStyle w:val="NoSpacing"/>
              <w:rPr>
                <w:sz w:val="21"/>
                <w:szCs w:val="21"/>
              </w:rPr>
            </w:pPr>
          </w:p>
        </w:tc>
      </w:tr>
      <w:tr w:rsidR="00F23D05" w:rsidRPr="004A25DB" w14:paraId="7151F19C" w14:textId="77777777" w:rsidTr="009D0FFE">
        <w:tc>
          <w:tcPr>
            <w:tcW w:w="5245" w:type="dxa"/>
            <w:tcBorders>
              <w:top w:val="single" w:sz="4" w:space="0" w:color="6699FF"/>
              <w:left w:val="single" w:sz="12" w:space="0" w:color="0070C0"/>
              <w:bottom w:val="single" w:sz="4" w:space="0" w:color="6699FF"/>
            </w:tcBorders>
            <w:shd w:val="clear" w:color="auto" w:fill="auto"/>
          </w:tcPr>
          <w:p w14:paraId="334E66F0" w14:textId="302E6079" w:rsidR="00F23D05" w:rsidRPr="004A25DB" w:rsidRDefault="00F23D05" w:rsidP="004A25DB">
            <w:pPr>
              <w:pStyle w:val="NoSpacing"/>
              <w:rPr>
                <w:color w:val="FF0000"/>
                <w:sz w:val="21"/>
                <w:szCs w:val="21"/>
              </w:rPr>
            </w:pPr>
            <w:r w:rsidRPr="004A25DB">
              <w:rPr>
                <w:color w:val="FF0000"/>
                <w:sz w:val="21"/>
                <w:szCs w:val="21"/>
              </w:rPr>
              <w:t>Addressing violence against women living in financial hardship and/or poverty</w:t>
            </w:r>
          </w:p>
        </w:tc>
        <w:tc>
          <w:tcPr>
            <w:tcW w:w="1842" w:type="dxa"/>
            <w:vMerge/>
            <w:tcBorders>
              <w:right w:val="single" w:sz="12" w:space="0" w:color="0070C0"/>
            </w:tcBorders>
            <w:shd w:val="clear" w:color="auto" w:fill="auto"/>
          </w:tcPr>
          <w:p w14:paraId="61CFD43C"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7D0DF3D6"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1B50441E" w14:textId="77777777" w:rsidR="00F23D05" w:rsidRPr="004A25DB" w:rsidRDefault="00F23D05" w:rsidP="004A25DB">
            <w:pPr>
              <w:pStyle w:val="NoSpacing"/>
              <w:rPr>
                <w:sz w:val="21"/>
                <w:szCs w:val="21"/>
              </w:rPr>
            </w:pPr>
          </w:p>
        </w:tc>
      </w:tr>
      <w:tr w:rsidR="00F23D05" w:rsidRPr="004A25DB" w14:paraId="3ACE59BD" w14:textId="77777777" w:rsidTr="009D0FFE">
        <w:tc>
          <w:tcPr>
            <w:tcW w:w="5245" w:type="dxa"/>
            <w:tcBorders>
              <w:top w:val="single" w:sz="4" w:space="0" w:color="6699FF"/>
              <w:left w:val="single" w:sz="12" w:space="0" w:color="0070C0"/>
              <w:bottom w:val="single" w:sz="4" w:space="0" w:color="6699FF"/>
            </w:tcBorders>
            <w:shd w:val="clear" w:color="auto" w:fill="auto"/>
          </w:tcPr>
          <w:p w14:paraId="6FAEEF25" w14:textId="4575BD9F" w:rsidR="00F23D05" w:rsidRPr="004A25DB" w:rsidRDefault="00F23D05" w:rsidP="004A25DB">
            <w:pPr>
              <w:pStyle w:val="NoSpacing"/>
              <w:rPr>
                <w:color w:val="FF0000"/>
                <w:sz w:val="21"/>
                <w:szCs w:val="21"/>
              </w:rPr>
            </w:pPr>
            <w:r w:rsidRPr="004A25DB">
              <w:rPr>
                <w:color w:val="FF0000"/>
                <w:sz w:val="21"/>
                <w:szCs w:val="21"/>
              </w:rPr>
              <w:t>Addressing violence against women the sex industry</w:t>
            </w:r>
          </w:p>
        </w:tc>
        <w:tc>
          <w:tcPr>
            <w:tcW w:w="1842" w:type="dxa"/>
            <w:vMerge/>
            <w:tcBorders>
              <w:right w:val="single" w:sz="12" w:space="0" w:color="0070C0"/>
            </w:tcBorders>
            <w:shd w:val="clear" w:color="auto" w:fill="auto"/>
          </w:tcPr>
          <w:p w14:paraId="251959DA"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5898B9F7"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7623144A" w14:textId="77777777" w:rsidR="00F23D05" w:rsidRPr="004A25DB" w:rsidRDefault="00F23D05" w:rsidP="004A25DB">
            <w:pPr>
              <w:pStyle w:val="NoSpacing"/>
              <w:rPr>
                <w:sz w:val="21"/>
                <w:szCs w:val="21"/>
              </w:rPr>
            </w:pPr>
          </w:p>
        </w:tc>
      </w:tr>
      <w:tr w:rsidR="00F23D05" w:rsidRPr="004A25DB" w14:paraId="47B1734C" w14:textId="77777777" w:rsidTr="009D0FFE">
        <w:tc>
          <w:tcPr>
            <w:tcW w:w="5245" w:type="dxa"/>
            <w:tcBorders>
              <w:top w:val="single" w:sz="4" w:space="0" w:color="6699FF"/>
              <w:left w:val="single" w:sz="12" w:space="0" w:color="0070C0"/>
              <w:bottom w:val="single" w:sz="4" w:space="0" w:color="6699FF"/>
            </w:tcBorders>
            <w:shd w:val="clear" w:color="auto" w:fill="auto"/>
          </w:tcPr>
          <w:p w14:paraId="19556F12" w14:textId="5621BCE4" w:rsidR="00F23D05" w:rsidRPr="004A25DB" w:rsidRDefault="00F23D05" w:rsidP="004A25DB">
            <w:pPr>
              <w:pStyle w:val="NoSpacing"/>
              <w:rPr>
                <w:color w:val="FF0000"/>
                <w:sz w:val="21"/>
                <w:szCs w:val="21"/>
              </w:rPr>
            </w:pPr>
            <w:r w:rsidRPr="004A25DB">
              <w:rPr>
                <w:color w:val="FF0000"/>
                <w:sz w:val="21"/>
                <w:szCs w:val="21"/>
              </w:rPr>
              <w:t>Addressing violence against women in prisons</w:t>
            </w:r>
          </w:p>
        </w:tc>
        <w:tc>
          <w:tcPr>
            <w:tcW w:w="1842" w:type="dxa"/>
            <w:vMerge/>
            <w:tcBorders>
              <w:right w:val="single" w:sz="12" w:space="0" w:color="0070C0"/>
            </w:tcBorders>
            <w:shd w:val="clear" w:color="auto" w:fill="auto"/>
          </w:tcPr>
          <w:p w14:paraId="7D92BCFC"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0168F946"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332FB14C" w14:textId="77777777" w:rsidR="00F23D05" w:rsidRPr="004A25DB" w:rsidRDefault="00F23D05" w:rsidP="004A25DB">
            <w:pPr>
              <w:pStyle w:val="NoSpacing"/>
              <w:rPr>
                <w:sz w:val="21"/>
                <w:szCs w:val="21"/>
              </w:rPr>
            </w:pPr>
          </w:p>
        </w:tc>
      </w:tr>
      <w:tr w:rsidR="00F23D05" w:rsidRPr="004A25DB" w14:paraId="43381E9F" w14:textId="77777777" w:rsidTr="009D0FFE">
        <w:tc>
          <w:tcPr>
            <w:tcW w:w="5245" w:type="dxa"/>
            <w:tcBorders>
              <w:top w:val="single" w:sz="4" w:space="0" w:color="6699FF"/>
              <w:left w:val="single" w:sz="12" w:space="0" w:color="0070C0"/>
              <w:bottom w:val="single" w:sz="12" w:space="0" w:color="0070C0"/>
            </w:tcBorders>
            <w:shd w:val="clear" w:color="auto" w:fill="auto"/>
          </w:tcPr>
          <w:p w14:paraId="7DA102E9" w14:textId="47E5626C" w:rsidR="00F23D05" w:rsidRPr="004A25DB" w:rsidRDefault="00F23D05" w:rsidP="004A25DB">
            <w:pPr>
              <w:pStyle w:val="NoSpacing"/>
              <w:jc w:val="left"/>
              <w:rPr>
                <w:sz w:val="21"/>
                <w:szCs w:val="21"/>
              </w:rPr>
            </w:pPr>
            <w:r w:rsidRPr="004A25DB">
              <w:rPr>
                <w:sz w:val="21"/>
                <w:szCs w:val="21"/>
              </w:rPr>
              <w:t>Responding to the impact of family and domestic violence on children</w:t>
            </w:r>
          </w:p>
        </w:tc>
        <w:tc>
          <w:tcPr>
            <w:tcW w:w="1842" w:type="dxa"/>
            <w:vMerge/>
            <w:tcBorders>
              <w:bottom w:val="single" w:sz="12" w:space="0" w:color="0070C0"/>
              <w:right w:val="single" w:sz="12" w:space="0" w:color="0070C0"/>
            </w:tcBorders>
            <w:shd w:val="clear" w:color="auto" w:fill="auto"/>
          </w:tcPr>
          <w:p w14:paraId="24F99424" w14:textId="77777777" w:rsidR="00F23D05" w:rsidRPr="004A25DB" w:rsidRDefault="00F23D05" w:rsidP="004A25DB">
            <w:pPr>
              <w:pStyle w:val="NoSpacing"/>
              <w:jc w:val="left"/>
              <w:rPr>
                <w:b/>
                <w:sz w:val="21"/>
                <w:szCs w:val="21"/>
              </w:rPr>
            </w:pPr>
          </w:p>
        </w:tc>
        <w:tc>
          <w:tcPr>
            <w:tcW w:w="284" w:type="dxa"/>
            <w:vMerge/>
            <w:tcBorders>
              <w:left w:val="single" w:sz="12" w:space="0" w:color="0070C0"/>
              <w:right w:val="dashSmallGap" w:sz="8" w:space="0" w:color="000000" w:themeColor="text1"/>
            </w:tcBorders>
            <w:shd w:val="clear" w:color="auto" w:fill="auto"/>
          </w:tcPr>
          <w:p w14:paraId="15B4E759"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581BF2A2" w14:textId="77777777" w:rsidR="00F23D05" w:rsidRPr="004A25DB" w:rsidRDefault="00F23D05" w:rsidP="004A25DB">
            <w:pPr>
              <w:pStyle w:val="NoSpacing"/>
              <w:rPr>
                <w:sz w:val="21"/>
                <w:szCs w:val="21"/>
              </w:rPr>
            </w:pPr>
          </w:p>
        </w:tc>
      </w:tr>
      <w:tr w:rsidR="00F23D05" w:rsidRPr="004A25DB" w14:paraId="2FA76799" w14:textId="77777777" w:rsidTr="009D0FFE">
        <w:tc>
          <w:tcPr>
            <w:tcW w:w="5245" w:type="dxa"/>
            <w:tcBorders>
              <w:top w:val="single" w:sz="12" w:space="0" w:color="0070C0"/>
              <w:bottom w:val="single" w:sz="12" w:space="0" w:color="00B050"/>
            </w:tcBorders>
            <w:shd w:val="clear" w:color="auto" w:fill="auto"/>
          </w:tcPr>
          <w:p w14:paraId="5AFB9792" w14:textId="5FE46458" w:rsidR="00F23D05" w:rsidRPr="004A25DB" w:rsidRDefault="00F23D05" w:rsidP="004A25DB">
            <w:pPr>
              <w:pStyle w:val="NoSpacing"/>
              <w:jc w:val="left"/>
              <w:rPr>
                <w:sz w:val="21"/>
                <w:szCs w:val="21"/>
              </w:rPr>
            </w:pPr>
          </w:p>
        </w:tc>
        <w:tc>
          <w:tcPr>
            <w:tcW w:w="1842" w:type="dxa"/>
            <w:tcBorders>
              <w:top w:val="single" w:sz="12" w:space="0" w:color="0070C0"/>
              <w:bottom w:val="single" w:sz="12" w:space="0" w:color="00B050"/>
            </w:tcBorders>
            <w:shd w:val="clear" w:color="auto" w:fill="auto"/>
          </w:tcPr>
          <w:p w14:paraId="00F2A5C4" w14:textId="77777777" w:rsidR="00F23D05" w:rsidRPr="004A25DB" w:rsidRDefault="00F23D05" w:rsidP="004A25DB">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77CE0EFD"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3722085B" w14:textId="77777777" w:rsidR="00F23D05" w:rsidRPr="004A25DB" w:rsidRDefault="00F23D05" w:rsidP="004A25DB">
            <w:pPr>
              <w:pStyle w:val="NoSpacing"/>
              <w:rPr>
                <w:sz w:val="21"/>
                <w:szCs w:val="21"/>
              </w:rPr>
            </w:pPr>
          </w:p>
        </w:tc>
      </w:tr>
      <w:tr w:rsidR="00F23D05" w:rsidRPr="004A25DB" w14:paraId="1222AEA5" w14:textId="77777777" w:rsidTr="009D0FFE">
        <w:tc>
          <w:tcPr>
            <w:tcW w:w="5245" w:type="dxa"/>
            <w:tcBorders>
              <w:top w:val="single" w:sz="12" w:space="0" w:color="00B050"/>
              <w:left w:val="single" w:sz="12" w:space="0" w:color="00B050"/>
              <w:bottom w:val="single" w:sz="4" w:space="0" w:color="92D050"/>
            </w:tcBorders>
            <w:shd w:val="clear" w:color="auto" w:fill="auto"/>
          </w:tcPr>
          <w:p w14:paraId="443E1892" w14:textId="089526F7" w:rsidR="00F23D05" w:rsidRPr="004A25DB" w:rsidRDefault="00F23D05" w:rsidP="004A25DB">
            <w:pPr>
              <w:pStyle w:val="NoSpacing"/>
              <w:jc w:val="left"/>
              <w:rPr>
                <w:color w:val="FF0000"/>
                <w:sz w:val="21"/>
                <w:szCs w:val="21"/>
              </w:rPr>
            </w:pPr>
            <w:r w:rsidRPr="004A25DB">
              <w:rPr>
                <w:color w:val="FF0000"/>
                <w:sz w:val="21"/>
                <w:szCs w:val="21"/>
              </w:rPr>
              <w:t xml:space="preserve">Addressing sexual harassment </w:t>
            </w:r>
          </w:p>
        </w:tc>
        <w:tc>
          <w:tcPr>
            <w:tcW w:w="1842" w:type="dxa"/>
            <w:vMerge w:val="restart"/>
            <w:tcBorders>
              <w:top w:val="single" w:sz="12" w:space="0" w:color="00B050"/>
              <w:right w:val="single" w:sz="12" w:space="0" w:color="00B050"/>
            </w:tcBorders>
            <w:shd w:val="clear" w:color="auto" w:fill="auto"/>
            <w:vAlign w:val="center"/>
          </w:tcPr>
          <w:p w14:paraId="1D417787" w14:textId="77777777" w:rsidR="00F23D05" w:rsidRPr="004A25DB" w:rsidRDefault="00F23D05" w:rsidP="004A25DB">
            <w:pPr>
              <w:pStyle w:val="NoSpacing"/>
              <w:jc w:val="left"/>
              <w:rPr>
                <w:b/>
                <w:sz w:val="21"/>
                <w:szCs w:val="21"/>
              </w:rPr>
            </w:pPr>
            <w:r w:rsidRPr="004A25DB">
              <w:rPr>
                <w:b/>
                <w:sz w:val="21"/>
                <w:szCs w:val="21"/>
              </w:rPr>
              <w:t>Addressing Different Types of Violence against Women</w:t>
            </w:r>
          </w:p>
        </w:tc>
        <w:tc>
          <w:tcPr>
            <w:tcW w:w="284" w:type="dxa"/>
            <w:vMerge/>
            <w:tcBorders>
              <w:left w:val="single" w:sz="12" w:space="0" w:color="00B050"/>
              <w:right w:val="dashSmallGap" w:sz="8" w:space="0" w:color="000000" w:themeColor="text1"/>
            </w:tcBorders>
            <w:shd w:val="clear" w:color="auto" w:fill="auto"/>
          </w:tcPr>
          <w:p w14:paraId="73932B64"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6FF481C1" w14:textId="77777777" w:rsidR="00F23D05" w:rsidRPr="004A25DB" w:rsidRDefault="00F23D05" w:rsidP="004A25DB">
            <w:pPr>
              <w:pStyle w:val="NoSpacing"/>
              <w:rPr>
                <w:sz w:val="21"/>
                <w:szCs w:val="21"/>
              </w:rPr>
            </w:pPr>
          </w:p>
        </w:tc>
      </w:tr>
      <w:tr w:rsidR="00F23D05" w:rsidRPr="004A25DB" w14:paraId="71E19DAB" w14:textId="77777777" w:rsidTr="009D0FFE">
        <w:tc>
          <w:tcPr>
            <w:tcW w:w="5245" w:type="dxa"/>
            <w:tcBorders>
              <w:top w:val="single" w:sz="4" w:space="0" w:color="92D050"/>
              <w:left w:val="single" w:sz="12" w:space="0" w:color="00B050"/>
              <w:bottom w:val="single" w:sz="4" w:space="0" w:color="A8D08D" w:themeColor="accent6" w:themeTint="99"/>
            </w:tcBorders>
            <w:shd w:val="clear" w:color="auto" w:fill="auto"/>
          </w:tcPr>
          <w:p w14:paraId="5792A836" w14:textId="0EC87226" w:rsidR="00F23D05" w:rsidRPr="004A25DB" w:rsidRDefault="00F23D05" w:rsidP="004A25DB">
            <w:pPr>
              <w:pStyle w:val="NoSpacing"/>
              <w:jc w:val="left"/>
              <w:rPr>
                <w:sz w:val="21"/>
                <w:szCs w:val="21"/>
              </w:rPr>
            </w:pPr>
            <w:r w:rsidRPr="004A25DB">
              <w:rPr>
                <w:sz w:val="21"/>
                <w:szCs w:val="21"/>
              </w:rPr>
              <w:t xml:space="preserve">Reducing sexual violence </w:t>
            </w:r>
          </w:p>
        </w:tc>
        <w:tc>
          <w:tcPr>
            <w:tcW w:w="1842" w:type="dxa"/>
            <w:vMerge/>
            <w:tcBorders>
              <w:right w:val="single" w:sz="12" w:space="0" w:color="00B050"/>
            </w:tcBorders>
            <w:shd w:val="clear" w:color="auto" w:fill="auto"/>
            <w:vAlign w:val="center"/>
          </w:tcPr>
          <w:p w14:paraId="304C0944" w14:textId="77777777" w:rsidR="00F23D05" w:rsidRPr="004A25DB" w:rsidRDefault="00F23D05" w:rsidP="004A25DB">
            <w:pPr>
              <w:pStyle w:val="NoSpacing"/>
              <w:jc w:val="left"/>
              <w:rPr>
                <w:b/>
                <w:sz w:val="21"/>
                <w:szCs w:val="21"/>
              </w:rPr>
            </w:pPr>
          </w:p>
        </w:tc>
        <w:tc>
          <w:tcPr>
            <w:tcW w:w="284" w:type="dxa"/>
            <w:vMerge/>
            <w:tcBorders>
              <w:left w:val="single" w:sz="12" w:space="0" w:color="00B050"/>
              <w:right w:val="dashSmallGap" w:sz="8" w:space="0" w:color="000000" w:themeColor="text1"/>
            </w:tcBorders>
            <w:shd w:val="clear" w:color="auto" w:fill="auto"/>
          </w:tcPr>
          <w:p w14:paraId="700C53E3"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23FB11AB" w14:textId="77777777" w:rsidR="00F23D05" w:rsidRPr="004A25DB" w:rsidRDefault="00F23D05" w:rsidP="004A25DB">
            <w:pPr>
              <w:pStyle w:val="NoSpacing"/>
              <w:rPr>
                <w:sz w:val="21"/>
                <w:szCs w:val="21"/>
              </w:rPr>
            </w:pPr>
          </w:p>
        </w:tc>
      </w:tr>
      <w:tr w:rsidR="00F23D05" w:rsidRPr="004A25DB" w14:paraId="566AD0A5" w14:textId="77777777" w:rsidTr="009D0FFE">
        <w:tc>
          <w:tcPr>
            <w:tcW w:w="5245" w:type="dxa"/>
            <w:tcBorders>
              <w:top w:val="single" w:sz="4" w:space="0" w:color="A8D08D" w:themeColor="accent6" w:themeTint="99"/>
              <w:left w:val="single" w:sz="12" w:space="0" w:color="00B050"/>
              <w:bottom w:val="single" w:sz="4" w:space="0" w:color="A8D08D" w:themeColor="accent6" w:themeTint="99"/>
            </w:tcBorders>
            <w:shd w:val="clear" w:color="auto" w:fill="auto"/>
          </w:tcPr>
          <w:p w14:paraId="776A8D13" w14:textId="422166C6" w:rsidR="00F23D05" w:rsidRPr="004A25DB" w:rsidRDefault="00F23D05" w:rsidP="004A25DB">
            <w:pPr>
              <w:pStyle w:val="NoSpacing"/>
              <w:jc w:val="left"/>
              <w:rPr>
                <w:sz w:val="21"/>
                <w:szCs w:val="21"/>
              </w:rPr>
            </w:pPr>
            <w:r w:rsidRPr="004A25DB">
              <w:rPr>
                <w:sz w:val="21"/>
                <w:szCs w:val="21"/>
              </w:rPr>
              <w:t>Addressing technology-facilitated abuse</w:t>
            </w:r>
          </w:p>
        </w:tc>
        <w:tc>
          <w:tcPr>
            <w:tcW w:w="1842" w:type="dxa"/>
            <w:vMerge/>
            <w:tcBorders>
              <w:right w:val="single" w:sz="12" w:space="0" w:color="00B050"/>
            </w:tcBorders>
            <w:shd w:val="clear" w:color="auto" w:fill="auto"/>
          </w:tcPr>
          <w:p w14:paraId="4DB2F7BB" w14:textId="77777777" w:rsidR="00F23D05" w:rsidRPr="004A25DB" w:rsidRDefault="00F23D05" w:rsidP="004A25DB">
            <w:pPr>
              <w:pStyle w:val="NoSpacing"/>
              <w:jc w:val="left"/>
              <w:rPr>
                <w:b/>
                <w:sz w:val="21"/>
                <w:szCs w:val="21"/>
              </w:rPr>
            </w:pPr>
          </w:p>
        </w:tc>
        <w:tc>
          <w:tcPr>
            <w:tcW w:w="284" w:type="dxa"/>
            <w:vMerge/>
            <w:tcBorders>
              <w:left w:val="single" w:sz="12" w:space="0" w:color="00B050"/>
              <w:right w:val="dashSmallGap" w:sz="8" w:space="0" w:color="000000" w:themeColor="text1"/>
            </w:tcBorders>
            <w:shd w:val="clear" w:color="auto" w:fill="auto"/>
          </w:tcPr>
          <w:p w14:paraId="65D69513"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7421F96D" w14:textId="77777777" w:rsidR="00F23D05" w:rsidRPr="004A25DB" w:rsidRDefault="00F23D05" w:rsidP="004A25DB">
            <w:pPr>
              <w:pStyle w:val="NoSpacing"/>
              <w:rPr>
                <w:sz w:val="21"/>
                <w:szCs w:val="21"/>
              </w:rPr>
            </w:pPr>
          </w:p>
        </w:tc>
      </w:tr>
      <w:tr w:rsidR="00F23D05" w:rsidRPr="004A25DB" w14:paraId="454A5ABB" w14:textId="77777777" w:rsidTr="009D0FFE">
        <w:tc>
          <w:tcPr>
            <w:tcW w:w="5245" w:type="dxa"/>
            <w:tcBorders>
              <w:top w:val="single" w:sz="4" w:space="0" w:color="A8D08D" w:themeColor="accent6" w:themeTint="99"/>
              <w:left w:val="single" w:sz="12" w:space="0" w:color="00B050"/>
              <w:bottom w:val="single" w:sz="4" w:space="0" w:color="A8D08D" w:themeColor="accent6" w:themeTint="99"/>
            </w:tcBorders>
            <w:shd w:val="clear" w:color="auto" w:fill="auto"/>
          </w:tcPr>
          <w:p w14:paraId="5AD32221" w14:textId="5CE38FE3" w:rsidR="00F23D05" w:rsidRPr="004A25DB" w:rsidRDefault="00F23D05" w:rsidP="004A25DB">
            <w:pPr>
              <w:pStyle w:val="NoSpacing"/>
              <w:jc w:val="left"/>
              <w:rPr>
                <w:sz w:val="21"/>
                <w:szCs w:val="21"/>
              </w:rPr>
            </w:pPr>
            <w:r w:rsidRPr="004A25DB">
              <w:rPr>
                <w:color w:val="FF0000"/>
                <w:sz w:val="21"/>
                <w:szCs w:val="21"/>
              </w:rPr>
              <w:t xml:space="preserve">Linkages with efforts to address elder abuse </w:t>
            </w:r>
          </w:p>
        </w:tc>
        <w:tc>
          <w:tcPr>
            <w:tcW w:w="1842" w:type="dxa"/>
            <w:vMerge/>
            <w:tcBorders>
              <w:right w:val="single" w:sz="12" w:space="0" w:color="00B050"/>
            </w:tcBorders>
            <w:shd w:val="clear" w:color="auto" w:fill="auto"/>
          </w:tcPr>
          <w:p w14:paraId="70D1442C" w14:textId="77777777" w:rsidR="00F23D05" w:rsidRPr="004A25DB" w:rsidRDefault="00F23D05" w:rsidP="004A25DB">
            <w:pPr>
              <w:pStyle w:val="NoSpacing"/>
              <w:jc w:val="left"/>
              <w:rPr>
                <w:b/>
                <w:sz w:val="21"/>
                <w:szCs w:val="21"/>
              </w:rPr>
            </w:pPr>
          </w:p>
        </w:tc>
        <w:tc>
          <w:tcPr>
            <w:tcW w:w="284" w:type="dxa"/>
            <w:vMerge/>
            <w:tcBorders>
              <w:left w:val="single" w:sz="12" w:space="0" w:color="00B050"/>
              <w:right w:val="dashSmallGap" w:sz="8" w:space="0" w:color="000000" w:themeColor="text1"/>
            </w:tcBorders>
            <w:shd w:val="clear" w:color="auto" w:fill="auto"/>
          </w:tcPr>
          <w:p w14:paraId="27313350"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tcPr>
          <w:p w14:paraId="258A4A1F" w14:textId="77777777" w:rsidR="00F23D05" w:rsidRPr="004A25DB" w:rsidRDefault="00F23D05" w:rsidP="004A25DB">
            <w:pPr>
              <w:pStyle w:val="NoSpacing"/>
              <w:rPr>
                <w:sz w:val="21"/>
                <w:szCs w:val="21"/>
              </w:rPr>
            </w:pPr>
          </w:p>
        </w:tc>
      </w:tr>
      <w:tr w:rsidR="00F23D05" w:rsidRPr="004A25DB" w14:paraId="32419AF9" w14:textId="77777777" w:rsidTr="009D0FFE">
        <w:tc>
          <w:tcPr>
            <w:tcW w:w="5245" w:type="dxa"/>
            <w:tcBorders>
              <w:top w:val="single" w:sz="4" w:space="0" w:color="A8D08D" w:themeColor="accent6" w:themeTint="99"/>
              <w:left w:val="single" w:sz="12" w:space="0" w:color="00B050"/>
              <w:bottom w:val="single" w:sz="4" w:space="0" w:color="A8D08D" w:themeColor="accent6" w:themeTint="99"/>
            </w:tcBorders>
            <w:shd w:val="clear" w:color="auto" w:fill="auto"/>
          </w:tcPr>
          <w:p w14:paraId="50879F1C" w14:textId="0FDAA0E7" w:rsidR="00F23D05" w:rsidRPr="004A25DB" w:rsidRDefault="00F23D05" w:rsidP="00130DE2">
            <w:pPr>
              <w:pStyle w:val="NoSpacing"/>
              <w:jc w:val="left"/>
              <w:rPr>
                <w:color w:val="FF0000"/>
                <w:sz w:val="21"/>
                <w:szCs w:val="21"/>
              </w:rPr>
            </w:pPr>
            <w:r w:rsidRPr="004A25DB">
              <w:rPr>
                <w:color w:val="FF0000"/>
                <w:sz w:val="21"/>
                <w:szCs w:val="21"/>
              </w:rPr>
              <w:t>Responding to forced marriage, dowry abuse, reproductive coercion, FGM, forced sterilisation of women with disability,</w:t>
            </w:r>
            <w:r w:rsidR="009D0FFE">
              <w:rPr>
                <w:color w:val="FF0000"/>
                <w:sz w:val="21"/>
                <w:szCs w:val="21"/>
              </w:rPr>
              <w:t xml:space="preserve"> </w:t>
            </w:r>
            <w:r w:rsidR="00130DE2">
              <w:rPr>
                <w:color w:val="FF0000"/>
                <w:sz w:val="21"/>
                <w:szCs w:val="21"/>
              </w:rPr>
              <w:t>and</w:t>
            </w:r>
            <w:r w:rsidRPr="004A25DB">
              <w:rPr>
                <w:color w:val="FF0000"/>
                <w:sz w:val="21"/>
                <w:szCs w:val="21"/>
              </w:rPr>
              <w:t xml:space="preserve"> unnecessary medical procedures on intersex infants</w:t>
            </w:r>
          </w:p>
        </w:tc>
        <w:tc>
          <w:tcPr>
            <w:tcW w:w="1842" w:type="dxa"/>
            <w:vMerge/>
            <w:tcBorders>
              <w:right w:val="single" w:sz="12" w:space="0" w:color="00B050"/>
            </w:tcBorders>
            <w:shd w:val="clear" w:color="auto" w:fill="auto"/>
          </w:tcPr>
          <w:p w14:paraId="7DEFD394" w14:textId="77777777" w:rsidR="00F23D05" w:rsidRPr="004A25DB" w:rsidRDefault="00F23D05" w:rsidP="004A25DB">
            <w:pPr>
              <w:pStyle w:val="NoSpacing"/>
              <w:jc w:val="left"/>
              <w:rPr>
                <w:b/>
                <w:sz w:val="21"/>
                <w:szCs w:val="21"/>
              </w:rPr>
            </w:pPr>
          </w:p>
        </w:tc>
        <w:tc>
          <w:tcPr>
            <w:tcW w:w="284" w:type="dxa"/>
            <w:vMerge/>
            <w:tcBorders>
              <w:left w:val="single" w:sz="12" w:space="0" w:color="00B050"/>
              <w:right w:val="dashSmallGap" w:sz="8" w:space="0" w:color="000000" w:themeColor="text1"/>
            </w:tcBorders>
            <w:shd w:val="clear" w:color="auto" w:fill="auto"/>
          </w:tcPr>
          <w:p w14:paraId="7494CFDF"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tcPr>
          <w:p w14:paraId="0BF788A3" w14:textId="77777777" w:rsidR="00F23D05" w:rsidRPr="004A25DB" w:rsidRDefault="00F23D05" w:rsidP="004A25DB">
            <w:pPr>
              <w:pStyle w:val="NoSpacing"/>
              <w:rPr>
                <w:sz w:val="21"/>
                <w:szCs w:val="21"/>
              </w:rPr>
            </w:pPr>
          </w:p>
        </w:tc>
      </w:tr>
      <w:tr w:rsidR="00F23D05" w:rsidRPr="004A25DB" w14:paraId="5F2F420A" w14:textId="77777777" w:rsidTr="009D0FFE">
        <w:tc>
          <w:tcPr>
            <w:tcW w:w="5245" w:type="dxa"/>
            <w:tcBorders>
              <w:top w:val="single" w:sz="12" w:space="0" w:color="00B050"/>
              <w:bottom w:val="single" w:sz="12" w:space="0" w:color="FFC000"/>
            </w:tcBorders>
            <w:shd w:val="clear" w:color="auto" w:fill="auto"/>
          </w:tcPr>
          <w:p w14:paraId="19E3206B" w14:textId="7426E7CF" w:rsidR="00F23D05" w:rsidRPr="004A25DB" w:rsidRDefault="00F23D05" w:rsidP="009D0FFE">
            <w:pPr>
              <w:pStyle w:val="NoSpacing"/>
              <w:jc w:val="center"/>
              <w:rPr>
                <w:sz w:val="21"/>
                <w:szCs w:val="21"/>
              </w:rPr>
            </w:pPr>
          </w:p>
        </w:tc>
        <w:tc>
          <w:tcPr>
            <w:tcW w:w="1842" w:type="dxa"/>
            <w:tcBorders>
              <w:top w:val="single" w:sz="12" w:space="0" w:color="00B050"/>
              <w:bottom w:val="single" w:sz="12" w:space="0" w:color="FFC000"/>
            </w:tcBorders>
            <w:shd w:val="clear" w:color="auto" w:fill="auto"/>
          </w:tcPr>
          <w:p w14:paraId="395F7A2B" w14:textId="77777777" w:rsidR="00F23D05" w:rsidRPr="004A25DB" w:rsidRDefault="00F23D05" w:rsidP="004A25DB">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1EDEA089"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5DC1643C" w14:textId="77777777" w:rsidR="00F23D05" w:rsidRPr="004A25DB" w:rsidRDefault="00F23D05" w:rsidP="004A25DB">
            <w:pPr>
              <w:pStyle w:val="NoSpacing"/>
              <w:rPr>
                <w:sz w:val="21"/>
                <w:szCs w:val="21"/>
              </w:rPr>
            </w:pPr>
          </w:p>
        </w:tc>
      </w:tr>
      <w:tr w:rsidR="00F23D05" w:rsidRPr="004A25DB" w14:paraId="3B5013CE" w14:textId="77777777" w:rsidTr="009D0FFE">
        <w:tc>
          <w:tcPr>
            <w:tcW w:w="5245" w:type="dxa"/>
            <w:tcBorders>
              <w:top w:val="single" w:sz="12" w:space="0" w:color="FFC000"/>
              <w:left w:val="single" w:sz="12" w:space="0" w:color="FFC000"/>
              <w:bottom w:val="single" w:sz="4" w:space="0" w:color="FFD966" w:themeColor="accent4" w:themeTint="99"/>
            </w:tcBorders>
            <w:shd w:val="clear" w:color="auto" w:fill="auto"/>
          </w:tcPr>
          <w:p w14:paraId="33055738" w14:textId="31462356" w:rsidR="00F23D05" w:rsidRPr="004A25DB" w:rsidRDefault="00F23D05" w:rsidP="004A25DB">
            <w:pPr>
              <w:pStyle w:val="NoSpacing"/>
              <w:jc w:val="left"/>
              <w:rPr>
                <w:sz w:val="21"/>
                <w:szCs w:val="21"/>
              </w:rPr>
            </w:pPr>
            <w:r w:rsidRPr="004A25DB">
              <w:rPr>
                <w:sz w:val="21"/>
                <w:szCs w:val="21"/>
              </w:rPr>
              <w:t xml:space="preserve">Developing workforce capability </w:t>
            </w:r>
          </w:p>
        </w:tc>
        <w:tc>
          <w:tcPr>
            <w:tcW w:w="1842" w:type="dxa"/>
            <w:vMerge w:val="restart"/>
            <w:tcBorders>
              <w:top w:val="single" w:sz="12" w:space="0" w:color="FFC000"/>
              <w:right w:val="single" w:sz="12" w:space="0" w:color="FFC000"/>
            </w:tcBorders>
            <w:shd w:val="clear" w:color="auto" w:fill="auto"/>
            <w:vAlign w:val="center"/>
          </w:tcPr>
          <w:p w14:paraId="6EEFD429" w14:textId="77777777" w:rsidR="00F23D05" w:rsidRPr="004A25DB" w:rsidRDefault="00F23D05" w:rsidP="004A25DB">
            <w:pPr>
              <w:pStyle w:val="NoSpacing"/>
              <w:jc w:val="left"/>
              <w:rPr>
                <w:b/>
                <w:sz w:val="21"/>
                <w:szCs w:val="21"/>
              </w:rPr>
            </w:pPr>
            <w:r w:rsidRPr="004A25DB">
              <w:rPr>
                <w:b/>
                <w:sz w:val="21"/>
                <w:szCs w:val="21"/>
              </w:rPr>
              <w:t xml:space="preserve">Strengthening Systems </w:t>
            </w:r>
          </w:p>
        </w:tc>
        <w:tc>
          <w:tcPr>
            <w:tcW w:w="284" w:type="dxa"/>
            <w:vMerge/>
            <w:tcBorders>
              <w:left w:val="single" w:sz="12" w:space="0" w:color="FFC000"/>
              <w:right w:val="dashSmallGap" w:sz="8" w:space="0" w:color="000000" w:themeColor="text1"/>
            </w:tcBorders>
            <w:shd w:val="clear" w:color="auto" w:fill="auto"/>
          </w:tcPr>
          <w:p w14:paraId="01AB1A6A"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1C210F2E" w14:textId="77777777" w:rsidR="00F23D05" w:rsidRPr="004A25DB" w:rsidRDefault="00F23D05" w:rsidP="004A25DB">
            <w:pPr>
              <w:pStyle w:val="NoSpacing"/>
              <w:rPr>
                <w:sz w:val="21"/>
                <w:szCs w:val="21"/>
              </w:rPr>
            </w:pPr>
          </w:p>
        </w:tc>
      </w:tr>
      <w:tr w:rsidR="00F23D05" w:rsidRPr="004A25DB" w14:paraId="521FE4F7" w14:textId="77777777" w:rsidTr="009D0FFE">
        <w:tc>
          <w:tcPr>
            <w:tcW w:w="5245" w:type="dxa"/>
            <w:tcBorders>
              <w:top w:val="single" w:sz="4" w:space="0" w:color="FFD966" w:themeColor="accent4" w:themeTint="99"/>
              <w:left w:val="single" w:sz="12" w:space="0" w:color="FFC000"/>
              <w:bottom w:val="single" w:sz="4" w:space="0" w:color="FFC000"/>
            </w:tcBorders>
            <w:shd w:val="clear" w:color="auto" w:fill="auto"/>
          </w:tcPr>
          <w:p w14:paraId="0A14AA3E" w14:textId="51E4B885" w:rsidR="00F23D05" w:rsidRPr="004A25DB" w:rsidRDefault="00F23D05" w:rsidP="004A25DB">
            <w:pPr>
              <w:pStyle w:val="NoSpacing"/>
              <w:jc w:val="left"/>
              <w:rPr>
                <w:sz w:val="21"/>
                <w:szCs w:val="21"/>
              </w:rPr>
            </w:pPr>
            <w:r w:rsidRPr="004A25DB">
              <w:rPr>
                <w:sz w:val="21"/>
                <w:szCs w:val="21"/>
              </w:rPr>
              <w:t>Access to justice</w:t>
            </w:r>
          </w:p>
        </w:tc>
        <w:tc>
          <w:tcPr>
            <w:tcW w:w="1842" w:type="dxa"/>
            <w:vMerge/>
            <w:tcBorders>
              <w:right w:val="single" w:sz="12" w:space="0" w:color="FFC000"/>
            </w:tcBorders>
            <w:shd w:val="clear" w:color="auto" w:fill="auto"/>
          </w:tcPr>
          <w:p w14:paraId="55D3CF49" w14:textId="77777777" w:rsidR="00F23D05" w:rsidRPr="004A25DB" w:rsidRDefault="00F23D05" w:rsidP="004A25DB">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39C3F74A"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2DF2AE92" w14:textId="77777777" w:rsidR="00F23D05" w:rsidRPr="004A25DB" w:rsidRDefault="00F23D05" w:rsidP="004A25DB">
            <w:pPr>
              <w:pStyle w:val="NoSpacing"/>
              <w:rPr>
                <w:sz w:val="21"/>
                <w:szCs w:val="21"/>
              </w:rPr>
            </w:pPr>
          </w:p>
        </w:tc>
      </w:tr>
      <w:tr w:rsidR="00F23D05" w:rsidRPr="004A25DB" w14:paraId="3C3DA32F" w14:textId="77777777" w:rsidTr="009D0FFE">
        <w:tc>
          <w:tcPr>
            <w:tcW w:w="5245" w:type="dxa"/>
            <w:tcBorders>
              <w:top w:val="single" w:sz="4" w:space="0" w:color="FFC000"/>
              <w:left w:val="single" w:sz="12" w:space="0" w:color="FFC000"/>
              <w:bottom w:val="single" w:sz="4" w:space="0" w:color="FFC000"/>
            </w:tcBorders>
            <w:shd w:val="clear" w:color="auto" w:fill="auto"/>
          </w:tcPr>
          <w:p w14:paraId="2C9FADF9" w14:textId="530D6AA9" w:rsidR="00F23D05" w:rsidRPr="004A25DB" w:rsidRDefault="00F23D05" w:rsidP="004A25DB">
            <w:pPr>
              <w:pStyle w:val="NoSpacing"/>
              <w:jc w:val="left"/>
              <w:rPr>
                <w:color w:val="FF0000"/>
                <w:sz w:val="21"/>
                <w:szCs w:val="21"/>
              </w:rPr>
            </w:pPr>
            <w:r w:rsidRPr="004A25DB">
              <w:rPr>
                <w:color w:val="FF0000"/>
                <w:sz w:val="21"/>
                <w:szCs w:val="21"/>
              </w:rPr>
              <w:t>Addressing the intersection of DFV and migration status</w:t>
            </w:r>
          </w:p>
        </w:tc>
        <w:tc>
          <w:tcPr>
            <w:tcW w:w="1842" w:type="dxa"/>
            <w:vMerge/>
            <w:tcBorders>
              <w:right w:val="single" w:sz="12" w:space="0" w:color="FFC000"/>
            </w:tcBorders>
            <w:shd w:val="clear" w:color="auto" w:fill="auto"/>
          </w:tcPr>
          <w:p w14:paraId="04E205EC" w14:textId="77777777" w:rsidR="00F23D05" w:rsidRPr="004A25DB" w:rsidRDefault="00F23D05" w:rsidP="004A25DB">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6E09E7C1"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0D0CB9B9" w14:textId="77777777" w:rsidR="00F23D05" w:rsidRPr="004A25DB" w:rsidRDefault="00F23D05" w:rsidP="004A25DB">
            <w:pPr>
              <w:pStyle w:val="NoSpacing"/>
              <w:rPr>
                <w:sz w:val="21"/>
                <w:szCs w:val="21"/>
              </w:rPr>
            </w:pPr>
          </w:p>
        </w:tc>
      </w:tr>
      <w:tr w:rsidR="00F23D05" w:rsidRPr="004A25DB" w14:paraId="61166225" w14:textId="77777777" w:rsidTr="009D0FFE">
        <w:tc>
          <w:tcPr>
            <w:tcW w:w="5245" w:type="dxa"/>
            <w:tcBorders>
              <w:top w:val="single" w:sz="4" w:space="0" w:color="FFC000"/>
              <w:left w:val="single" w:sz="12" w:space="0" w:color="FFC000"/>
              <w:bottom w:val="single" w:sz="4" w:space="0" w:color="FFC000"/>
            </w:tcBorders>
            <w:shd w:val="clear" w:color="auto" w:fill="auto"/>
          </w:tcPr>
          <w:p w14:paraId="23AA05A9" w14:textId="529DFA85" w:rsidR="00F23D05" w:rsidRPr="004A25DB" w:rsidRDefault="00F23D05" w:rsidP="004A25DB">
            <w:pPr>
              <w:pStyle w:val="NoSpacing"/>
              <w:jc w:val="left"/>
              <w:rPr>
                <w:color w:val="FF0000"/>
                <w:sz w:val="21"/>
                <w:szCs w:val="21"/>
              </w:rPr>
            </w:pPr>
            <w:r w:rsidRPr="004A25DB">
              <w:rPr>
                <w:color w:val="FF0000"/>
                <w:sz w:val="21"/>
                <w:szCs w:val="21"/>
              </w:rPr>
              <w:t>Responding to human trafficking and sexual exploitation</w:t>
            </w:r>
          </w:p>
        </w:tc>
        <w:tc>
          <w:tcPr>
            <w:tcW w:w="1842" w:type="dxa"/>
            <w:vMerge/>
            <w:tcBorders>
              <w:right w:val="single" w:sz="12" w:space="0" w:color="FFC000"/>
            </w:tcBorders>
            <w:shd w:val="clear" w:color="auto" w:fill="auto"/>
          </w:tcPr>
          <w:p w14:paraId="4CA7F817" w14:textId="77777777" w:rsidR="00F23D05" w:rsidRPr="004A25DB" w:rsidRDefault="00F23D05" w:rsidP="004A25DB">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62E56012"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14A38AF4" w14:textId="77777777" w:rsidR="00F23D05" w:rsidRPr="004A25DB" w:rsidRDefault="00F23D05" w:rsidP="004A25DB">
            <w:pPr>
              <w:pStyle w:val="NoSpacing"/>
              <w:rPr>
                <w:sz w:val="21"/>
                <w:szCs w:val="21"/>
              </w:rPr>
            </w:pPr>
          </w:p>
        </w:tc>
      </w:tr>
      <w:tr w:rsidR="00F23D05" w:rsidRPr="004A25DB" w14:paraId="3B4EACBD" w14:textId="77777777" w:rsidTr="009D0FFE">
        <w:tc>
          <w:tcPr>
            <w:tcW w:w="5245" w:type="dxa"/>
            <w:tcBorders>
              <w:top w:val="single" w:sz="4" w:space="0" w:color="FFC000"/>
              <w:left w:val="single" w:sz="12" w:space="0" w:color="FFC000"/>
              <w:bottom w:val="single" w:sz="4" w:space="0" w:color="FFC000"/>
            </w:tcBorders>
            <w:shd w:val="clear" w:color="auto" w:fill="auto"/>
          </w:tcPr>
          <w:p w14:paraId="32C0056D" w14:textId="5D38FBB1" w:rsidR="00F23D05" w:rsidRPr="004A25DB" w:rsidRDefault="00F23D05" w:rsidP="004A25DB">
            <w:pPr>
              <w:pStyle w:val="NoSpacing"/>
              <w:jc w:val="left"/>
              <w:rPr>
                <w:sz w:val="21"/>
                <w:szCs w:val="21"/>
              </w:rPr>
            </w:pPr>
            <w:r w:rsidRPr="004A25DB">
              <w:rPr>
                <w:color w:val="FF0000"/>
                <w:sz w:val="21"/>
                <w:szCs w:val="21"/>
              </w:rPr>
              <w:t>Welfare system improvements</w:t>
            </w:r>
          </w:p>
        </w:tc>
        <w:tc>
          <w:tcPr>
            <w:tcW w:w="1842" w:type="dxa"/>
            <w:vMerge/>
            <w:tcBorders>
              <w:right w:val="single" w:sz="12" w:space="0" w:color="FFC000"/>
            </w:tcBorders>
            <w:shd w:val="clear" w:color="auto" w:fill="auto"/>
          </w:tcPr>
          <w:p w14:paraId="0B9CF43A" w14:textId="77777777" w:rsidR="00F23D05" w:rsidRPr="004A25DB" w:rsidRDefault="00F23D05" w:rsidP="004A25DB">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1F520F71"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2A2728A3" w14:textId="77777777" w:rsidR="00F23D05" w:rsidRPr="004A25DB" w:rsidRDefault="00F23D05" w:rsidP="004A25DB">
            <w:pPr>
              <w:pStyle w:val="NoSpacing"/>
              <w:rPr>
                <w:sz w:val="21"/>
                <w:szCs w:val="21"/>
              </w:rPr>
            </w:pPr>
          </w:p>
        </w:tc>
      </w:tr>
      <w:tr w:rsidR="00F23D05" w:rsidRPr="004A25DB" w14:paraId="67F039E3" w14:textId="77777777" w:rsidTr="009D0FFE">
        <w:tc>
          <w:tcPr>
            <w:tcW w:w="5245" w:type="dxa"/>
            <w:tcBorders>
              <w:top w:val="single" w:sz="4" w:space="0" w:color="FFC000"/>
              <w:left w:val="single" w:sz="12" w:space="0" w:color="FFC000"/>
              <w:bottom w:val="single" w:sz="12" w:space="0" w:color="FFC000"/>
            </w:tcBorders>
            <w:shd w:val="clear" w:color="auto" w:fill="auto"/>
          </w:tcPr>
          <w:p w14:paraId="544598FD" w14:textId="22BB0B26" w:rsidR="00F23D05" w:rsidRPr="004A25DB" w:rsidRDefault="00F23D05" w:rsidP="004A25DB">
            <w:pPr>
              <w:pStyle w:val="NoSpacing"/>
              <w:jc w:val="left"/>
              <w:rPr>
                <w:color w:val="FF0000"/>
                <w:sz w:val="21"/>
                <w:szCs w:val="21"/>
              </w:rPr>
            </w:pPr>
            <w:r w:rsidRPr="004A25DB">
              <w:rPr>
                <w:color w:val="FF0000"/>
                <w:sz w:val="21"/>
                <w:szCs w:val="21"/>
              </w:rPr>
              <w:t>Housing affordability and long-term housing options</w:t>
            </w:r>
          </w:p>
        </w:tc>
        <w:tc>
          <w:tcPr>
            <w:tcW w:w="1842" w:type="dxa"/>
            <w:vMerge/>
            <w:tcBorders>
              <w:bottom w:val="single" w:sz="12" w:space="0" w:color="FFC000"/>
              <w:right w:val="single" w:sz="12" w:space="0" w:color="FFC000"/>
            </w:tcBorders>
            <w:shd w:val="clear" w:color="auto" w:fill="auto"/>
          </w:tcPr>
          <w:p w14:paraId="0D0B02F2" w14:textId="77777777" w:rsidR="00F23D05" w:rsidRPr="004A25DB" w:rsidRDefault="00F23D05" w:rsidP="004A25DB">
            <w:pPr>
              <w:pStyle w:val="NoSpacing"/>
              <w:jc w:val="left"/>
              <w:rPr>
                <w:sz w:val="21"/>
                <w:szCs w:val="21"/>
              </w:rPr>
            </w:pPr>
          </w:p>
        </w:tc>
        <w:tc>
          <w:tcPr>
            <w:tcW w:w="284" w:type="dxa"/>
            <w:vMerge/>
            <w:tcBorders>
              <w:left w:val="single" w:sz="12" w:space="0" w:color="FFC000"/>
              <w:right w:val="dashSmallGap" w:sz="8" w:space="0" w:color="000000" w:themeColor="text1"/>
            </w:tcBorders>
            <w:shd w:val="clear" w:color="auto" w:fill="auto"/>
          </w:tcPr>
          <w:p w14:paraId="7A7CBA01"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1DF8AC21" w14:textId="77777777" w:rsidR="00F23D05" w:rsidRPr="004A25DB" w:rsidRDefault="00F23D05" w:rsidP="004A25DB">
            <w:pPr>
              <w:pStyle w:val="NoSpacing"/>
              <w:rPr>
                <w:sz w:val="21"/>
                <w:szCs w:val="21"/>
              </w:rPr>
            </w:pPr>
          </w:p>
        </w:tc>
      </w:tr>
      <w:tr w:rsidR="00F23D05" w:rsidRPr="004A25DB" w14:paraId="175F476B" w14:textId="77777777" w:rsidTr="009D0FFE">
        <w:tc>
          <w:tcPr>
            <w:tcW w:w="5245" w:type="dxa"/>
            <w:tcBorders>
              <w:top w:val="single" w:sz="12" w:space="0" w:color="FFC000"/>
              <w:bottom w:val="single" w:sz="12" w:space="0" w:color="FF0000"/>
            </w:tcBorders>
            <w:shd w:val="clear" w:color="auto" w:fill="auto"/>
          </w:tcPr>
          <w:p w14:paraId="05E9B9BF" w14:textId="5AD7A87E" w:rsidR="00F23D05" w:rsidRPr="004A25DB" w:rsidRDefault="00F23D05" w:rsidP="004A25DB">
            <w:pPr>
              <w:pStyle w:val="NoSpacing"/>
              <w:jc w:val="left"/>
              <w:rPr>
                <w:sz w:val="21"/>
                <w:szCs w:val="21"/>
              </w:rPr>
            </w:pPr>
          </w:p>
        </w:tc>
        <w:tc>
          <w:tcPr>
            <w:tcW w:w="1842" w:type="dxa"/>
            <w:tcBorders>
              <w:top w:val="single" w:sz="12" w:space="0" w:color="FFC000"/>
              <w:bottom w:val="single" w:sz="12" w:space="0" w:color="FF0000"/>
            </w:tcBorders>
            <w:shd w:val="clear" w:color="auto" w:fill="auto"/>
          </w:tcPr>
          <w:p w14:paraId="728786A9" w14:textId="77777777" w:rsidR="00F23D05" w:rsidRPr="004A25DB" w:rsidRDefault="00F23D05" w:rsidP="004A25DB">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5445FD06"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1C08C44C" w14:textId="77777777" w:rsidR="00F23D05" w:rsidRPr="004A25DB" w:rsidRDefault="00F23D05" w:rsidP="004A25DB">
            <w:pPr>
              <w:pStyle w:val="NoSpacing"/>
              <w:rPr>
                <w:sz w:val="21"/>
                <w:szCs w:val="21"/>
              </w:rPr>
            </w:pPr>
          </w:p>
        </w:tc>
      </w:tr>
      <w:tr w:rsidR="00F23D05" w:rsidRPr="004A25DB" w14:paraId="3F19D1F5" w14:textId="77777777" w:rsidTr="009D0FFE">
        <w:tc>
          <w:tcPr>
            <w:tcW w:w="5245" w:type="dxa"/>
            <w:tcBorders>
              <w:top w:val="single" w:sz="12" w:space="0" w:color="FF0000"/>
              <w:left w:val="single" w:sz="12" w:space="0" w:color="FF0000"/>
              <w:bottom w:val="single" w:sz="4" w:space="0" w:color="FF9999"/>
            </w:tcBorders>
            <w:shd w:val="clear" w:color="auto" w:fill="auto"/>
          </w:tcPr>
          <w:p w14:paraId="3D438300" w14:textId="685CCBFF" w:rsidR="00F23D05" w:rsidRPr="004A25DB" w:rsidRDefault="00F23D05" w:rsidP="004A25DB">
            <w:pPr>
              <w:pStyle w:val="NoSpacing"/>
              <w:jc w:val="left"/>
              <w:rPr>
                <w:sz w:val="21"/>
                <w:szCs w:val="21"/>
              </w:rPr>
            </w:pPr>
            <w:r w:rsidRPr="004A25DB">
              <w:rPr>
                <w:sz w:val="21"/>
                <w:szCs w:val="21"/>
              </w:rPr>
              <w:t xml:space="preserve">Adequate crisis accommodation </w:t>
            </w:r>
          </w:p>
        </w:tc>
        <w:tc>
          <w:tcPr>
            <w:tcW w:w="1842" w:type="dxa"/>
            <w:vMerge w:val="restart"/>
            <w:tcBorders>
              <w:top w:val="single" w:sz="12" w:space="0" w:color="FF0000"/>
              <w:right w:val="single" w:sz="12" w:space="0" w:color="FF0000"/>
            </w:tcBorders>
            <w:shd w:val="clear" w:color="auto" w:fill="auto"/>
            <w:vAlign w:val="center"/>
          </w:tcPr>
          <w:p w14:paraId="62057A81" w14:textId="77777777" w:rsidR="00F23D05" w:rsidRPr="004A25DB" w:rsidRDefault="00F23D05" w:rsidP="004A25DB">
            <w:pPr>
              <w:pStyle w:val="NoSpacing"/>
              <w:jc w:val="left"/>
              <w:rPr>
                <w:b/>
                <w:sz w:val="21"/>
                <w:szCs w:val="21"/>
              </w:rPr>
            </w:pPr>
            <w:r w:rsidRPr="004A25DB">
              <w:rPr>
                <w:b/>
                <w:sz w:val="21"/>
                <w:szCs w:val="21"/>
              </w:rPr>
              <w:t xml:space="preserve">Strengthening Services </w:t>
            </w:r>
          </w:p>
        </w:tc>
        <w:tc>
          <w:tcPr>
            <w:tcW w:w="284" w:type="dxa"/>
            <w:vMerge/>
            <w:tcBorders>
              <w:left w:val="single" w:sz="12" w:space="0" w:color="FF0000"/>
              <w:right w:val="dashSmallGap" w:sz="8" w:space="0" w:color="000000" w:themeColor="text1"/>
            </w:tcBorders>
            <w:shd w:val="clear" w:color="auto" w:fill="auto"/>
          </w:tcPr>
          <w:p w14:paraId="07398919"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454D3C94" w14:textId="77777777" w:rsidR="00F23D05" w:rsidRPr="004A25DB" w:rsidRDefault="00F23D05" w:rsidP="004A25DB">
            <w:pPr>
              <w:pStyle w:val="NoSpacing"/>
              <w:rPr>
                <w:sz w:val="21"/>
                <w:szCs w:val="21"/>
              </w:rPr>
            </w:pPr>
          </w:p>
        </w:tc>
      </w:tr>
      <w:tr w:rsidR="00F23D05" w:rsidRPr="004A25DB" w14:paraId="353AEF8F" w14:textId="77777777" w:rsidTr="009D0FFE">
        <w:tc>
          <w:tcPr>
            <w:tcW w:w="5245" w:type="dxa"/>
            <w:tcBorders>
              <w:top w:val="single" w:sz="4" w:space="0" w:color="FF9999"/>
              <w:left w:val="single" w:sz="12" w:space="0" w:color="FF0000"/>
              <w:bottom w:val="single" w:sz="4" w:space="0" w:color="FF9999"/>
            </w:tcBorders>
            <w:shd w:val="clear" w:color="auto" w:fill="auto"/>
          </w:tcPr>
          <w:p w14:paraId="5C9875D3" w14:textId="412CAC97" w:rsidR="00F23D05" w:rsidRPr="004A25DB" w:rsidRDefault="00F23D05" w:rsidP="004A25DB">
            <w:pPr>
              <w:pStyle w:val="NoSpacing"/>
              <w:jc w:val="left"/>
              <w:rPr>
                <w:sz w:val="21"/>
                <w:szCs w:val="21"/>
              </w:rPr>
            </w:pPr>
            <w:r w:rsidRPr="004A25DB">
              <w:rPr>
                <w:sz w:val="21"/>
                <w:szCs w:val="21"/>
              </w:rPr>
              <w:t>Supporting the medium to long</w:t>
            </w:r>
            <w:r w:rsidRPr="004A25DB">
              <w:rPr>
                <w:sz w:val="21"/>
                <w:szCs w:val="21"/>
              </w:rPr>
              <w:noBreakHyphen/>
              <w:t>term safety, wellbeing and independence of women and their children</w:t>
            </w:r>
          </w:p>
        </w:tc>
        <w:tc>
          <w:tcPr>
            <w:tcW w:w="1842" w:type="dxa"/>
            <w:vMerge/>
            <w:tcBorders>
              <w:right w:val="single" w:sz="12" w:space="0" w:color="FF0000"/>
            </w:tcBorders>
            <w:shd w:val="clear" w:color="auto" w:fill="auto"/>
          </w:tcPr>
          <w:p w14:paraId="5FED06FA" w14:textId="77777777" w:rsidR="00F23D05" w:rsidRPr="004A25DB" w:rsidRDefault="00F23D05" w:rsidP="004A25DB">
            <w:pPr>
              <w:pStyle w:val="NoSpacing"/>
              <w:jc w:val="left"/>
              <w:rPr>
                <w:b/>
                <w:sz w:val="21"/>
                <w:szCs w:val="21"/>
              </w:rPr>
            </w:pPr>
          </w:p>
        </w:tc>
        <w:tc>
          <w:tcPr>
            <w:tcW w:w="284" w:type="dxa"/>
            <w:vMerge/>
            <w:tcBorders>
              <w:left w:val="single" w:sz="12" w:space="0" w:color="FF0000"/>
              <w:right w:val="dashSmallGap" w:sz="8" w:space="0" w:color="000000" w:themeColor="text1"/>
            </w:tcBorders>
            <w:shd w:val="clear" w:color="auto" w:fill="auto"/>
          </w:tcPr>
          <w:p w14:paraId="2331912B"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3F9AEB20" w14:textId="77777777" w:rsidR="00F23D05" w:rsidRPr="004A25DB" w:rsidRDefault="00F23D05" w:rsidP="004A25DB">
            <w:pPr>
              <w:pStyle w:val="NoSpacing"/>
              <w:rPr>
                <w:sz w:val="21"/>
                <w:szCs w:val="21"/>
              </w:rPr>
            </w:pPr>
          </w:p>
        </w:tc>
      </w:tr>
      <w:tr w:rsidR="00F23D05" w:rsidRPr="004A25DB" w14:paraId="54B59046" w14:textId="77777777" w:rsidTr="009D0FFE">
        <w:tc>
          <w:tcPr>
            <w:tcW w:w="5245" w:type="dxa"/>
            <w:tcBorders>
              <w:top w:val="single" w:sz="4" w:space="0" w:color="FF9999"/>
              <w:left w:val="single" w:sz="12" w:space="0" w:color="FF0000"/>
              <w:bottom w:val="single" w:sz="4" w:space="0" w:color="FF9999"/>
            </w:tcBorders>
            <w:shd w:val="clear" w:color="auto" w:fill="auto"/>
          </w:tcPr>
          <w:p w14:paraId="31051EFC" w14:textId="1F3868F2" w:rsidR="00F23D05" w:rsidRPr="004A25DB" w:rsidRDefault="00F23D05" w:rsidP="00EE71A4">
            <w:pPr>
              <w:pStyle w:val="NoSpacing"/>
              <w:jc w:val="left"/>
              <w:rPr>
                <w:sz w:val="21"/>
                <w:szCs w:val="21"/>
              </w:rPr>
            </w:pPr>
            <w:r w:rsidRPr="004A25DB">
              <w:rPr>
                <w:color w:val="FF0000"/>
                <w:sz w:val="21"/>
                <w:szCs w:val="21"/>
              </w:rPr>
              <w:t>Mechanisms to ensure funding to specialist women’s services</w:t>
            </w:r>
          </w:p>
        </w:tc>
        <w:tc>
          <w:tcPr>
            <w:tcW w:w="1842" w:type="dxa"/>
            <w:vMerge/>
            <w:tcBorders>
              <w:bottom w:val="single" w:sz="12" w:space="0" w:color="FF0000"/>
              <w:right w:val="single" w:sz="12" w:space="0" w:color="FF0000"/>
            </w:tcBorders>
            <w:shd w:val="clear" w:color="auto" w:fill="auto"/>
          </w:tcPr>
          <w:p w14:paraId="2C8281D0" w14:textId="77777777" w:rsidR="00F23D05" w:rsidRPr="004A25DB" w:rsidRDefault="00F23D05" w:rsidP="004A25DB">
            <w:pPr>
              <w:pStyle w:val="NoSpacing"/>
              <w:jc w:val="left"/>
              <w:rPr>
                <w:b/>
                <w:sz w:val="21"/>
                <w:szCs w:val="21"/>
              </w:rPr>
            </w:pPr>
          </w:p>
        </w:tc>
        <w:tc>
          <w:tcPr>
            <w:tcW w:w="284" w:type="dxa"/>
            <w:vMerge/>
            <w:tcBorders>
              <w:left w:val="single" w:sz="12" w:space="0" w:color="FF0000"/>
              <w:right w:val="dashSmallGap" w:sz="8" w:space="0" w:color="000000" w:themeColor="text1"/>
            </w:tcBorders>
            <w:shd w:val="clear" w:color="auto" w:fill="auto"/>
          </w:tcPr>
          <w:p w14:paraId="25BAE15B"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0D641CE7" w14:textId="77777777" w:rsidR="00F23D05" w:rsidRPr="004A25DB" w:rsidRDefault="00F23D05" w:rsidP="004A25DB">
            <w:pPr>
              <w:pStyle w:val="NoSpacing"/>
              <w:rPr>
                <w:sz w:val="21"/>
                <w:szCs w:val="21"/>
              </w:rPr>
            </w:pPr>
          </w:p>
        </w:tc>
      </w:tr>
      <w:tr w:rsidR="00F23D05" w:rsidRPr="004A25DB" w14:paraId="35C713EF" w14:textId="77777777" w:rsidTr="009D0FFE">
        <w:tc>
          <w:tcPr>
            <w:tcW w:w="5245" w:type="dxa"/>
            <w:tcBorders>
              <w:top w:val="single" w:sz="4" w:space="0" w:color="FF9999"/>
              <w:left w:val="single" w:sz="12" w:space="0" w:color="FF0000"/>
              <w:bottom w:val="single" w:sz="12" w:space="0" w:color="FF0000"/>
            </w:tcBorders>
            <w:shd w:val="clear" w:color="auto" w:fill="auto"/>
          </w:tcPr>
          <w:p w14:paraId="546CBCC6" w14:textId="450C2D10" w:rsidR="00F23D05" w:rsidRPr="004A25DB" w:rsidRDefault="00F23D05" w:rsidP="004A25DB">
            <w:pPr>
              <w:pStyle w:val="NoSpacing"/>
              <w:jc w:val="left"/>
              <w:rPr>
                <w:sz w:val="21"/>
                <w:szCs w:val="21"/>
              </w:rPr>
            </w:pPr>
            <w:r w:rsidRPr="004A25DB">
              <w:rPr>
                <w:color w:val="FF0000"/>
                <w:sz w:val="21"/>
                <w:szCs w:val="21"/>
              </w:rPr>
              <w:t xml:space="preserve">Developing services’ capability </w:t>
            </w:r>
          </w:p>
        </w:tc>
        <w:tc>
          <w:tcPr>
            <w:tcW w:w="1842" w:type="dxa"/>
            <w:vMerge/>
            <w:tcBorders>
              <w:bottom w:val="single" w:sz="12" w:space="0" w:color="FF0000"/>
              <w:right w:val="single" w:sz="12" w:space="0" w:color="FF0000"/>
            </w:tcBorders>
            <w:shd w:val="clear" w:color="auto" w:fill="auto"/>
          </w:tcPr>
          <w:p w14:paraId="6A92CE9F" w14:textId="77777777" w:rsidR="00F23D05" w:rsidRPr="004A25DB" w:rsidRDefault="00F23D05" w:rsidP="004A25DB">
            <w:pPr>
              <w:pStyle w:val="NoSpacing"/>
              <w:jc w:val="left"/>
              <w:rPr>
                <w:b/>
                <w:sz w:val="21"/>
                <w:szCs w:val="21"/>
              </w:rPr>
            </w:pPr>
          </w:p>
        </w:tc>
        <w:tc>
          <w:tcPr>
            <w:tcW w:w="284" w:type="dxa"/>
            <w:vMerge/>
            <w:tcBorders>
              <w:left w:val="single" w:sz="12" w:space="0" w:color="FF0000"/>
              <w:right w:val="dashSmallGap" w:sz="8" w:space="0" w:color="000000" w:themeColor="text1"/>
            </w:tcBorders>
            <w:shd w:val="clear" w:color="auto" w:fill="auto"/>
          </w:tcPr>
          <w:p w14:paraId="1D0D89AC"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2B675225" w14:textId="77777777" w:rsidR="00F23D05" w:rsidRPr="004A25DB" w:rsidRDefault="00F23D05" w:rsidP="004A25DB">
            <w:pPr>
              <w:pStyle w:val="NoSpacing"/>
              <w:rPr>
                <w:sz w:val="21"/>
                <w:szCs w:val="21"/>
              </w:rPr>
            </w:pPr>
          </w:p>
        </w:tc>
      </w:tr>
      <w:tr w:rsidR="00F23D05" w:rsidRPr="004A25DB" w14:paraId="1E9E35D0" w14:textId="77777777" w:rsidTr="009D0FFE">
        <w:tc>
          <w:tcPr>
            <w:tcW w:w="5245" w:type="dxa"/>
            <w:tcBorders>
              <w:top w:val="single" w:sz="12" w:space="0" w:color="FF0000"/>
              <w:bottom w:val="single" w:sz="12" w:space="0" w:color="C00000"/>
            </w:tcBorders>
            <w:shd w:val="clear" w:color="auto" w:fill="auto"/>
          </w:tcPr>
          <w:p w14:paraId="31547E09" w14:textId="5F7E1E73" w:rsidR="00F23D05" w:rsidRPr="004A25DB" w:rsidRDefault="00F23D05" w:rsidP="004A25DB">
            <w:pPr>
              <w:pStyle w:val="NoSpacing"/>
              <w:jc w:val="left"/>
              <w:rPr>
                <w:color w:val="FF0000"/>
                <w:sz w:val="21"/>
                <w:szCs w:val="21"/>
              </w:rPr>
            </w:pPr>
          </w:p>
        </w:tc>
        <w:tc>
          <w:tcPr>
            <w:tcW w:w="1842" w:type="dxa"/>
            <w:tcBorders>
              <w:top w:val="single" w:sz="12" w:space="0" w:color="FF0000"/>
              <w:bottom w:val="single" w:sz="12" w:space="0" w:color="C00000"/>
            </w:tcBorders>
            <w:shd w:val="clear" w:color="auto" w:fill="auto"/>
          </w:tcPr>
          <w:p w14:paraId="1173DA51" w14:textId="77777777" w:rsidR="00F23D05" w:rsidRPr="004A25DB" w:rsidRDefault="00F23D05" w:rsidP="004A25DB">
            <w:pPr>
              <w:pStyle w:val="NoSpacing"/>
              <w:jc w:val="left"/>
              <w:rPr>
                <w:b/>
                <w:sz w:val="21"/>
                <w:szCs w:val="21"/>
              </w:rPr>
            </w:pPr>
          </w:p>
        </w:tc>
        <w:tc>
          <w:tcPr>
            <w:tcW w:w="284" w:type="dxa"/>
            <w:vMerge/>
            <w:tcBorders>
              <w:left w:val="nil"/>
              <w:right w:val="dashSmallGap" w:sz="8" w:space="0" w:color="000000" w:themeColor="text1"/>
            </w:tcBorders>
            <w:shd w:val="clear" w:color="auto" w:fill="auto"/>
          </w:tcPr>
          <w:p w14:paraId="248B0E00"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05A4CECD" w14:textId="77777777" w:rsidR="00F23D05" w:rsidRPr="004A25DB" w:rsidRDefault="00F23D05" w:rsidP="004A25DB">
            <w:pPr>
              <w:pStyle w:val="NoSpacing"/>
              <w:rPr>
                <w:sz w:val="21"/>
                <w:szCs w:val="21"/>
              </w:rPr>
            </w:pPr>
          </w:p>
        </w:tc>
      </w:tr>
      <w:tr w:rsidR="00F23D05" w:rsidRPr="004A25DB" w14:paraId="23C12021" w14:textId="77777777" w:rsidTr="009D0FFE">
        <w:tc>
          <w:tcPr>
            <w:tcW w:w="5245" w:type="dxa"/>
            <w:tcBorders>
              <w:top w:val="single" w:sz="12" w:space="0" w:color="C00000"/>
              <w:left w:val="single" w:sz="12" w:space="0" w:color="C00000"/>
              <w:bottom w:val="single" w:sz="4" w:space="0" w:color="FF5050"/>
            </w:tcBorders>
            <w:shd w:val="clear" w:color="auto" w:fill="auto"/>
          </w:tcPr>
          <w:p w14:paraId="36832DE7" w14:textId="15406B58" w:rsidR="00F23D05" w:rsidRPr="004A25DB" w:rsidRDefault="00F23D05" w:rsidP="004A25DB">
            <w:pPr>
              <w:pStyle w:val="NoSpacing"/>
              <w:jc w:val="left"/>
              <w:rPr>
                <w:color w:val="FF0000"/>
                <w:sz w:val="21"/>
                <w:szCs w:val="21"/>
              </w:rPr>
            </w:pPr>
            <w:r w:rsidRPr="004A25DB">
              <w:rPr>
                <w:color w:val="FF0000"/>
                <w:sz w:val="21"/>
                <w:szCs w:val="21"/>
              </w:rPr>
              <w:t>Coordinated response to addressing violence against diverse groups of women</w:t>
            </w:r>
          </w:p>
        </w:tc>
        <w:tc>
          <w:tcPr>
            <w:tcW w:w="1842" w:type="dxa"/>
            <w:vMerge w:val="restart"/>
            <w:tcBorders>
              <w:top w:val="single" w:sz="12" w:space="0" w:color="C00000"/>
              <w:right w:val="single" w:sz="12" w:space="0" w:color="C00000"/>
            </w:tcBorders>
            <w:shd w:val="clear" w:color="auto" w:fill="auto"/>
            <w:vAlign w:val="center"/>
          </w:tcPr>
          <w:p w14:paraId="6184B961" w14:textId="77777777" w:rsidR="00F23D05" w:rsidRPr="004A25DB" w:rsidRDefault="00F23D05" w:rsidP="004A25DB">
            <w:pPr>
              <w:pStyle w:val="NoSpacing"/>
              <w:jc w:val="left"/>
              <w:rPr>
                <w:b/>
                <w:sz w:val="21"/>
                <w:szCs w:val="21"/>
              </w:rPr>
            </w:pPr>
            <w:r w:rsidRPr="004A25DB">
              <w:rPr>
                <w:b/>
                <w:sz w:val="21"/>
                <w:szCs w:val="21"/>
              </w:rPr>
              <w:t xml:space="preserve">Improving Coordination and Governance </w:t>
            </w:r>
          </w:p>
        </w:tc>
        <w:tc>
          <w:tcPr>
            <w:tcW w:w="284" w:type="dxa"/>
            <w:vMerge/>
            <w:tcBorders>
              <w:left w:val="single" w:sz="12" w:space="0" w:color="C00000"/>
              <w:right w:val="dashSmallGap" w:sz="8" w:space="0" w:color="000000" w:themeColor="text1"/>
            </w:tcBorders>
            <w:shd w:val="clear" w:color="auto" w:fill="auto"/>
          </w:tcPr>
          <w:p w14:paraId="3BC89C80"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1A28A14F" w14:textId="77777777" w:rsidR="00F23D05" w:rsidRPr="004A25DB" w:rsidRDefault="00F23D05" w:rsidP="004A25DB">
            <w:pPr>
              <w:pStyle w:val="NoSpacing"/>
              <w:rPr>
                <w:sz w:val="21"/>
                <w:szCs w:val="21"/>
              </w:rPr>
            </w:pPr>
          </w:p>
        </w:tc>
      </w:tr>
      <w:tr w:rsidR="00F23D05" w:rsidRPr="004A25DB" w14:paraId="32EFAD83" w14:textId="77777777" w:rsidTr="009D0FFE">
        <w:tc>
          <w:tcPr>
            <w:tcW w:w="5245" w:type="dxa"/>
            <w:tcBorders>
              <w:top w:val="single" w:sz="4" w:space="0" w:color="FF5050"/>
              <w:left w:val="single" w:sz="12" w:space="0" w:color="C00000"/>
              <w:bottom w:val="single" w:sz="4" w:space="0" w:color="FF5050"/>
            </w:tcBorders>
            <w:shd w:val="clear" w:color="auto" w:fill="auto"/>
          </w:tcPr>
          <w:p w14:paraId="42FA4FF4" w14:textId="5A83E5A2" w:rsidR="00F23D05" w:rsidRPr="004A25DB" w:rsidRDefault="00F23D05" w:rsidP="004A25DB">
            <w:pPr>
              <w:pStyle w:val="NoSpacing"/>
              <w:jc w:val="left"/>
              <w:rPr>
                <w:color w:val="FF0000"/>
                <w:sz w:val="21"/>
                <w:szCs w:val="21"/>
              </w:rPr>
            </w:pPr>
            <w:r w:rsidRPr="004A25DB">
              <w:rPr>
                <w:color w:val="FF0000"/>
                <w:sz w:val="21"/>
                <w:szCs w:val="21"/>
              </w:rPr>
              <w:t>Improved involvement of civil society</w:t>
            </w:r>
          </w:p>
        </w:tc>
        <w:tc>
          <w:tcPr>
            <w:tcW w:w="1842" w:type="dxa"/>
            <w:vMerge/>
            <w:tcBorders>
              <w:right w:val="single" w:sz="12" w:space="0" w:color="C00000"/>
            </w:tcBorders>
            <w:shd w:val="clear" w:color="auto" w:fill="auto"/>
          </w:tcPr>
          <w:p w14:paraId="17DA25CD" w14:textId="77777777" w:rsidR="00F23D05" w:rsidRPr="004A25DB" w:rsidRDefault="00F23D05" w:rsidP="004A25DB">
            <w:pPr>
              <w:pStyle w:val="NoSpacing"/>
              <w:jc w:val="left"/>
              <w:rPr>
                <w:b/>
                <w:sz w:val="21"/>
                <w:szCs w:val="21"/>
              </w:rPr>
            </w:pPr>
          </w:p>
        </w:tc>
        <w:tc>
          <w:tcPr>
            <w:tcW w:w="284" w:type="dxa"/>
            <w:vMerge/>
            <w:tcBorders>
              <w:left w:val="single" w:sz="12" w:space="0" w:color="C00000"/>
              <w:right w:val="dashSmallGap" w:sz="8" w:space="0" w:color="000000" w:themeColor="text1"/>
            </w:tcBorders>
            <w:shd w:val="clear" w:color="auto" w:fill="auto"/>
          </w:tcPr>
          <w:p w14:paraId="26E8DB01" w14:textId="77777777" w:rsidR="00F23D05" w:rsidRPr="004A25DB" w:rsidRDefault="00F23D05" w:rsidP="004A25DB">
            <w:pPr>
              <w:pStyle w:val="NoSpacing"/>
              <w:rPr>
                <w:sz w:val="21"/>
                <w:szCs w:val="21"/>
              </w:rPr>
            </w:pPr>
          </w:p>
        </w:tc>
        <w:tc>
          <w:tcPr>
            <w:tcW w:w="1701" w:type="dxa"/>
            <w:vMerge/>
            <w:tcBorders>
              <w:left w:val="dashSmallGap" w:sz="8" w:space="0" w:color="000000" w:themeColor="text1"/>
              <w:right w:val="dashSmallGap" w:sz="8" w:space="0" w:color="000000" w:themeColor="text1"/>
            </w:tcBorders>
            <w:shd w:val="clear" w:color="auto" w:fill="auto"/>
          </w:tcPr>
          <w:p w14:paraId="4E266B50" w14:textId="77777777" w:rsidR="00F23D05" w:rsidRPr="004A25DB" w:rsidRDefault="00F23D05" w:rsidP="004A25DB">
            <w:pPr>
              <w:pStyle w:val="NoSpacing"/>
              <w:rPr>
                <w:sz w:val="21"/>
                <w:szCs w:val="21"/>
              </w:rPr>
            </w:pPr>
          </w:p>
        </w:tc>
      </w:tr>
      <w:tr w:rsidR="00F23D05" w:rsidRPr="004A25DB" w14:paraId="2C21BA6A" w14:textId="77777777" w:rsidTr="009D0FFE">
        <w:tc>
          <w:tcPr>
            <w:tcW w:w="5245" w:type="dxa"/>
            <w:tcBorders>
              <w:top w:val="single" w:sz="4" w:space="0" w:color="FF5050"/>
              <w:left w:val="single" w:sz="12" w:space="0" w:color="C00000"/>
              <w:bottom w:val="single" w:sz="12" w:space="0" w:color="C00000"/>
            </w:tcBorders>
            <w:shd w:val="clear" w:color="auto" w:fill="auto"/>
          </w:tcPr>
          <w:p w14:paraId="2FE03F13" w14:textId="515C7083" w:rsidR="00F23D05" w:rsidRPr="004A25DB" w:rsidRDefault="00F23D05" w:rsidP="004A25DB">
            <w:pPr>
              <w:pStyle w:val="NoSpacing"/>
              <w:jc w:val="left"/>
              <w:rPr>
                <w:color w:val="FF0000"/>
                <w:sz w:val="21"/>
                <w:szCs w:val="21"/>
              </w:rPr>
            </w:pPr>
            <w:r w:rsidRPr="004A25DB">
              <w:rPr>
                <w:color w:val="FF0000"/>
                <w:sz w:val="21"/>
                <w:szCs w:val="21"/>
              </w:rPr>
              <w:t>Transparent, independent and periodic monitoring and evaluation</w:t>
            </w:r>
          </w:p>
        </w:tc>
        <w:tc>
          <w:tcPr>
            <w:tcW w:w="1842" w:type="dxa"/>
            <w:vMerge/>
            <w:tcBorders>
              <w:bottom w:val="single" w:sz="12" w:space="0" w:color="C00000"/>
              <w:right w:val="single" w:sz="12" w:space="0" w:color="C00000"/>
            </w:tcBorders>
            <w:shd w:val="clear" w:color="auto" w:fill="auto"/>
          </w:tcPr>
          <w:p w14:paraId="48E0967E" w14:textId="77777777" w:rsidR="00F23D05" w:rsidRPr="004A25DB" w:rsidRDefault="00F23D05" w:rsidP="004A25DB">
            <w:pPr>
              <w:pStyle w:val="NoSpacing"/>
              <w:jc w:val="left"/>
              <w:rPr>
                <w:b/>
                <w:sz w:val="21"/>
                <w:szCs w:val="21"/>
              </w:rPr>
            </w:pPr>
          </w:p>
        </w:tc>
        <w:tc>
          <w:tcPr>
            <w:tcW w:w="284" w:type="dxa"/>
            <w:vMerge/>
            <w:tcBorders>
              <w:left w:val="single" w:sz="12" w:space="0" w:color="C00000"/>
              <w:right w:val="dashSmallGap" w:sz="8" w:space="0" w:color="000000" w:themeColor="text1"/>
            </w:tcBorders>
            <w:shd w:val="clear" w:color="auto" w:fill="auto"/>
          </w:tcPr>
          <w:p w14:paraId="6AFA2A66" w14:textId="77777777" w:rsidR="00F23D05" w:rsidRPr="004A25DB" w:rsidRDefault="00F23D05" w:rsidP="004A25DB">
            <w:pPr>
              <w:pStyle w:val="NoSpacing"/>
              <w:rPr>
                <w:sz w:val="21"/>
                <w:szCs w:val="21"/>
              </w:rPr>
            </w:pPr>
          </w:p>
        </w:tc>
        <w:tc>
          <w:tcPr>
            <w:tcW w:w="1701" w:type="dxa"/>
            <w:vMerge/>
            <w:tcBorders>
              <w:left w:val="dashSmallGap" w:sz="8" w:space="0" w:color="000000" w:themeColor="text1"/>
              <w:bottom w:val="dashSmallGap" w:sz="8" w:space="0" w:color="000000" w:themeColor="text1"/>
              <w:right w:val="dashSmallGap" w:sz="8" w:space="0" w:color="000000" w:themeColor="text1"/>
            </w:tcBorders>
            <w:shd w:val="clear" w:color="auto" w:fill="auto"/>
          </w:tcPr>
          <w:p w14:paraId="1A3987F6" w14:textId="77777777" w:rsidR="00F23D05" w:rsidRPr="004A25DB" w:rsidRDefault="00F23D05" w:rsidP="004A25DB">
            <w:pPr>
              <w:pStyle w:val="NoSpacing"/>
              <w:rPr>
                <w:sz w:val="21"/>
                <w:szCs w:val="21"/>
              </w:rPr>
            </w:pPr>
          </w:p>
        </w:tc>
      </w:tr>
      <w:tr w:rsidR="00F23D05" w:rsidRPr="004A25DB" w14:paraId="493DD98C" w14:textId="77777777" w:rsidTr="009D0FFE">
        <w:trPr>
          <w:trHeight w:val="413"/>
        </w:trPr>
        <w:tc>
          <w:tcPr>
            <w:tcW w:w="9072" w:type="dxa"/>
            <w:gridSpan w:val="4"/>
            <w:shd w:val="clear" w:color="auto" w:fill="auto"/>
            <w:vAlign w:val="center"/>
          </w:tcPr>
          <w:p w14:paraId="24F94A61" w14:textId="2093C6C7" w:rsidR="00F23D05" w:rsidRPr="004A25DB" w:rsidRDefault="00CC75B8" w:rsidP="004A25DB">
            <w:pPr>
              <w:pStyle w:val="NoSpacing"/>
              <w:jc w:val="center"/>
              <w:rPr>
                <w:b/>
                <w:sz w:val="21"/>
                <w:szCs w:val="21"/>
              </w:rPr>
            </w:pPr>
            <w:r>
              <w:rPr>
                <w:b/>
                <w:sz w:val="21"/>
                <w:szCs w:val="21"/>
              </w:rPr>
              <w:t>sufficient and</w:t>
            </w:r>
            <w:r w:rsidR="00F23D05" w:rsidRPr="004A25DB">
              <w:rPr>
                <w:b/>
                <w:sz w:val="21"/>
                <w:szCs w:val="21"/>
              </w:rPr>
              <w:t xml:space="preserve"> long-term</w:t>
            </w:r>
          </w:p>
          <w:p w14:paraId="0AA724DD" w14:textId="33EA21D5" w:rsidR="00F23D05" w:rsidRPr="004A25DB" w:rsidRDefault="00F23D05" w:rsidP="004A25DB">
            <w:pPr>
              <w:pStyle w:val="NoSpacing"/>
              <w:jc w:val="center"/>
              <w:rPr>
                <w:b/>
                <w:sz w:val="21"/>
                <w:szCs w:val="21"/>
              </w:rPr>
            </w:pPr>
            <w:r w:rsidRPr="004A25DB">
              <w:rPr>
                <w:b/>
                <w:color w:val="7030A0"/>
                <w:sz w:val="21"/>
                <w:szCs w:val="21"/>
              </w:rPr>
              <w:t>FUNDING AND RESOURCING</w:t>
            </w:r>
          </w:p>
        </w:tc>
      </w:tr>
    </w:tbl>
    <w:p w14:paraId="4F663BCC" w14:textId="1D757A9E" w:rsidR="00F23D05" w:rsidRDefault="00F23D05">
      <w:pPr>
        <w:jc w:val="left"/>
      </w:pPr>
      <w:r>
        <w:br w:type="page"/>
      </w:r>
    </w:p>
    <w:p w14:paraId="2711CF92" w14:textId="7C9EEB2C" w:rsidR="00A81A31" w:rsidRPr="00BB2CCC" w:rsidRDefault="00A81A31" w:rsidP="00E43620">
      <w:pPr>
        <w:pStyle w:val="Heading2"/>
        <w:rPr>
          <w:lang w:val="en-AU"/>
        </w:rPr>
      </w:pPr>
      <w:r w:rsidRPr="00BB2CCC">
        <w:rPr>
          <w:lang w:val="en-AU"/>
        </w:rPr>
        <w:lastRenderedPageBreak/>
        <w:t>Approaches to end violence against women</w:t>
      </w:r>
    </w:p>
    <w:p w14:paraId="74422B96" w14:textId="77777777" w:rsidR="00CF021A" w:rsidRPr="00440E93" w:rsidRDefault="00CF021A" w:rsidP="00CF021A">
      <w:pPr>
        <w:pStyle w:val="ListParagraph"/>
        <w:numPr>
          <w:ilvl w:val="1"/>
          <w:numId w:val="9"/>
        </w:numPr>
        <w:spacing w:before="120" w:after="120"/>
        <w:ind w:left="709"/>
        <w:contextualSpacing w:val="0"/>
      </w:pPr>
      <w:r w:rsidRPr="00AD3ADE">
        <w:t xml:space="preserve">Respondents to AWAVA’s survey identified that primary prevention activities were the most visible and perceived as having made progress. However, many gaps remain, including the need for a more </w:t>
      </w:r>
      <w:r w:rsidRPr="00440E93">
        <w:rPr>
          <w:b/>
        </w:rPr>
        <w:t>intersectional and culturally-sensitive lens on prevention</w:t>
      </w:r>
      <w:r w:rsidRPr="00440E93">
        <w:t xml:space="preserve"> activities. Prevention of violence against women is a long-term project requiring ongoing resourcing and firm commitment over many decades. </w:t>
      </w:r>
    </w:p>
    <w:p w14:paraId="298F09F6" w14:textId="2122DEC0" w:rsidR="00CF021A" w:rsidRPr="00203EAF" w:rsidRDefault="00CF021A" w:rsidP="00CF021A">
      <w:pPr>
        <w:pStyle w:val="ListParagraph"/>
        <w:numPr>
          <w:ilvl w:val="1"/>
          <w:numId w:val="9"/>
        </w:numPr>
        <w:spacing w:before="120" w:after="120"/>
        <w:ind w:left="709"/>
        <w:contextualSpacing w:val="0"/>
      </w:pPr>
      <w:r w:rsidRPr="00440E93">
        <w:t xml:space="preserve">Ongoing work to </w:t>
      </w:r>
      <w:r w:rsidRPr="00440E93">
        <w:rPr>
          <w:b/>
        </w:rPr>
        <w:t>mainstream gender equality</w:t>
      </w:r>
      <w:r w:rsidRPr="00203EAF">
        <w:t xml:space="preserve"> and challenge patriarchy is required to end violence against women and their children. </w:t>
      </w:r>
      <w:r w:rsidR="00806F26">
        <w:t xml:space="preserve">Our Watch’s Change the Story framework identified the four key gendered drivers that need to be challenged: the condoning of violence against women; men’s control of decision-making and limits to women’s independence; rigid gender roles and identities; and male peer relations that emphasise aggression and disrespect to women. </w:t>
      </w:r>
    </w:p>
    <w:p w14:paraId="6F7DEE91" w14:textId="0E702A6A" w:rsidR="00CF021A" w:rsidRPr="00324A15" w:rsidRDefault="00CF021A" w:rsidP="00CF021A">
      <w:pPr>
        <w:pStyle w:val="ListParagraph"/>
        <w:numPr>
          <w:ilvl w:val="1"/>
          <w:numId w:val="9"/>
        </w:numPr>
        <w:spacing w:before="120" w:after="120"/>
        <w:ind w:left="709"/>
        <w:contextualSpacing w:val="0"/>
      </w:pPr>
      <w:r w:rsidRPr="00203EAF">
        <w:t xml:space="preserve">Governments and funding bodies at all levels need to provide </w:t>
      </w:r>
      <w:r w:rsidRPr="00203EAF">
        <w:rPr>
          <w:b/>
        </w:rPr>
        <w:t>gr</w:t>
      </w:r>
      <w:r w:rsidRPr="00324A15">
        <w:rPr>
          <w:b/>
        </w:rPr>
        <w:t>eater financial and institutional support</w:t>
      </w:r>
      <w:r w:rsidRPr="00324A15">
        <w:t xml:space="preserve"> to effective local and state based organisations and programs working in the area of violence prevention</w:t>
      </w:r>
      <w:r w:rsidR="00230B09">
        <w:t>, including education about gender</w:t>
      </w:r>
      <w:r w:rsidRPr="00324A15">
        <w:t>.</w:t>
      </w:r>
    </w:p>
    <w:p w14:paraId="4D362676" w14:textId="4B9F0668" w:rsidR="00CF021A" w:rsidRPr="00440E93" w:rsidRDefault="00CF021A" w:rsidP="006509E9">
      <w:pPr>
        <w:pStyle w:val="ListParagraph"/>
        <w:numPr>
          <w:ilvl w:val="2"/>
          <w:numId w:val="9"/>
        </w:numPr>
        <w:spacing w:before="120" w:after="120"/>
        <w:ind w:left="1134" w:firstLine="0"/>
        <w:contextualSpacing w:val="0"/>
      </w:pPr>
      <w:r w:rsidRPr="00324A15">
        <w:t xml:space="preserve">As Our Watch’s Counting on Change guide to prevention monitoring makes clear, demand for response services is expected to increase in the medium term </w:t>
      </w:r>
      <w:r w:rsidR="00E66FC4">
        <w:t xml:space="preserve">as </w:t>
      </w:r>
      <w:r w:rsidRPr="00324A15">
        <w:t xml:space="preserve">violence condoning attitudes </w:t>
      </w:r>
      <w:r w:rsidR="00EE71A4">
        <w:t xml:space="preserve">are challenged </w:t>
      </w:r>
      <w:r w:rsidRPr="00324A15">
        <w:t xml:space="preserve">and </w:t>
      </w:r>
      <w:r w:rsidR="00EE71A4">
        <w:t xml:space="preserve">reporting is </w:t>
      </w:r>
      <w:r w:rsidRPr="00324A15">
        <w:t>encourage</w:t>
      </w:r>
      <w:r w:rsidR="00EE71A4">
        <w:t>d</w:t>
      </w:r>
      <w:r w:rsidRPr="00324A15">
        <w:t>.</w:t>
      </w:r>
      <w:r w:rsidRPr="00AD3ADE">
        <w:rPr>
          <w:vertAlign w:val="superscript"/>
        </w:rPr>
        <w:footnoteReference w:id="2"/>
      </w:r>
      <w:r w:rsidRPr="00AD3ADE">
        <w:t xml:space="preserve"> Therefore we need a commitment to </w:t>
      </w:r>
      <w:r w:rsidRPr="00CC75B8">
        <w:rPr>
          <w:b/>
        </w:rPr>
        <w:t>comprehensive, secure and ongoing funding for prevention</w:t>
      </w:r>
      <w:r w:rsidRPr="00AD3ADE">
        <w:t xml:space="preserve"> a</w:t>
      </w:r>
      <w:r w:rsidR="00C13253">
        <w:t>cross jurisdictions as well as, not taken from,</w:t>
      </w:r>
      <w:r w:rsidRPr="00AD3ADE">
        <w:t xml:space="preserve"> response service funding</w:t>
      </w:r>
      <w:r w:rsidR="00C13253">
        <w:t xml:space="preserve"> (which itself needs to be increased)</w:t>
      </w:r>
      <w:r w:rsidRPr="00AD3ADE">
        <w:t xml:space="preserve">. </w:t>
      </w:r>
    </w:p>
    <w:p w14:paraId="316E6B63" w14:textId="22D494EE" w:rsidR="00CF021A" w:rsidRPr="00440E93" w:rsidRDefault="00CF021A" w:rsidP="006509E9">
      <w:pPr>
        <w:pStyle w:val="ListParagraph"/>
        <w:numPr>
          <w:ilvl w:val="2"/>
          <w:numId w:val="9"/>
        </w:numPr>
        <w:spacing w:before="120" w:after="120"/>
        <w:ind w:left="1134" w:firstLine="0"/>
        <w:contextualSpacing w:val="0"/>
      </w:pPr>
      <w:r w:rsidRPr="00440E93">
        <w:t xml:space="preserve">We need to increase </w:t>
      </w:r>
      <w:r w:rsidRPr="00CC75B8">
        <w:rPr>
          <w:b/>
        </w:rPr>
        <w:t>funding and support for community-led intersectional and culturally-sensitive prevention</w:t>
      </w:r>
      <w:r w:rsidRPr="00440E93">
        <w:t xml:space="preserve"> and early intervention initiatives in diverse communities including Aboriginal and Torres Strait Islander, LGBTIQ, culturally and linguistically diverse, migrant</w:t>
      </w:r>
      <w:r w:rsidR="00CC75B8">
        <w:t xml:space="preserve"> and refugee communities and at-</w:t>
      </w:r>
      <w:r w:rsidRPr="00440E93">
        <w:t xml:space="preserve">risk cohorts including women with disability, women in the sex industry, </w:t>
      </w:r>
      <w:r w:rsidR="00C13253">
        <w:t xml:space="preserve">women in rural and regional areas, </w:t>
      </w:r>
      <w:r w:rsidRPr="00440E93">
        <w:t>older women and young women.</w:t>
      </w:r>
    </w:p>
    <w:p w14:paraId="741A8BBB" w14:textId="6BF8088E" w:rsidR="00CF021A" w:rsidRPr="00203EAF" w:rsidRDefault="00CF021A" w:rsidP="00CF021A">
      <w:pPr>
        <w:pStyle w:val="ListParagraph"/>
        <w:numPr>
          <w:ilvl w:val="1"/>
          <w:numId w:val="9"/>
        </w:numPr>
        <w:spacing w:before="120" w:after="120"/>
        <w:ind w:left="709"/>
        <w:contextualSpacing w:val="0"/>
      </w:pPr>
      <w:r w:rsidRPr="00440E93">
        <w:t xml:space="preserve">There is currently no mechanism to </w:t>
      </w:r>
      <w:r w:rsidRPr="00203EAF">
        <w:rPr>
          <w:b/>
        </w:rPr>
        <w:t>coordinate primary prevention initiatives</w:t>
      </w:r>
      <w:r w:rsidRPr="00203EAF">
        <w:t xml:space="preserve"> across Australia. A coordination body or network </w:t>
      </w:r>
      <w:r w:rsidR="00EE71A4">
        <w:t xml:space="preserve">is needed to </w:t>
      </w:r>
      <w:r w:rsidRPr="00203EAF">
        <w:t xml:space="preserve">create opportunities to draw on good practice, identify gaps and learn from other practitioners. </w:t>
      </w:r>
    </w:p>
    <w:p w14:paraId="396F6BD0" w14:textId="0DA5F233" w:rsidR="00CF021A" w:rsidRPr="00440E93" w:rsidRDefault="00283262" w:rsidP="00CB26A3">
      <w:pPr>
        <w:pStyle w:val="ListParagraph"/>
        <w:numPr>
          <w:ilvl w:val="1"/>
          <w:numId w:val="9"/>
        </w:numPr>
        <w:spacing w:before="120" w:after="120"/>
        <w:ind w:left="709"/>
        <w:contextualSpacing w:val="0"/>
      </w:pPr>
      <w:r w:rsidRPr="00203EAF">
        <w:t>In addition to NCAS, PSS and</w:t>
      </w:r>
      <w:r w:rsidR="00EF6020">
        <w:t xml:space="preserve"> the </w:t>
      </w:r>
      <w:r w:rsidR="00EF6020" w:rsidRPr="00EF6020">
        <w:t>Australian Longitudinal Study on Women's Health</w:t>
      </w:r>
      <w:r w:rsidRPr="00B07114">
        <w:t xml:space="preserve"> t</w:t>
      </w:r>
      <w:r w:rsidR="00CF021A" w:rsidRPr="00B07114">
        <w:t xml:space="preserve">here is also a need to track progress on </w:t>
      </w:r>
      <w:r w:rsidR="00CF021A" w:rsidRPr="00CB26A3">
        <w:rPr>
          <w:b/>
        </w:rPr>
        <w:t>the key drivers of violence against women</w:t>
      </w:r>
      <w:r w:rsidR="00CF021A" w:rsidRPr="00B07114">
        <w:t xml:space="preserve"> at the population level, recognising the long-term, multi-faceted nature of primary prevention. Our Watch’s Countin</w:t>
      </w:r>
      <w:r w:rsidR="00CF021A" w:rsidRPr="00440E93">
        <w:t>g on Change guide is the key resource on which this work can be based.</w:t>
      </w:r>
    </w:p>
    <w:p w14:paraId="7154CC15" w14:textId="7DDC58D6" w:rsidR="00A81A31" w:rsidRPr="00BB2CCC" w:rsidRDefault="00A81A31" w:rsidP="00E43620">
      <w:pPr>
        <w:pStyle w:val="Heading2"/>
        <w:rPr>
          <w:lang w:val="en-AU"/>
        </w:rPr>
      </w:pPr>
      <w:r w:rsidRPr="00BB2CCC">
        <w:rPr>
          <w:lang w:val="en-AU"/>
        </w:rPr>
        <w:t>Addressing violence against diverse groups of women</w:t>
      </w:r>
    </w:p>
    <w:p w14:paraId="31453BE9" w14:textId="18B743FF" w:rsidR="00156BED" w:rsidRPr="00440E93" w:rsidRDefault="003917C3" w:rsidP="00440322">
      <w:pPr>
        <w:pStyle w:val="ListParagraph"/>
        <w:numPr>
          <w:ilvl w:val="1"/>
          <w:numId w:val="9"/>
        </w:numPr>
        <w:spacing w:before="120" w:after="120"/>
        <w:ind w:left="709"/>
        <w:contextualSpacing w:val="0"/>
      </w:pPr>
      <w:r w:rsidRPr="00AD3ADE">
        <w:t xml:space="preserve">The Fourth Action Plan needs to </w:t>
      </w:r>
      <w:r w:rsidR="00283262" w:rsidRPr="00AD3ADE">
        <w:rPr>
          <w:b/>
        </w:rPr>
        <w:t xml:space="preserve">use </w:t>
      </w:r>
      <w:r w:rsidRPr="00AD3ADE">
        <w:rPr>
          <w:b/>
        </w:rPr>
        <w:t xml:space="preserve">an </w:t>
      </w:r>
      <w:r w:rsidR="00156BED" w:rsidRPr="00B07114">
        <w:rPr>
          <w:b/>
        </w:rPr>
        <w:t xml:space="preserve">intersectional </w:t>
      </w:r>
      <w:r w:rsidRPr="00B07114">
        <w:rPr>
          <w:b/>
        </w:rPr>
        <w:t>lens</w:t>
      </w:r>
      <w:r w:rsidRPr="00B07114">
        <w:t xml:space="preserve"> in efforts </w:t>
      </w:r>
      <w:r w:rsidR="00156BED" w:rsidRPr="00B07114">
        <w:t xml:space="preserve">addressing violence against diverse groups of women. Addressing violence against diverse groups of women requires meaningful </w:t>
      </w:r>
      <w:r w:rsidRPr="00B07114">
        <w:t>consultation</w:t>
      </w:r>
      <w:r w:rsidR="00EE71A4">
        <w:t xml:space="preserve">, </w:t>
      </w:r>
      <w:r w:rsidR="00156BED" w:rsidRPr="00B07114">
        <w:t>co-design</w:t>
      </w:r>
      <w:r w:rsidRPr="00B07114">
        <w:t xml:space="preserve"> </w:t>
      </w:r>
      <w:r w:rsidR="00156BED" w:rsidRPr="00B07114">
        <w:t xml:space="preserve">and community-led initiatives. </w:t>
      </w:r>
    </w:p>
    <w:p w14:paraId="2D394A06" w14:textId="49B84DC7" w:rsidR="002F7CD1" w:rsidRPr="006B7A57" w:rsidRDefault="002F7CD1" w:rsidP="00440322">
      <w:pPr>
        <w:pStyle w:val="ListParagraph"/>
        <w:numPr>
          <w:ilvl w:val="1"/>
          <w:numId w:val="9"/>
        </w:numPr>
        <w:spacing w:before="120" w:after="120"/>
        <w:ind w:left="709"/>
        <w:contextualSpacing w:val="0"/>
      </w:pPr>
      <w:r w:rsidRPr="00440E93">
        <w:t xml:space="preserve">Responses to violence against </w:t>
      </w:r>
      <w:r w:rsidRPr="00440E93">
        <w:rPr>
          <w:b/>
        </w:rPr>
        <w:t>Aboriginal and Torres Strait Islander women</w:t>
      </w:r>
      <w:r w:rsidRPr="00440E93">
        <w:t xml:space="preserve"> need to be co-designed and community-led. Sufficient funding needs to be guaranteed to Aboriginal-</w:t>
      </w:r>
      <w:r w:rsidR="004208E1">
        <w:t>owned and -</w:t>
      </w:r>
      <w:r w:rsidRPr="00440E93">
        <w:t xml:space="preserve">controlled organisations. Mainstream services working with Aboriginal and Torres Strait Islander communities need to ensure </w:t>
      </w:r>
      <w:r w:rsidR="00C13253">
        <w:t>cultural</w:t>
      </w:r>
      <w:r w:rsidRPr="00203EAF">
        <w:t xml:space="preserve"> competency of service provision</w:t>
      </w:r>
      <w:r w:rsidRPr="006B7A57">
        <w:t xml:space="preserve">. </w:t>
      </w:r>
    </w:p>
    <w:p w14:paraId="09D98CE4" w14:textId="49DBFA52" w:rsidR="002F7CD1" w:rsidRPr="00440E93" w:rsidRDefault="002F7CD1" w:rsidP="00440322">
      <w:pPr>
        <w:pStyle w:val="ListParagraph"/>
        <w:numPr>
          <w:ilvl w:val="1"/>
          <w:numId w:val="9"/>
        </w:numPr>
        <w:spacing w:before="120" w:after="120"/>
        <w:ind w:left="709"/>
        <w:contextualSpacing w:val="0"/>
      </w:pPr>
      <w:r w:rsidRPr="00440E93">
        <w:lastRenderedPageBreak/>
        <w:t xml:space="preserve">Mainstream services working with </w:t>
      </w:r>
      <w:r w:rsidRPr="00440E93">
        <w:rPr>
          <w:b/>
        </w:rPr>
        <w:t>women from</w:t>
      </w:r>
      <w:r w:rsidRPr="00440E93">
        <w:t xml:space="preserve"> </w:t>
      </w:r>
      <w:r w:rsidRPr="00440E93">
        <w:rPr>
          <w:b/>
        </w:rPr>
        <w:t>culturally and linguistically diverse backgrounds</w:t>
      </w:r>
      <w:r w:rsidRPr="00440E93">
        <w:t xml:space="preserve"> need to ensure that service provision is culturally competent. More culturally appropriate community education is required</w:t>
      </w:r>
      <w:r w:rsidR="00EE71A4">
        <w:t>, and r</w:t>
      </w:r>
      <w:r w:rsidRPr="00440E93">
        <w:t xml:space="preserve">esponses need to be co-designed and community-led. </w:t>
      </w:r>
      <w:r w:rsidR="00EE71A4">
        <w:t>The d</w:t>
      </w:r>
      <w:r w:rsidRPr="00440E93">
        <w:t xml:space="preserve">iversity and different circumstances of women </w:t>
      </w:r>
      <w:r w:rsidR="00E66FC4">
        <w:t xml:space="preserve">from culturally and linguistically diverse backgrounds </w:t>
      </w:r>
      <w:r w:rsidRPr="00440E93">
        <w:t xml:space="preserve">(e.g. women on temporary visas </w:t>
      </w:r>
      <w:r w:rsidR="00E66FC4">
        <w:t>facing</w:t>
      </w:r>
      <w:r w:rsidR="00E66FC4" w:rsidRPr="00440E93">
        <w:t xml:space="preserve"> </w:t>
      </w:r>
      <w:r w:rsidRPr="00440E93">
        <w:t xml:space="preserve">violence) needs to be properly addressed. </w:t>
      </w:r>
    </w:p>
    <w:p w14:paraId="79FECFF4" w14:textId="74E24A8B" w:rsidR="002F7CD1" w:rsidRPr="00203EAF" w:rsidRDefault="002F7CD1" w:rsidP="00440322">
      <w:pPr>
        <w:pStyle w:val="ListParagraph"/>
        <w:numPr>
          <w:ilvl w:val="1"/>
          <w:numId w:val="9"/>
        </w:numPr>
        <w:spacing w:before="120" w:after="120"/>
        <w:ind w:left="709"/>
        <w:contextualSpacing w:val="0"/>
      </w:pPr>
      <w:r w:rsidRPr="00440E93">
        <w:t xml:space="preserve">To address violence against </w:t>
      </w:r>
      <w:r w:rsidRPr="00203EAF">
        <w:rPr>
          <w:b/>
        </w:rPr>
        <w:t>women with disability</w:t>
      </w:r>
      <w:r w:rsidRPr="00203EAF">
        <w:t xml:space="preserve"> an emphasis on more competent and responsive services is required, as well as consultation and coordination with organisations that are led by women with disability.</w:t>
      </w:r>
      <w:r w:rsidR="00FF5B02" w:rsidRPr="00203EAF">
        <w:t xml:space="preserve"> </w:t>
      </w:r>
      <w:r w:rsidR="00E66FC4">
        <w:t>A</w:t>
      </w:r>
      <w:r w:rsidR="00E66FC4" w:rsidRPr="00203EAF">
        <w:t xml:space="preserve"> </w:t>
      </w:r>
      <w:r w:rsidR="00FF5B02" w:rsidRPr="00203EAF">
        <w:t xml:space="preserve">Royal Commission into Violence against People with Disability needs to be established. </w:t>
      </w:r>
      <w:r w:rsidR="00C13253">
        <w:t xml:space="preserve">The recommendations </w:t>
      </w:r>
      <w:r w:rsidR="00EE71A4">
        <w:t xml:space="preserve">of </w:t>
      </w:r>
      <w:r w:rsidR="00C13253">
        <w:t>the ‘Stop the Violence’ project need to be implemented, monitored and evaluated</w:t>
      </w:r>
      <w:r w:rsidR="00FF5B02" w:rsidRPr="00203EAF">
        <w:t xml:space="preserve">. </w:t>
      </w:r>
    </w:p>
    <w:p w14:paraId="5FE1373B" w14:textId="2871D784" w:rsidR="00156BED" w:rsidRPr="00E66FC4" w:rsidRDefault="00130DE2" w:rsidP="00440322">
      <w:pPr>
        <w:pStyle w:val="ListParagraph"/>
        <w:numPr>
          <w:ilvl w:val="1"/>
          <w:numId w:val="9"/>
        </w:numPr>
        <w:spacing w:before="120" w:after="120"/>
        <w:ind w:left="709"/>
        <w:contextualSpacing w:val="0"/>
      </w:pPr>
      <w:r>
        <w:t>The impact of v</w:t>
      </w:r>
      <w:r w:rsidR="00156BED" w:rsidRPr="00324A15">
        <w:t xml:space="preserve">iolence </w:t>
      </w:r>
      <w:r>
        <w:t xml:space="preserve">on </w:t>
      </w:r>
      <w:r w:rsidR="00156BED" w:rsidRPr="00324A15">
        <w:t xml:space="preserve">other groups is increasingly of concern. These include </w:t>
      </w:r>
      <w:r w:rsidR="00FF5B02" w:rsidRPr="00324A15">
        <w:t xml:space="preserve">LGBTIQ people, </w:t>
      </w:r>
      <w:r w:rsidR="003917C3" w:rsidRPr="00324A15">
        <w:t>young women</w:t>
      </w:r>
      <w:r>
        <w:t>,</w:t>
      </w:r>
      <w:r w:rsidR="003917C3" w:rsidRPr="00324A15">
        <w:t xml:space="preserve"> </w:t>
      </w:r>
      <w:r w:rsidR="00156BED" w:rsidRPr="00324A15">
        <w:t xml:space="preserve">older women, </w:t>
      </w:r>
      <w:r w:rsidR="00156BED" w:rsidRPr="00E66FC4">
        <w:t xml:space="preserve">women on temporary visas who are experiencing violence, </w:t>
      </w:r>
      <w:r w:rsidR="00C3227B" w:rsidRPr="009D0FFE">
        <w:t xml:space="preserve">women experiencing financial hardship and/or poverty, </w:t>
      </w:r>
      <w:r w:rsidR="00156BED" w:rsidRPr="009D0FFE">
        <w:t>women in prisons, women in</w:t>
      </w:r>
      <w:r w:rsidR="00C3227B" w:rsidRPr="009D0FFE">
        <w:t xml:space="preserve"> the</w:t>
      </w:r>
      <w:r w:rsidR="00156BED" w:rsidRPr="009D0FFE">
        <w:t xml:space="preserve"> sex </w:t>
      </w:r>
      <w:r w:rsidR="00C3227B" w:rsidRPr="009D0FFE">
        <w:t>industry</w:t>
      </w:r>
      <w:r w:rsidR="00C13253" w:rsidRPr="009D0FFE">
        <w:t>, women in rural and regional areas</w:t>
      </w:r>
      <w:r w:rsidR="003917C3" w:rsidRPr="009D0FFE">
        <w:t>,</w:t>
      </w:r>
      <w:r w:rsidR="003917C3" w:rsidRPr="00E66FC4">
        <w:t xml:space="preserve"> and children. </w:t>
      </w:r>
    </w:p>
    <w:p w14:paraId="7BB67B5D" w14:textId="27A3793F" w:rsidR="00FF5B02" w:rsidRPr="00AD3ADE" w:rsidRDefault="00FF5B02" w:rsidP="00B51ADE">
      <w:pPr>
        <w:pStyle w:val="ListParagraph"/>
        <w:numPr>
          <w:ilvl w:val="2"/>
          <w:numId w:val="9"/>
        </w:numPr>
        <w:spacing w:before="120" w:after="120"/>
        <w:ind w:left="1134" w:firstLine="0"/>
        <w:contextualSpacing w:val="0"/>
      </w:pPr>
      <w:r w:rsidRPr="00DE7FD9">
        <w:t xml:space="preserve">Sustainable and adequate funding </w:t>
      </w:r>
      <w:r w:rsidR="00130DE2">
        <w:t xml:space="preserve">is needed </w:t>
      </w:r>
      <w:r w:rsidRPr="00DE7FD9">
        <w:t xml:space="preserve">for the development of </w:t>
      </w:r>
      <w:r w:rsidRPr="00DE7FD9">
        <w:rPr>
          <w:b/>
        </w:rPr>
        <w:t>LGBTIQ</w:t>
      </w:r>
      <w:r w:rsidRPr="002F5659">
        <w:t>-specific resources, programs and targeted community education campaigns</w:t>
      </w:r>
      <w:r w:rsidR="00130DE2">
        <w:t>,</w:t>
      </w:r>
      <w:r w:rsidRPr="002F5659">
        <w:t xml:space="preserve"> as well as effective prevention strategies. Mainstream services must be resourced and trained to adopt inclusive practices and provide appropriate support. </w:t>
      </w:r>
      <w:r w:rsidR="00130DE2">
        <w:t>More i</w:t>
      </w:r>
      <w:r w:rsidRPr="002F5659">
        <w:t>nvest</w:t>
      </w:r>
      <w:r w:rsidR="006509E9" w:rsidRPr="00A169D8">
        <w:t>ment</w:t>
      </w:r>
      <w:r w:rsidRPr="00A169D8">
        <w:t xml:space="preserve"> in research about domestic and family violence and sexual assault in the LGBTIQ community is required</w:t>
      </w:r>
      <w:r w:rsidRPr="00AD3ADE">
        <w:rPr>
          <w:vertAlign w:val="superscript"/>
        </w:rPr>
        <w:footnoteReference w:id="3"/>
      </w:r>
      <w:r w:rsidRPr="00AD3ADE">
        <w:t>.</w:t>
      </w:r>
    </w:p>
    <w:p w14:paraId="6826142A" w14:textId="456F1AC9" w:rsidR="003917C3" w:rsidRPr="006B7A57" w:rsidRDefault="000F2DB9" w:rsidP="00B51ADE">
      <w:pPr>
        <w:pStyle w:val="ListParagraph"/>
        <w:numPr>
          <w:ilvl w:val="2"/>
          <w:numId w:val="9"/>
        </w:numPr>
        <w:spacing w:before="120" w:after="120"/>
        <w:ind w:left="1134" w:firstLine="0"/>
        <w:contextualSpacing w:val="0"/>
      </w:pPr>
      <w:r w:rsidRPr="00B07114">
        <w:t xml:space="preserve">Violence against </w:t>
      </w:r>
      <w:r w:rsidRPr="00B07114">
        <w:rPr>
          <w:b/>
        </w:rPr>
        <w:t>young women</w:t>
      </w:r>
      <w:r w:rsidRPr="00B07114">
        <w:t xml:space="preserve"> needs to be addressed</w:t>
      </w:r>
      <w:r w:rsidR="00130DE2">
        <w:t>,</w:t>
      </w:r>
      <w:r w:rsidRPr="00B07114">
        <w:t xml:space="preserve"> in particular in the context of sexual harassment and assault in university settings</w:t>
      </w:r>
      <w:r w:rsidR="00230B09">
        <w:t>, dating violence</w:t>
      </w:r>
      <w:r w:rsidRPr="00B07114">
        <w:t xml:space="preserve"> and access to services and justice for international students regardless </w:t>
      </w:r>
      <w:r w:rsidR="00130DE2">
        <w:t xml:space="preserve">of </w:t>
      </w:r>
      <w:r w:rsidRPr="00B07114">
        <w:t xml:space="preserve">their visa status. </w:t>
      </w:r>
    </w:p>
    <w:p w14:paraId="480F0563" w14:textId="52637400" w:rsidR="000F2DB9" w:rsidRPr="00440E93" w:rsidRDefault="000F2DB9" w:rsidP="00B51ADE">
      <w:pPr>
        <w:pStyle w:val="ListParagraph"/>
        <w:numPr>
          <w:ilvl w:val="2"/>
          <w:numId w:val="9"/>
        </w:numPr>
        <w:spacing w:before="120" w:after="120"/>
        <w:ind w:left="1134" w:firstLine="0"/>
        <w:contextualSpacing w:val="0"/>
      </w:pPr>
      <w:r w:rsidRPr="00440E93">
        <w:t xml:space="preserve">Violence against </w:t>
      </w:r>
      <w:r w:rsidRPr="00440E93">
        <w:rPr>
          <w:b/>
        </w:rPr>
        <w:t>older women</w:t>
      </w:r>
      <w:r w:rsidRPr="00440E93">
        <w:t xml:space="preserve"> needs to be addressed as an intersectional </w:t>
      </w:r>
      <w:r w:rsidR="00AF4C8E" w:rsidRPr="00440E93">
        <w:t>problem</w:t>
      </w:r>
      <w:r w:rsidR="00C13253">
        <w:t xml:space="preserve"> across the lifespan,</w:t>
      </w:r>
      <w:r w:rsidR="00AF4C8E" w:rsidRPr="00440E93">
        <w:t xml:space="preserve"> rooted in </w:t>
      </w:r>
      <w:r w:rsidR="00C13253">
        <w:t>discrimination,</w:t>
      </w:r>
      <w:r w:rsidR="00C13253" w:rsidRPr="00440E93">
        <w:t xml:space="preserve"> </w:t>
      </w:r>
      <w:r w:rsidR="00AF4C8E" w:rsidRPr="00440E93">
        <w:t>gender inequality</w:t>
      </w:r>
      <w:r w:rsidR="00C13253">
        <w:t xml:space="preserve"> </w:t>
      </w:r>
      <w:r w:rsidR="00AF4C8E" w:rsidRPr="00440E93">
        <w:t>and ageism. It is manifested in the context of family violence, sexual violence, elder abuse, homelessness and economic insecurity</w:t>
      </w:r>
      <w:r w:rsidR="00C13253">
        <w:t xml:space="preserve"> and inequality</w:t>
      </w:r>
      <w:r w:rsidR="00AF4C8E" w:rsidRPr="00440E93">
        <w:t xml:space="preserve">. </w:t>
      </w:r>
    </w:p>
    <w:p w14:paraId="5D263CBC" w14:textId="4EE4BF21" w:rsidR="00A81A31" w:rsidRPr="00BB2CCC" w:rsidRDefault="00A81A31" w:rsidP="00E43620">
      <w:pPr>
        <w:pStyle w:val="Heading2"/>
        <w:rPr>
          <w:lang w:val="en-AU"/>
        </w:rPr>
      </w:pPr>
      <w:r w:rsidRPr="00BB2CCC">
        <w:rPr>
          <w:lang w:val="en-AU"/>
        </w:rPr>
        <w:t>Addressing different types of violence against women</w:t>
      </w:r>
    </w:p>
    <w:p w14:paraId="00DE3EB2" w14:textId="7F7A5644" w:rsidR="00C00BA3" w:rsidRPr="006B7A57" w:rsidRDefault="00C00BA3" w:rsidP="000B576C">
      <w:pPr>
        <w:pStyle w:val="ListParagraph"/>
        <w:numPr>
          <w:ilvl w:val="1"/>
          <w:numId w:val="9"/>
        </w:numPr>
        <w:spacing w:before="120" w:after="120"/>
        <w:ind w:left="709"/>
        <w:contextualSpacing w:val="0"/>
      </w:pPr>
      <w:r w:rsidRPr="00AD3ADE">
        <w:t xml:space="preserve">Responses to </w:t>
      </w:r>
      <w:r w:rsidRPr="00AD3ADE">
        <w:rPr>
          <w:b/>
        </w:rPr>
        <w:t>sexual violence</w:t>
      </w:r>
      <w:r w:rsidRPr="00AD3ADE">
        <w:t xml:space="preserve"> </w:t>
      </w:r>
      <w:r w:rsidR="00807971">
        <w:t xml:space="preserve">(including sexual harassment) </w:t>
      </w:r>
      <w:r w:rsidRPr="00AD3ADE">
        <w:t xml:space="preserve">require a higher prioritisation and visibility in </w:t>
      </w:r>
      <w:r w:rsidR="006509E9" w:rsidRPr="00B07114">
        <w:t>their</w:t>
      </w:r>
      <w:r w:rsidRPr="00B07114">
        <w:t xml:space="preserve"> own right</w:t>
      </w:r>
      <w:r w:rsidR="00130DE2">
        <w:t>.</w:t>
      </w:r>
      <w:r w:rsidRPr="00B07114">
        <w:t xml:space="preserve"> </w:t>
      </w:r>
      <w:r w:rsidR="00130DE2">
        <w:t>S</w:t>
      </w:r>
      <w:r w:rsidRPr="006B7A57">
        <w:t xml:space="preserve">exual violence remains subsumed under the definition of domestic and family violence, which is contributing to the invisibility of the issue. </w:t>
      </w:r>
    </w:p>
    <w:p w14:paraId="54384C83" w14:textId="32A2FE68" w:rsidR="00C00BA3" w:rsidRPr="00440E93" w:rsidRDefault="009E5066" w:rsidP="000B576C">
      <w:pPr>
        <w:pStyle w:val="ListParagraph"/>
        <w:numPr>
          <w:ilvl w:val="2"/>
          <w:numId w:val="9"/>
        </w:numPr>
        <w:spacing w:before="120" w:after="120"/>
        <w:ind w:left="1134" w:firstLine="0"/>
        <w:contextualSpacing w:val="0"/>
      </w:pPr>
      <w:r w:rsidRPr="00440E93">
        <w:t xml:space="preserve">It is essential that prevention </w:t>
      </w:r>
      <w:r w:rsidR="00E66FC4">
        <w:t xml:space="preserve">of </w:t>
      </w:r>
      <w:r w:rsidRPr="00440E93">
        <w:t xml:space="preserve">and responses to sexual violence are </w:t>
      </w:r>
      <w:r w:rsidRPr="00CC75B8">
        <w:rPr>
          <w:b/>
        </w:rPr>
        <w:t>integrated</w:t>
      </w:r>
      <w:r w:rsidRPr="00440E93">
        <w:t xml:space="preserve"> across all priorities of the National Plan and Action Plans. </w:t>
      </w:r>
    </w:p>
    <w:p w14:paraId="369F2D7C" w14:textId="57179E81" w:rsidR="00156BED" w:rsidRPr="00203EAF" w:rsidRDefault="00185473" w:rsidP="000B576C">
      <w:pPr>
        <w:pStyle w:val="ListParagraph"/>
        <w:numPr>
          <w:ilvl w:val="2"/>
          <w:numId w:val="9"/>
        </w:numPr>
        <w:spacing w:before="120" w:after="120"/>
        <w:ind w:left="1134" w:firstLine="0"/>
        <w:contextualSpacing w:val="0"/>
      </w:pPr>
      <w:r w:rsidRPr="00440E93">
        <w:t xml:space="preserve">Prevention of sexual violence should include </w:t>
      </w:r>
      <w:r w:rsidRPr="00CC75B8">
        <w:rPr>
          <w:b/>
        </w:rPr>
        <w:t xml:space="preserve">comprehensive sexuality education, education about </w:t>
      </w:r>
      <w:r w:rsidR="00130DE2" w:rsidRPr="00CC75B8">
        <w:rPr>
          <w:b/>
        </w:rPr>
        <w:t xml:space="preserve">gender and </w:t>
      </w:r>
      <w:r w:rsidRPr="00CC75B8">
        <w:rPr>
          <w:b/>
        </w:rPr>
        <w:t>respectful relationships</w:t>
      </w:r>
      <w:r w:rsidRPr="00440E93">
        <w:t xml:space="preserve"> that is inclusive of diverse ages, cultures and sexualities as well as support for sexual health at all stages of life and in all settings. Prevention </w:t>
      </w:r>
      <w:r w:rsidR="00E66FC4">
        <w:t xml:space="preserve">of </w:t>
      </w:r>
      <w:r w:rsidRPr="00440E93">
        <w:t xml:space="preserve">and responses to sexual violence need to be done through an intersectional lens </w:t>
      </w:r>
      <w:proofErr w:type="gramStart"/>
      <w:r w:rsidRPr="00440E93">
        <w:t>taking into account</w:t>
      </w:r>
      <w:proofErr w:type="gramEnd"/>
      <w:r w:rsidRPr="00440E93">
        <w:t xml:space="preserve"> compound</w:t>
      </w:r>
      <w:r w:rsidR="00E66FC4">
        <w:t>ing</w:t>
      </w:r>
      <w:r w:rsidRPr="00440E93">
        <w:t xml:space="preserve"> effects </w:t>
      </w:r>
      <w:r w:rsidR="00B40E60" w:rsidRPr="00440E93">
        <w:t xml:space="preserve">arising from </w:t>
      </w:r>
      <w:r w:rsidR="00E66FC4">
        <w:t xml:space="preserve">interacting </w:t>
      </w:r>
      <w:r w:rsidR="00B40E60" w:rsidRPr="00440E93">
        <w:t xml:space="preserve">diverse identities and experiences. </w:t>
      </w:r>
    </w:p>
    <w:p w14:paraId="2AF1DA5A" w14:textId="40289E38" w:rsidR="00C00BA3" w:rsidRPr="00203EAF" w:rsidRDefault="00C00BA3" w:rsidP="000B576C">
      <w:pPr>
        <w:pStyle w:val="ListParagraph"/>
        <w:numPr>
          <w:ilvl w:val="2"/>
          <w:numId w:val="9"/>
        </w:numPr>
        <w:spacing w:before="120" w:after="120"/>
        <w:ind w:left="1134" w:firstLine="0"/>
        <w:contextualSpacing w:val="0"/>
      </w:pPr>
      <w:r w:rsidRPr="00203EAF">
        <w:t xml:space="preserve">Law reform and policy development should focus on measures to enhance </w:t>
      </w:r>
      <w:r w:rsidRPr="00CC75B8">
        <w:rPr>
          <w:b/>
        </w:rPr>
        <w:t>safe mechanisms of disclosure, promote reporting</w:t>
      </w:r>
      <w:r w:rsidR="00C13253" w:rsidRPr="00CC75B8">
        <w:rPr>
          <w:b/>
        </w:rPr>
        <w:t xml:space="preserve"> and evidence collection</w:t>
      </w:r>
      <w:r w:rsidRPr="00CC75B8">
        <w:rPr>
          <w:b/>
        </w:rPr>
        <w:t xml:space="preserve"> and challenge </w:t>
      </w:r>
      <w:r w:rsidR="00C13253" w:rsidRPr="00CC75B8">
        <w:rPr>
          <w:b/>
        </w:rPr>
        <w:t xml:space="preserve">the </w:t>
      </w:r>
      <w:r w:rsidRPr="00CC75B8">
        <w:rPr>
          <w:b/>
        </w:rPr>
        <w:t>community, police and judicial attitudes</w:t>
      </w:r>
      <w:r w:rsidRPr="00203EAF">
        <w:t xml:space="preserve"> to sexual assault that continue to reinforce its </w:t>
      </w:r>
      <w:r w:rsidRPr="00203EAF">
        <w:lastRenderedPageBreak/>
        <w:t xml:space="preserve">invisibility. </w:t>
      </w:r>
      <w:r w:rsidR="007D7E26" w:rsidRPr="00203EAF">
        <w:t>There is a strong need for consistent legislation and response</w:t>
      </w:r>
      <w:r w:rsidR="00E66FC4">
        <w:t>s</w:t>
      </w:r>
      <w:r w:rsidR="007D7E26" w:rsidRPr="00203EAF">
        <w:t xml:space="preserve"> to sexual violence.</w:t>
      </w:r>
    </w:p>
    <w:p w14:paraId="4916A22F" w14:textId="2970E142" w:rsidR="006760CA" w:rsidRPr="00A169D8" w:rsidRDefault="00156BED" w:rsidP="000B576C">
      <w:pPr>
        <w:pStyle w:val="ListParagraph"/>
        <w:numPr>
          <w:ilvl w:val="1"/>
          <w:numId w:val="9"/>
        </w:numPr>
        <w:spacing w:before="120" w:after="120"/>
        <w:ind w:left="709"/>
        <w:contextualSpacing w:val="0"/>
      </w:pPr>
      <w:r w:rsidRPr="00324A15">
        <w:t xml:space="preserve">More work needs to be done to increase awareness and improve responses to </w:t>
      </w:r>
      <w:r w:rsidR="008F2A0A" w:rsidRPr="00CC75B8">
        <w:rPr>
          <w:b/>
        </w:rPr>
        <w:t>other</w:t>
      </w:r>
      <w:r w:rsidR="008F2A0A" w:rsidRPr="00324A15">
        <w:t xml:space="preserve"> </w:t>
      </w:r>
      <w:r w:rsidR="00130DE2">
        <w:rPr>
          <w:b/>
        </w:rPr>
        <w:t xml:space="preserve">forms </w:t>
      </w:r>
      <w:r w:rsidRPr="00324A15">
        <w:rPr>
          <w:b/>
        </w:rPr>
        <w:t>of violence against women</w:t>
      </w:r>
      <w:r w:rsidR="006760CA" w:rsidRPr="00324A15">
        <w:t xml:space="preserve"> excluded from the focus on a conventional understanding of domestic and family violence</w:t>
      </w:r>
      <w:r w:rsidR="00130DE2">
        <w:t>,</w:t>
      </w:r>
      <w:r w:rsidR="006760CA" w:rsidRPr="00324A15">
        <w:t xml:space="preserve"> </w:t>
      </w:r>
      <w:r w:rsidRPr="00DE7FD9">
        <w:t xml:space="preserve">including trafficking and sexual exploitation, </w:t>
      </w:r>
      <w:r w:rsidR="00C13253">
        <w:t xml:space="preserve">early and </w:t>
      </w:r>
      <w:r w:rsidRPr="00DE7FD9">
        <w:t>forced marriage, dowry abuse, and labour, domestic and sexual servitude.</w:t>
      </w:r>
      <w:r w:rsidR="006760CA" w:rsidRPr="00DE7FD9">
        <w:t xml:space="preserve"> </w:t>
      </w:r>
      <w:r w:rsidR="000B576C" w:rsidRPr="002F5659">
        <w:t>Responses to these forms of violence needs to be co-designed with diverse communities and ensure access to service irrespective</w:t>
      </w:r>
      <w:r w:rsidR="00C13253">
        <w:t xml:space="preserve"> of</w:t>
      </w:r>
      <w:r w:rsidR="000B576C" w:rsidRPr="002F5659">
        <w:t xml:space="preserve"> the intention to press charges. Additionally, manifestations of violence </w:t>
      </w:r>
      <w:r w:rsidR="00C13253">
        <w:t xml:space="preserve">such </w:t>
      </w:r>
      <w:r w:rsidR="000B576C" w:rsidRPr="002F5659">
        <w:t>as reproductive coercion, forced sterilisation of women with disability and medically unnece</w:t>
      </w:r>
      <w:r w:rsidR="000B576C" w:rsidRPr="00A169D8">
        <w:t xml:space="preserve">ssary procedures on intersex infants and children need to be in scope of efforts to end violence against women. </w:t>
      </w:r>
    </w:p>
    <w:p w14:paraId="62DD9E53" w14:textId="6A7E690E" w:rsidR="006509E9" w:rsidRPr="00AD3ADE" w:rsidRDefault="006509E9" w:rsidP="006509E9">
      <w:pPr>
        <w:pStyle w:val="ListParagraph"/>
        <w:numPr>
          <w:ilvl w:val="1"/>
          <w:numId w:val="9"/>
        </w:numPr>
        <w:spacing w:before="120" w:after="120"/>
        <w:ind w:left="709"/>
        <w:contextualSpacing w:val="0"/>
      </w:pPr>
      <w:r w:rsidRPr="00A169D8">
        <w:t>Effective services assisting women</w:t>
      </w:r>
      <w:r w:rsidR="00C13253">
        <w:t xml:space="preserve"> and front-line services</w:t>
      </w:r>
      <w:r w:rsidRPr="00A169D8">
        <w:t xml:space="preserve"> with</w:t>
      </w:r>
      <w:r w:rsidR="00C13253">
        <w:t xml:space="preserve"> current and emerging</w:t>
      </w:r>
      <w:r w:rsidRPr="00A169D8">
        <w:t xml:space="preserve"> </w:t>
      </w:r>
      <w:r w:rsidRPr="00A169D8">
        <w:rPr>
          <w:b/>
        </w:rPr>
        <w:t>technology-facilitated abuse</w:t>
      </w:r>
      <w:r w:rsidRPr="00A169D8">
        <w:t xml:space="preserve"> and improving technology safety need to be built upon and expanded.</w:t>
      </w:r>
    </w:p>
    <w:p w14:paraId="1EF4E2EC" w14:textId="638BD76F" w:rsidR="00A81A31" w:rsidRPr="00BB2CCC" w:rsidRDefault="00A81A31" w:rsidP="00E43620">
      <w:pPr>
        <w:pStyle w:val="Heading2"/>
        <w:rPr>
          <w:lang w:val="en-AU"/>
        </w:rPr>
      </w:pPr>
      <w:r w:rsidRPr="00BB2CCC">
        <w:rPr>
          <w:lang w:val="en-AU"/>
        </w:rPr>
        <w:t>Strengthening systems</w:t>
      </w:r>
    </w:p>
    <w:p w14:paraId="06D4A960" w14:textId="4082C4E6" w:rsidR="00A906B8" w:rsidRPr="00B07114" w:rsidRDefault="006509E9" w:rsidP="00B51ADE">
      <w:pPr>
        <w:pStyle w:val="ListParagraph"/>
        <w:numPr>
          <w:ilvl w:val="1"/>
          <w:numId w:val="9"/>
        </w:numPr>
        <w:spacing w:before="120" w:after="120"/>
        <w:ind w:left="709"/>
        <w:contextualSpacing w:val="0"/>
      </w:pPr>
      <w:r w:rsidRPr="00AD3ADE">
        <w:rPr>
          <w:b/>
        </w:rPr>
        <w:t>A</w:t>
      </w:r>
      <w:r w:rsidR="00B51ADE" w:rsidRPr="00AD3ADE">
        <w:rPr>
          <w:b/>
        </w:rPr>
        <w:t>ccess to justice</w:t>
      </w:r>
      <w:r w:rsidRPr="00B07114">
        <w:t xml:space="preserve"> as a whole requires</w:t>
      </w:r>
      <w:r w:rsidR="00B51ADE" w:rsidRPr="00B07114">
        <w:t xml:space="preserve"> significant reforms to ensure that women are not disempowered and can pursue this avenue. </w:t>
      </w:r>
    </w:p>
    <w:p w14:paraId="4558208B" w14:textId="3DDEE175" w:rsidR="00B51ADE" w:rsidRPr="00203EAF" w:rsidRDefault="00A65A97" w:rsidP="000B576C">
      <w:pPr>
        <w:pStyle w:val="ListParagraph"/>
        <w:numPr>
          <w:ilvl w:val="2"/>
          <w:numId w:val="9"/>
        </w:numPr>
        <w:spacing w:before="120" w:after="120"/>
        <w:ind w:left="1134" w:firstLine="0"/>
        <w:contextualSpacing w:val="0"/>
      </w:pPr>
      <w:r w:rsidRPr="006B7A57">
        <w:t xml:space="preserve">Within the </w:t>
      </w:r>
      <w:r w:rsidRPr="006B7A57">
        <w:rPr>
          <w:b/>
        </w:rPr>
        <w:t>family law system</w:t>
      </w:r>
      <w:r w:rsidRPr="006B7A57">
        <w:t xml:space="preserve">, better accessibility of courts for diverse groups of people is required, as well as improvements </w:t>
      </w:r>
      <w:r w:rsidR="00E66FC4">
        <w:t>to the</w:t>
      </w:r>
      <w:r w:rsidRPr="006B7A57">
        <w:t xml:space="preserve"> physical safety of courts</w:t>
      </w:r>
      <w:r w:rsidR="00785DBF" w:rsidRPr="00440E93">
        <w:t xml:space="preserve"> and development of a national risk assessment framework</w:t>
      </w:r>
      <w:r w:rsidRPr="00440E93">
        <w:t xml:space="preserve">. There is a great need for better training for judicial officers and professionals (independent children lawyers and family report writers) on the nature and dynamics of family violence, cultural competency, working with people with disability and people from LGBTIQ communities, trauma-informed practice and intersectionality. </w:t>
      </w:r>
      <w:r w:rsidR="00302ABF" w:rsidRPr="00440E93">
        <w:rPr>
          <w:bCs/>
        </w:rPr>
        <w:t>There is an urgent need to remove the presumption of equal shared parental r</w:t>
      </w:r>
      <w:r w:rsidR="00C13253">
        <w:rPr>
          <w:bCs/>
        </w:rPr>
        <w:t>esponsibility when deciding on p</w:t>
      </w:r>
      <w:r w:rsidR="00302ABF" w:rsidRPr="00440E93">
        <w:rPr>
          <w:bCs/>
        </w:rPr>
        <w:t>arenting orders when</w:t>
      </w:r>
      <w:r w:rsidR="00C13253">
        <w:rPr>
          <w:bCs/>
        </w:rPr>
        <w:t xml:space="preserve"> domestic and family violence i</w:t>
      </w:r>
      <w:r w:rsidR="00302ABF" w:rsidRPr="00440E93">
        <w:rPr>
          <w:bCs/>
        </w:rPr>
        <w:t xml:space="preserve">s alleged. </w:t>
      </w:r>
    </w:p>
    <w:p w14:paraId="509D5960" w14:textId="5B0A1389" w:rsidR="006509E9" w:rsidRPr="00324A15" w:rsidRDefault="00EA37C2" w:rsidP="006509E9">
      <w:pPr>
        <w:pStyle w:val="ListParagraph"/>
        <w:numPr>
          <w:ilvl w:val="2"/>
          <w:numId w:val="9"/>
        </w:numPr>
        <w:spacing w:before="120" w:after="120"/>
        <w:ind w:left="1134" w:firstLine="0"/>
        <w:contextualSpacing w:val="0"/>
        <w:rPr>
          <w:bCs/>
        </w:rPr>
      </w:pPr>
      <w:r w:rsidRPr="00203EAF">
        <w:rPr>
          <w:bCs/>
        </w:rPr>
        <w:t xml:space="preserve">Within the </w:t>
      </w:r>
      <w:r w:rsidR="006509E9" w:rsidRPr="00203EAF">
        <w:rPr>
          <w:b/>
          <w:bCs/>
        </w:rPr>
        <w:t>im</w:t>
      </w:r>
      <w:r w:rsidRPr="00203EAF">
        <w:rPr>
          <w:b/>
          <w:bCs/>
        </w:rPr>
        <w:t>migration system</w:t>
      </w:r>
      <w:r w:rsidRPr="00203EAF">
        <w:rPr>
          <w:bCs/>
        </w:rPr>
        <w:t>, for women on temporary visas, access to family viole</w:t>
      </w:r>
      <w:r w:rsidRPr="00324A15">
        <w:rPr>
          <w:bCs/>
        </w:rPr>
        <w:t xml:space="preserve">nce provisions afforded under the </w:t>
      </w:r>
      <w:r w:rsidR="00E66FC4">
        <w:rPr>
          <w:bCs/>
        </w:rPr>
        <w:t>m</w:t>
      </w:r>
      <w:r w:rsidRPr="00324A15">
        <w:rPr>
          <w:bCs/>
        </w:rPr>
        <w:t>igration regulations needs to be expanded to include all dependent visa categories. Definitions of family violence used under the Migration Act and regulations</w:t>
      </w:r>
      <w:r w:rsidR="00A169D8">
        <w:rPr>
          <w:bCs/>
        </w:rPr>
        <w:t xml:space="preserve"> need</w:t>
      </w:r>
      <w:r w:rsidRPr="00324A15">
        <w:rPr>
          <w:bCs/>
        </w:rPr>
        <w:t xml:space="preserve"> to be expanded to include multiple perpetrators and manifestations of violence.</w:t>
      </w:r>
      <w:r w:rsidR="006509E9" w:rsidRPr="00324A15">
        <w:rPr>
          <w:bCs/>
        </w:rPr>
        <w:t xml:space="preserve"> In the process of reviewing the eligibility to access family violence provision</w:t>
      </w:r>
      <w:r w:rsidR="00A169D8">
        <w:rPr>
          <w:bCs/>
        </w:rPr>
        <w:t>s</w:t>
      </w:r>
      <w:r w:rsidR="006509E9" w:rsidRPr="00324A15">
        <w:rPr>
          <w:bCs/>
        </w:rPr>
        <w:t>, relevant decision makers need to determine the existence of family violence before seeking to assess the existence of a ‘genuine relationship’, to ensure relationships impacted by violence are evaluated in an informed and appropriate way that does not risk further traumatising the victim/survivor.</w:t>
      </w:r>
    </w:p>
    <w:p w14:paraId="40F5A6E6" w14:textId="2C9C5BF1" w:rsidR="000E67E8" w:rsidRPr="00A169D8" w:rsidRDefault="000E67E8" w:rsidP="007911C9">
      <w:pPr>
        <w:pStyle w:val="ListParagraph"/>
        <w:numPr>
          <w:ilvl w:val="1"/>
          <w:numId w:val="9"/>
        </w:numPr>
        <w:spacing w:before="120" w:after="120"/>
        <w:ind w:left="709"/>
        <w:contextualSpacing w:val="0"/>
      </w:pPr>
      <w:r w:rsidRPr="00DE7FD9">
        <w:t xml:space="preserve">The focus on the </w:t>
      </w:r>
      <w:r w:rsidRPr="00DE7FD9">
        <w:rPr>
          <w:b/>
        </w:rPr>
        <w:t>welfare system</w:t>
      </w:r>
      <w:r w:rsidRPr="00DE7FD9">
        <w:t xml:space="preserve"> as an enabler for women and their children to re-establis</w:t>
      </w:r>
      <w:r w:rsidRPr="002F5659">
        <w:t xml:space="preserve">h their lives and gain financial independence needs to continue. </w:t>
      </w:r>
      <w:r w:rsidR="00E66FC4">
        <w:t>A</w:t>
      </w:r>
      <w:r w:rsidRPr="002F5659">
        <w:t>ccess to government-funded services, including crisis payments and emergency housing, to all victims/survivors of domestic, family, sexual and intimate partner violence needs to be expanded irrespective of current visa status, across all states and territories. A gender lens in developing welfare policies as well as more training and policy improvements are needed to ensure that victims/survivors are not disempowered</w:t>
      </w:r>
      <w:r w:rsidR="0034202E">
        <w:t>, further marginalised, disadvantaged</w:t>
      </w:r>
      <w:r w:rsidRPr="002F5659">
        <w:t xml:space="preserve"> or put at further ris</w:t>
      </w:r>
      <w:r w:rsidRPr="00A169D8">
        <w:t>k</w:t>
      </w:r>
      <w:r w:rsidR="00E66FC4">
        <w:t>.</w:t>
      </w:r>
      <w:r w:rsidRPr="00A169D8">
        <w:t xml:space="preserve"> </w:t>
      </w:r>
    </w:p>
    <w:p w14:paraId="1F64D0D4" w14:textId="0C9C4500" w:rsidR="00DF30E3" w:rsidRPr="00AD3ADE" w:rsidRDefault="007911C9" w:rsidP="00E05204">
      <w:pPr>
        <w:pStyle w:val="ListParagraph"/>
        <w:numPr>
          <w:ilvl w:val="1"/>
          <w:numId w:val="9"/>
        </w:numPr>
        <w:spacing w:before="120" w:after="120"/>
        <w:ind w:left="709"/>
        <w:contextualSpacing w:val="0"/>
      </w:pPr>
      <w:r w:rsidRPr="00A169D8">
        <w:t xml:space="preserve">Affordable housing and appropriate support from </w:t>
      </w:r>
      <w:r w:rsidRPr="00A169D8">
        <w:rPr>
          <w:b/>
        </w:rPr>
        <w:t>housing and homelessness</w:t>
      </w:r>
      <w:r w:rsidRPr="00A169D8">
        <w:t xml:space="preserve"> service providers is essential for comprehensive efforts to prevent and respond to violence against women and their children. </w:t>
      </w:r>
      <w:r w:rsidR="00DF30E3" w:rsidRPr="00AD3ADE">
        <w:t>A comprehensive gender-responsive national housing strategy needs to be developed</w:t>
      </w:r>
      <w:r w:rsidR="00331675" w:rsidRPr="00AD3ADE">
        <w:t xml:space="preserve"> which would include the principles of visibility, capability and accountability.</w:t>
      </w:r>
      <w:r w:rsidR="00DF30E3" w:rsidRPr="00AD3ADE">
        <w:t xml:space="preserve"> An effective national strategy should set ambitious goals to reduce homelessness and increase </w:t>
      </w:r>
      <w:r w:rsidR="00DF30E3" w:rsidRPr="00AD3ADE">
        <w:lastRenderedPageBreak/>
        <w:t xml:space="preserve">affordable housing stock. </w:t>
      </w:r>
      <w:r w:rsidR="000A38E5">
        <w:t>The National Housing and Homelessness Agreement (</w:t>
      </w:r>
      <w:r w:rsidR="000A38E5" w:rsidRPr="006B20AC">
        <w:t>NHHA</w:t>
      </w:r>
      <w:r w:rsidR="000A38E5">
        <w:t>) needs</w:t>
      </w:r>
      <w:r w:rsidR="000A38E5" w:rsidRPr="006B20AC">
        <w:t xml:space="preserve"> </w:t>
      </w:r>
      <w:r w:rsidR="000A38E5">
        <w:t xml:space="preserve">adequate </w:t>
      </w:r>
      <w:r w:rsidR="000A38E5" w:rsidRPr="006B20AC">
        <w:t xml:space="preserve">resourcing and policy direction </w:t>
      </w:r>
      <w:r w:rsidR="000A38E5">
        <w:t xml:space="preserve">in order </w:t>
      </w:r>
      <w:r w:rsidR="000A38E5" w:rsidRPr="006B20AC">
        <w:t xml:space="preserve">to deliver </w:t>
      </w:r>
      <w:r w:rsidR="000A38E5">
        <w:t xml:space="preserve">positive outcomes in the </w:t>
      </w:r>
      <w:r w:rsidR="000A38E5" w:rsidRPr="006B20AC">
        <w:t>Fourth Action Plan</w:t>
      </w:r>
      <w:r w:rsidR="000A38E5">
        <w:t>.</w:t>
      </w:r>
    </w:p>
    <w:p w14:paraId="6092849D" w14:textId="057FF8FB" w:rsidR="008F2A0A" w:rsidRPr="00AD3ADE" w:rsidRDefault="00E66FC4" w:rsidP="008F2A0A">
      <w:pPr>
        <w:pStyle w:val="ListParagraph"/>
        <w:numPr>
          <w:ilvl w:val="1"/>
          <w:numId w:val="9"/>
        </w:numPr>
        <w:spacing w:before="120" w:after="120"/>
        <w:ind w:left="709"/>
        <w:contextualSpacing w:val="0"/>
      </w:pPr>
      <w:r>
        <w:t>Support in cases of</w:t>
      </w:r>
      <w:r w:rsidR="008F2A0A" w:rsidRPr="00AD3ADE">
        <w:t xml:space="preserve"> </w:t>
      </w:r>
      <w:r w:rsidR="008F2A0A" w:rsidRPr="00AD3ADE">
        <w:rPr>
          <w:b/>
        </w:rPr>
        <w:t>human trafficking and sexual exploitation</w:t>
      </w:r>
      <w:r w:rsidR="008F2A0A" w:rsidRPr="00AD3ADE">
        <w:t xml:space="preserve"> needs to be delinked from the criminal justice system to ensure adequate protection for all survivors of trafficking. Comprehensive data collection is necessary to ensure better understanding of the scope and evidence-based responses. A </w:t>
      </w:r>
      <w:proofErr w:type="gramStart"/>
      <w:r w:rsidR="008F2A0A" w:rsidRPr="00AD3ADE">
        <w:t>human rights</w:t>
      </w:r>
      <w:proofErr w:type="gramEnd"/>
      <w:r w:rsidR="008F2A0A" w:rsidRPr="00AD3ADE">
        <w:t xml:space="preserve"> lens rather than </w:t>
      </w:r>
      <w:r>
        <w:t xml:space="preserve">a </w:t>
      </w:r>
      <w:r w:rsidR="008F2A0A" w:rsidRPr="00AD3ADE">
        <w:t>migration</w:t>
      </w:r>
      <w:r>
        <w:t xml:space="preserve"> lens</w:t>
      </w:r>
      <w:r w:rsidR="008F2A0A" w:rsidRPr="00AD3ADE">
        <w:t xml:space="preserve"> is needed to ensure person-centred responses</w:t>
      </w:r>
    </w:p>
    <w:p w14:paraId="61854609" w14:textId="197F7327" w:rsidR="00922390" w:rsidRPr="00AD3ADE" w:rsidRDefault="00E66FC4" w:rsidP="00293B17">
      <w:pPr>
        <w:pStyle w:val="ListParagraph"/>
        <w:numPr>
          <w:ilvl w:val="1"/>
          <w:numId w:val="9"/>
        </w:numPr>
        <w:spacing w:before="120" w:after="120"/>
        <w:ind w:left="709"/>
        <w:contextualSpacing w:val="0"/>
      </w:pPr>
      <w:r w:rsidRPr="009D0FFE">
        <w:t>In</w:t>
      </w:r>
      <w:r>
        <w:rPr>
          <w:b/>
        </w:rPr>
        <w:t xml:space="preserve"> d</w:t>
      </w:r>
      <w:r w:rsidR="00922390" w:rsidRPr="00AD3ADE">
        <w:rPr>
          <w:b/>
        </w:rPr>
        <w:t>eveloping workforce capability</w:t>
      </w:r>
      <w:r w:rsidR="00922390" w:rsidRPr="00AD3ADE">
        <w:t>, t</w:t>
      </w:r>
      <w:r w:rsidR="00CD02C2" w:rsidRPr="00AD3ADE">
        <w:t>he Fourth Action Plan should address</w:t>
      </w:r>
      <w:r w:rsidR="00922390" w:rsidRPr="00AD3ADE">
        <w:t>:</w:t>
      </w:r>
    </w:p>
    <w:p w14:paraId="322C9AF2" w14:textId="49715AF6" w:rsidR="00A169D8" w:rsidRPr="00EF6020" w:rsidRDefault="00440E93" w:rsidP="00BB2CCC">
      <w:pPr>
        <w:pStyle w:val="ListParagraph"/>
        <w:numPr>
          <w:ilvl w:val="2"/>
          <w:numId w:val="9"/>
        </w:numPr>
        <w:spacing w:before="120" w:after="120"/>
        <w:ind w:left="1134" w:firstLine="0"/>
        <w:contextualSpacing w:val="0"/>
        <w:rPr>
          <w:u w:val="single"/>
        </w:rPr>
      </w:pPr>
      <w:r w:rsidRPr="003D6DFE">
        <w:t>The</w:t>
      </w:r>
      <w:r w:rsidR="0034202E">
        <w:t xml:space="preserve"> n</w:t>
      </w:r>
      <w:r w:rsidRPr="003D6DFE">
        <w:t xml:space="preserve">eed to support </w:t>
      </w:r>
      <w:r w:rsidRPr="00CC75B8">
        <w:rPr>
          <w:b/>
        </w:rPr>
        <w:t>specialist women’s services</w:t>
      </w:r>
      <w:r w:rsidRPr="003D6DFE">
        <w:t xml:space="preserve"> to meet the challenges of maintaining good practice service models while responding to rising </w:t>
      </w:r>
      <w:proofErr w:type="gramStart"/>
      <w:r w:rsidRPr="003D6DFE">
        <w:t>demand</w:t>
      </w:r>
      <w:r w:rsidR="00E66FC4">
        <w:t>,</w:t>
      </w:r>
      <w:r w:rsidRPr="003D6DFE">
        <w:t xml:space="preserve"> and</w:t>
      </w:r>
      <w:proofErr w:type="gramEnd"/>
      <w:r w:rsidRPr="003D6DFE">
        <w:t xml:space="preserve"> ensuring that adequate funding flows to specialist women’s service services. </w:t>
      </w:r>
      <w:r w:rsidR="00A169D8">
        <w:t xml:space="preserve">See sections </w:t>
      </w:r>
      <w:r w:rsidR="00DE7FD9" w:rsidRPr="00EF6020">
        <w:t>5.6-5.8</w:t>
      </w:r>
      <w:r w:rsidR="00A169D8" w:rsidRPr="00A169D8">
        <w:t xml:space="preserve"> </w:t>
      </w:r>
      <w:r w:rsidR="00A169D8">
        <w:t xml:space="preserve">under ‘Strengthening services’ below. </w:t>
      </w:r>
    </w:p>
    <w:p w14:paraId="16C88381" w14:textId="771BC104" w:rsidR="00CD02C2" w:rsidRPr="00440E93" w:rsidRDefault="00922390" w:rsidP="00203EAF">
      <w:pPr>
        <w:pStyle w:val="ListParagraph"/>
        <w:numPr>
          <w:ilvl w:val="2"/>
          <w:numId w:val="9"/>
        </w:numPr>
        <w:spacing w:before="120" w:after="120"/>
        <w:ind w:left="1134" w:firstLine="0"/>
        <w:contextualSpacing w:val="0"/>
      </w:pPr>
      <w:r w:rsidRPr="00440E93">
        <w:t>T</w:t>
      </w:r>
      <w:r w:rsidR="00CD02C2" w:rsidRPr="00440E93">
        <w:t xml:space="preserve">he need for training and capacity-building in the </w:t>
      </w:r>
      <w:r w:rsidR="00CD02C2" w:rsidRPr="00CC75B8">
        <w:rPr>
          <w:b/>
        </w:rPr>
        <w:t>various workforces that have a role</w:t>
      </w:r>
      <w:r w:rsidR="00CD02C2" w:rsidRPr="00440E93">
        <w:t xml:space="preserve"> in responding to violence against women</w:t>
      </w:r>
      <w:r w:rsidR="00423980">
        <w:t xml:space="preserve">, </w:t>
      </w:r>
      <w:r w:rsidR="00806F26">
        <w:t>particularly in the areas of primary prevention and men’</w:t>
      </w:r>
      <w:r w:rsidR="00423980">
        <w:t>s behaviour change.</w:t>
      </w:r>
      <w:r w:rsidR="00CD02C2" w:rsidRPr="00440E93">
        <w:t xml:space="preserve"> </w:t>
      </w:r>
    </w:p>
    <w:p w14:paraId="3BCE461D" w14:textId="32985D0F" w:rsidR="008444E9" w:rsidRPr="00440E93" w:rsidRDefault="00E66FC4" w:rsidP="00922390">
      <w:pPr>
        <w:pStyle w:val="ListParagraph"/>
        <w:numPr>
          <w:ilvl w:val="2"/>
          <w:numId w:val="9"/>
        </w:numPr>
        <w:spacing w:before="120" w:after="120"/>
        <w:ind w:left="1134" w:firstLine="0"/>
        <w:contextualSpacing w:val="0"/>
      </w:pPr>
      <w:r>
        <w:t xml:space="preserve">The need to </w:t>
      </w:r>
      <w:r w:rsidRPr="00CC75B8">
        <w:rPr>
          <w:b/>
        </w:rPr>
        <w:t>strengthen</w:t>
      </w:r>
      <w:r w:rsidR="008F2A0A" w:rsidRPr="00CC75B8">
        <w:rPr>
          <w:b/>
        </w:rPr>
        <w:t xml:space="preserve"> general workplaces</w:t>
      </w:r>
      <w:r w:rsidR="008F2A0A" w:rsidRPr="00440E93">
        <w:t xml:space="preserve"> in their responses to violence </w:t>
      </w:r>
      <w:r w:rsidR="00423980">
        <w:t xml:space="preserve">against women </w:t>
      </w:r>
      <w:r w:rsidR="008F2A0A" w:rsidRPr="00440E93">
        <w:t xml:space="preserve">through training, policy development and support as well as ensuring DFV leave for employees. </w:t>
      </w:r>
    </w:p>
    <w:p w14:paraId="33B23D6B" w14:textId="4632BD02" w:rsidR="00A81A31" w:rsidRPr="00BB2CCC" w:rsidRDefault="00A81A31" w:rsidP="00E43620">
      <w:pPr>
        <w:pStyle w:val="Heading2"/>
        <w:rPr>
          <w:lang w:val="en-AU"/>
        </w:rPr>
      </w:pPr>
      <w:r w:rsidRPr="00BB2CCC">
        <w:rPr>
          <w:lang w:val="en-AU"/>
        </w:rPr>
        <w:t>Strengthening services</w:t>
      </w:r>
    </w:p>
    <w:p w14:paraId="7FAC4D5F" w14:textId="581CA39C" w:rsidR="00985667" w:rsidRPr="00B07114" w:rsidRDefault="00985667" w:rsidP="00985667">
      <w:pPr>
        <w:pStyle w:val="ListParagraph"/>
        <w:numPr>
          <w:ilvl w:val="1"/>
          <w:numId w:val="9"/>
        </w:numPr>
        <w:spacing w:before="120" w:after="120"/>
        <w:ind w:left="709"/>
        <w:contextualSpacing w:val="0"/>
      </w:pPr>
      <w:r w:rsidRPr="00AD3ADE">
        <w:t xml:space="preserve">Increased awareness about domestic and family violence has led to increases in service demand; however, available </w:t>
      </w:r>
      <w:r w:rsidRPr="00AD3ADE">
        <w:rPr>
          <w:b/>
        </w:rPr>
        <w:t>funding</w:t>
      </w:r>
      <w:r w:rsidRPr="00B07114">
        <w:t xml:space="preserve"> does not reflect these increases. As a result, services struggle to meet demand</w:t>
      </w:r>
      <w:r w:rsidR="00385F3D">
        <w:t>, and there is not equitable access across all parts of Australia</w:t>
      </w:r>
      <w:r w:rsidRPr="00B07114">
        <w:t xml:space="preserve">. </w:t>
      </w:r>
    </w:p>
    <w:p w14:paraId="1021241C" w14:textId="08B51948" w:rsidR="00985667" w:rsidRPr="00440E93" w:rsidRDefault="00985667" w:rsidP="00985667">
      <w:pPr>
        <w:pStyle w:val="ListParagraph"/>
        <w:numPr>
          <w:ilvl w:val="1"/>
          <w:numId w:val="9"/>
        </w:numPr>
        <w:spacing w:before="120" w:after="120"/>
        <w:ind w:left="709"/>
        <w:contextualSpacing w:val="0"/>
      </w:pPr>
      <w:r w:rsidRPr="006B7A57">
        <w:t xml:space="preserve">Increasing awareness and high-profile cases involving sexual assault and sexual harassment are driving significantly </w:t>
      </w:r>
      <w:r w:rsidRPr="00440E93">
        <w:rPr>
          <w:b/>
        </w:rPr>
        <w:t>increased demand</w:t>
      </w:r>
      <w:r w:rsidRPr="00440E93">
        <w:t xml:space="preserve"> for counselling and other services (including through 1800RESPECT)</w:t>
      </w:r>
      <w:r w:rsidR="00E66FC4">
        <w:t>.</w:t>
      </w:r>
    </w:p>
    <w:p w14:paraId="6272FD8B" w14:textId="77777777" w:rsidR="00985667" w:rsidRPr="00440E93" w:rsidRDefault="00985667" w:rsidP="00985667">
      <w:pPr>
        <w:pStyle w:val="ListParagraph"/>
        <w:numPr>
          <w:ilvl w:val="1"/>
          <w:numId w:val="9"/>
        </w:numPr>
        <w:spacing w:before="120" w:after="120"/>
        <w:ind w:left="709"/>
        <w:contextualSpacing w:val="0"/>
      </w:pPr>
      <w:r w:rsidRPr="00440E93">
        <w:t>While State and Territory governments have roles in delivering and regulating services, the Commonwealth also has key roles in</w:t>
      </w:r>
      <w:r w:rsidRPr="00BB2CCC">
        <w:rPr>
          <w:b/>
        </w:rPr>
        <w:t xml:space="preserve"> assessing need, funding, coordinating, standard-setting and capacity-building</w:t>
      </w:r>
      <w:r w:rsidRPr="00440E93">
        <w:t>. Mechanisms to bring these functions together and track progress are needed, especially in the context of increasing demand.</w:t>
      </w:r>
    </w:p>
    <w:p w14:paraId="7075A040" w14:textId="1A36E477" w:rsidR="00985667" w:rsidRPr="00203EAF" w:rsidRDefault="00985667" w:rsidP="00985667">
      <w:pPr>
        <w:pStyle w:val="ListParagraph"/>
        <w:numPr>
          <w:ilvl w:val="1"/>
          <w:numId w:val="9"/>
        </w:numPr>
        <w:spacing w:before="120" w:after="120"/>
        <w:ind w:left="709"/>
        <w:contextualSpacing w:val="0"/>
      </w:pPr>
      <w:r w:rsidRPr="00440E93">
        <w:rPr>
          <w:b/>
        </w:rPr>
        <w:t>Adequate, sustainable and long-term funding</w:t>
      </w:r>
      <w:r w:rsidRPr="00203EAF">
        <w:t xml:space="preserve"> is required to meet demand for services</w:t>
      </w:r>
      <w:r w:rsidR="00806F26">
        <w:t>, including early intervention, crisis response and recovery</w:t>
      </w:r>
      <w:r w:rsidR="00385F3D">
        <w:t>.</w:t>
      </w:r>
      <w:r w:rsidRPr="00203EAF">
        <w:t xml:space="preserve"> </w:t>
      </w:r>
    </w:p>
    <w:p w14:paraId="6B91A086" w14:textId="77777777" w:rsidR="00985667" w:rsidRPr="00203EAF" w:rsidRDefault="00985667" w:rsidP="00985667">
      <w:pPr>
        <w:pStyle w:val="ListParagraph"/>
        <w:numPr>
          <w:ilvl w:val="1"/>
          <w:numId w:val="9"/>
        </w:numPr>
        <w:spacing w:before="120" w:after="120"/>
        <w:ind w:left="709"/>
        <w:contextualSpacing w:val="0"/>
      </w:pPr>
      <w:r w:rsidRPr="00203EAF">
        <w:t xml:space="preserve">Despite some progress, </w:t>
      </w:r>
      <w:r w:rsidRPr="00BB2CCC">
        <w:rPr>
          <w:b/>
        </w:rPr>
        <w:t>service gaps</w:t>
      </w:r>
      <w:r w:rsidRPr="00203EAF">
        <w:t xml:space="preserve"> remain. These include:</w:t>
      </w:r>
    </w:p>
    <w:p w14:paraId="4CC81676" w14:textId="46E75ECE" w:rsidR="00985667" w:rsidRPr="00203EAF" w:rsidRDefault="00985667" w:rsidP="00985667">
      <w:pPr>
        <w:pStyle w:val="ListParagraph"/>
        <w:numPr>
          <w:ilvl w:val="2"/>
          <w:numId w:val="9"/>
        </w:numPr>
        <w:spacing w:before="120" w:after="120"/>
        <w:ind w:left="1134" w:firstLine="0"/>
        <w:contextualSpacing w:val="0"/>
      </w:pPr>
      <w:r w:rsidRPr="00203EAF">
        <w:t xml:space="preserve">the availability of services especially in </w:t>
      </w:r>
      <w:r w:rsidRPr="00BB2CCC">
        <w:rPr>
          <w:b/>
        </w:rPr>
        <w:t>r</w:t>
      </w:r>
      <w:r w:rsidR="00E66FC4">
        <w:rPr>
          <w:b/>
        </w:rPr>
        <w:t>ural, r</w:t>
      </w:r>
      <w:r w:rsidRPr="00BB2CCC">
        <w:rPr>
          <w:b/>
        </w:rPr>
        <w:t>egional and remote areas</w:t>
      </w:r>
      <w:r w:rsidRPr="00203EAF">
        <w:t xml:space="preserve">, </w:t>
      </w:r>
    </w:p>
    <w:p w14:paraId="3312885B" w14:textId="1B223D12" w:rsidR="00985667" w:rsidRPr="00324A15" w:rsidRDefault="00985667" w:rsidP="00985667">
      <w:pPr>
        <w:pStyle w:val="ListParagraph"/>
        <w:numPr>
          <w:ilvl w:val="2"/>
          <w:numId w:val="9"/>
        </w:numPr>
        <w:spacing w:before="120" w:after="120"/>
        <w:ind w:left="1134" w:firstLine="0"/>
        <w:contextualSpacing w:val="0"/>
      </w:pPr>
      <w:r w:rsidRPr="00324A15">
        <w:t xml:space="preserve">the availability of </w:t>
      </w:r>
      <w:r w:rsidR="0034202E">
        <w:t xml:space="preserve">appropriate </w:t>
      </w:r>
      <w:r w:rsidRPr="00BB2CCC">
        <w:rPr>
          <w:b/>
        </w:rPr>
        <w:t>housing options</w:t>
      </w:r>
      <w:r w:rsidRPr="00324A15">
        <w:t xml:space="preserve"> for women facing violence, and </w:t>
      </w:r>
    </w:p>
    <w:p w14:paraId="6905DC94" w14:textId="0BE2671E" w:rsidR="00985667" w:rsidRPr="00324A15" w:rsidRDefault="00985667" w:rsidP="00985667">
      <w:pPr>
        <w:pStyle w:val="ListParagraph"/>
        <w:numPr>
          <w:ilvl w:val="2"/>
          <w:numId w:val="9"/>
        </w:numPr>
        <w:spacing w:before="120" w:after="120"/>
        <w:ind w:left="1134" w:firstLine="0"/>
        <w:contextualSpacing w:val="0"/>
      </w:pPr>
      <w:r w:rsidRPr="00324A15">
        <w:t xml:space="preserve">the availability of </w:t>
      </w:r>
      <w:r w:rsidRPr="00BB2CCC">
        <w:rPr>
          <w:b/>
        </w:rPr>
        <w:t>culturally competent, inclusive and accessible</w:t>
      </w:r>
      <w:r w:rsidRPr="00324A15">
        <w:t xml:space="preserve"> services. </w:t>
      </w:r>
    </w:p>
    <w:p w14:paraId="429F9EBE" w14:textId="77777777" w:rsidR="00922390" w:rsidRPr="00DE7FD9" w:rsidRDefault="00922390" w:rsidP="00922390">
      <w:pPr>
        <w:rPr>
          <w:b/>
        </w:rPr>
      </w:pPr>
      <w:r w:rsidRPr="00DE7FD9">
        <w:rPr>
          <w:b/>
        </w:rPr>
        <w:t>Monitoring, standards and workforce capacity-building</w:t>
      </w:r>
    </w:p>
    <w:p w14:paraId="7030FA1D" w14:textId="25B282FF" w:rsidR="00922390" w:rsidRPr="00A169D8" w:rsidRDefault="00922390" w:rsidP="00922390">
      <w:pPr>
        <w:pStyle w:val="ListParagraph"/>
        <w:numPr>
          <w:ilvl w:val="1"/>
          <w:numId w:val="9"/>
        </w:numPr>
        <w:spacing w:before="120" w:after="120"/>
        <w:ind w:left="709"/>
        <w:contextualSpacing w:val="0"/>
      </w:pPr>
      <w:r w:rsidRPr="00DE7FD9">
        <w:t xml:space="preserve">We need better </w:t>
      </w:r>
      <w:r w:rsidRPr="00BB2CCC">
        <w:rPr>
          <w:b/>
        </w:rPr>
        <w:t>transparency and tracking of funding</w:t>
      </w:r>
      <w:r w:rsidRPr="00DE7FD9">
        <w:t xml:space="preserve"> allocated to addressing violence against women across all portfolios a</w:t>
      </w:r>
      <w:r w:rsidRPr="002F5659">
        <w:t>t all levels of government.</w:t>
      </w:r>
    </w:p>
    <w:p w14:paraId="4C583665" w14:textId="2394A283" w:rsidR="00922390" w:rsidRPr="00A169D8" w:rsidRDefault="00922390" w:rsidP="00922390">
      <w:pPr>
        <w:pStyle w:val="ListParagraph"/>
        <w:numPr>
          <w:ilvl w:val="1"/>
          <w:numId w:val="9"/>
        </w:numPr>
        <w:spacing w:before="120" w:after="120"/>
        <w:ind w:left="709"/>
        <w:contextualSpacing w:val="0"/>
      </w:pPr>
      <w:r w:rsidRPr="00A169D8">
        <w:t xml:space="preserve">We need </w:t>
      </w:r>
      <w:r w:rsidR="002F5659" w:rsidRPr="00BB2CCC">
        <w:rPr>
          <w:b/>
        </w:rPr>
        <w:t xml:space="preserve">nationally consistent </w:t>
      </w:r>
      <w:r w:rsidRPr="00BB2CCC">
        <w:rPr>
          <w:b/>
        </w:rPr>
        <w:t>good practice standards</w:t>
      </w:r>
      <w:r w:rsidRPr="00A169D8">
        <w:t xml:space="preserve"> to be developed and adopted by all services working with women and children facing violence, led by the specialist women’s services sector, and building on work already done by peak bodies and others in this area.</w:t>
      </w:r>
    </w:p>
    <w:p w14:paraId="21F8105D" w14:textId="352CD9CE" w:rsidR="00922390" w:rsidRPr="00AD3ADE" w:rsidRDefault="00922390" w:rsidP="00922390">
      <w:pPr>
        <w:pStyle w:val="ListParagraph"/>
        <w:numPr>
          <w:ilvl w:val="1"/>
          <w:numId w:val="9"/>
        </w:numPr>
        <w:spacing w:before="120" w:after="120"/>
        <w:ind w:left="709"/>
        <w:contextualSpacing w:val="0"/>
      </w:pPr>
      <w:r w:rsidRPr="00A169D8">
        <w:lastRenderedPageBreak/>
        <w:t xml:space="preserve">The Fourth Action Plan should explore the feasibility of rolling out more broadly models based on Victoria’s </w:t>
      </w:r>
      <w:r w:rsidRPr="00CC75B8">
        <w:rPr>
          <w:b/>
        </w:rPr>
        <w:t>Flexible Support Packages</w:t>
      </w:r>
      <w:r w:rsidRPr="00A169D8">
        <w:t xml:space="preserve"> for women and their children who are escaping violence, with consideration for </w:t>
      </w:r>
      <w:r w:rsidR="0034202E">
        <w:t xml:space="preserve">the service capacity, </w:t>
      </w:r>
      <w:r w:rsidRPr="00A169D8">
        <w:t xml:space="preserve">structures and systems required to implement </w:t>
      </w:r>
      <w:r w:rsidRPr="00AD3ADE">
        <w:t>such packages in each State and Territory.</w:t>
      </w:r>
    </w:p>
    <w:p w14:paraId="20EC0B95" w14:textId="1AAD0BAF" w:rsidR="00985667" w:rsidRPr="00AD3ADE" w:rsidRDefault="00985667" w:rsidP="00985667">
      <w:pPr>
        <w:rPr>
          <w:b/>
        </w:rPr>
      </w:pPr>
      <w:r w:rsidRPr="00AD3ADE">
        <w:rPr>
          <w:b/>
        </w:rPr>
        <w:t>Homelessness and crisis accommodation</w:t>
      </w:r>
    </w:p>
    <w:p w14:paraId="1A852999" w14:textId="77777777" w:rsidR="00985667" w:rsidRPr="00A169D8" w:rsidRDefault="00985667" w:rsidP="00CD02C2">
      <w:pPr>
        <w:pStyle w:val="ListParagraph"/>
        <w:numPr>
          <w:ilvl w:val="1"/>
          <w:numId w:val="9"/>
        </w:numPr>
        <w:spacing w:before="120" w:after="120"/>
        <w:ind w:left="709"/>
        <w:contextualSpacing w:val="0"/>
      </w:pPr>
      <w:r w:rsidRPr="00AD3ADE">
        <w:t xml:space="preserve">We support the intention to address </w:t>
      </w:r>
      <w:r w:rsidRPr="00BB2CCC">
        <w:rPr>
          <w:b/>
        </w:rPr>
        <w:t>crisis accommodation</w:t>
      </w:r>
      <w:r w:rsidRPr="00A169D8">
        <w:t xml:space="preserve"> to ensure its availability as well as appropriateness. In AWAVA’s survey, a lack of housing options and the risk of becoming homeless for women who are facing violence was one of the major identified gaps. </w:t>
      </w:r>
    </w:p>
    <w:p w14:paraId="01999D97" w14:textId="77777777" w:rsidR="00985667" w:rsidRPr="00A169D8" w:rsidRDefault="00985667" w:rsidP="00CD02C2">
      <w:pPr>
        <w:pStyle w:val="ListParagraph"/>
        <w:numPr>
          <w:ilvl w:val="1"/>
          <w:numId w:val="9"/>
        </w:numPr>
        <w:spacing w:before="120" w:after="120"/>
        <w:ind w:left="709"/>
        <w:contextualSpacing w:val="0"/>
      </w:pPr>
      <w:r w:rsidRPr="00AD3ADE">
        <w:t xml:space="preserve">However, the areas of housing and homelessness need to be looked at holistically, recognising that </w:t>
      </w:r>
      <w:r w:rsidRPr="00BB2CCC">
        <w:rPr>
          <w:b/>
        </w:rPr>
        <w:t>access to affordable and appropriate housing</w:t>
      </w:r>
      <w:r w:rsidRPr="00A169D8">
        <w:t xml:space="preserve"> plays a crucial role not only in the crisis response but in terms of long-term recovery too.</w:t>
      </w:r>
    </w:p>
    <w:p w14:paraId="7D3F5682" w14:textId="2AEEAA4B" w:rsidR="00985667" w:rsidRPr="00A169D8" w:rsidRDefault="00985667" w:rsidP="00CD02C2">
      <w:pPr>
        <w:pStyle w:val="ListParagraph"/>
        <w:numPr>
          <w:ilvl w:val="1"/>
          <w:numId w:val="9"/>
        </w:numPr>
        <w:spacing w:before="120" w:after="120"/>
        <w:ind w:left="709"/>
        <w:contextualSpacing w:val="0"/>
      </w:pPr>
      <w:r w:rsidRPr="00EF6020">
        <w:rPr>
          <w:b/>
        </w:rPr>
        <w:t>Systemic improvements to housing</w:t>
      </w:r>
      <w:r w:rsidRPr="00A169D8">
        <w:t xml:space="preserve"> are also needed – see section</w:t>
      </w:r>
      <w:r w:rsidR="00A169D8" w:rsidRPr="00A169D8">
        <w:t xml:space="preserve"> </w:t>
      </w:r>
      <w:r w:rsidR="00A169D8">
        <w:t xml:space="preserve">4.3. </w:t>
      </w:r>
      <w:r w:rsidRPr="00A169D8">
        <w:t>under ‘Strengthening systems’</w:t>
      </w:r>
      <w:r w:rsidR="00A169D8">
        <w:t xml:space="preserve"> </w:t>
      </w:r>
      <w:r w:rsidRPr="00A169D8">
        <w:t xml:space="preserve">above. </w:t>
      </w:r>
    </w:p>
    <w:p w14:paraId="01E6C353" w14:textId="4B0EA9FE" w:rsidR="00985667" w:rsidRPr="00A169D8" w:rsidRDefault="00985667" w:rsidP="009D0FFE">
      <w:pPr>
        <w:pStyle w:val="ListParagraph"/>
        <w:numPr>
          <w:ilvl w:val="1"/>
          <w:numId w:val="9"/>
        </w:numPr>
        <w:spacing w:before="120" w:after="120"/>
        <w:ind w:left="709"/>
        <w:contextualSpacing w:val="0"/>
      </w:pPr>
      <w:r w:rsidRPr="00A169D8">
        <w:t xml:space="preserve">Although some progress has been made on tenancy reforms, on the whole the </w:t>
      </w:r>
      <w:r w:rsidRPr="00506632">
        <w:rPr>
          <w:b/>
        </w:rPr>
        <w:t>commitments made in the Third Action Plan</w:t>
      </w:r>
      <w:r w:rsidRPr="00A169D8">
        <w:t xml:space="preserve"> of the National Plan in relation to housing and homelessness </w:t>
      </w:r>
      <w:r w:rsidRPr="009D0FFE">
        <w:t>still need to be implemented</w:t>
      </w:r>
      <w:r w:rsidRPr="00A169D8">
        <w:t>.</w:t>
      </w:r>
    </w:p>
    <w:p w14:paraId="0CDFFD2E" w14:textId="77777777" w:rsidR="00985667" w:rsidRPr="00A169D8" w:rsidRDefault="00985667" w:rsidP="00CD02C2">
      <w:pPr>
        <w:pStyle w:val="ListParagraph"/>
        <w:numPr>
          <w:ilvl w:val="1"/>
          <w:numId w:val="9"/>
        </w:numPr>
        <w:spacing w:before="120" w:after="120"/>
        <w:ind w:left="709"/>
        <w:contextualSpacing w:val="0"/>
      </w:pPr>
      <w:r w:rsidRPr="00A169D8">
        <w:t xml:space="preserve">Governments in all jurisdictions need to work together to </w:t>
      </w:r>
      <w:r w:rsidRPr="00BB2CCC">
        <w:rPr>
          <w:b/>
        </w:rPr>
        <w:t>extend access to government-funded services</w:t>
      </w:r>
      <w:r w:rsidRPr="00A169D8">
        <w:t>, including crisis payments and emergency housing, to all victims/survivors of domestic, family, sexual and intimate partner violence, irrespective of current visa status, across all states and territories.</w:t>
      </w:r>
    </w:p>
    <w:p w14:paraId="08007FC5" w14:textId="14AC8CEE" w:rsidR="00985667" w:rsidRPr="00A169D8" w:rsidRDefault="00985667" w:rsidP="00CD02C2">
      <w:pPr>
        <w:pStyle w:val="ListParagraph"/>
        <w:numPr>
          <w:ilvl w:val="1"/>
          <w:numId w:val="9"/>
        </w:numPr>
        <w:spacing w:before="120" w:after="120"/>
        <w:ind w:left="709"/>
        <w:contextualSpacing w:val="0"/>
      </w:pPr>
      <w:r w:rsidRPr="00A169D8">
        <w:t xml:space="preserve">Adequate and sustainable funding is needed to meet demand for homelessness services, </w:t>
      </w:r>
      <w:r w:rsidR="0034202E">
        <w:t xml:space="preserve">including specialist women’s services, </w:t>
      </w:r>
      <w:r w:rsidRPr="00A169D8">
        <w:t xml:space="preserve">while ensuring that funding goes to </w:t>
      </w:r>
      <w:r w:rsidRPr="00BB2CCC">
        <w:rPr>
          <w:b/>
        </w:rPr>
        <w:t>services that are appropriately specialised</w:t>
      </w:r>
      <w:r w:rsidRPr="00A169D8">
        <w:t xml:space="preserve">, competent, </w:t>
      </w:r>
      <w:r w:rsidR="0034202E">
        <w:t xml:space="preserve">safe, </w:t>
      </w:r>
      <w:r w:rsidR="00BB2CCC">
        <w:t xml:space="preserve">inclusive, </w:t>
      </w:r>
      <w:r w:rsidRPr="00A169D8">
        <w:t xml:space="preserve">accessible and culturally </w:t>
      </w:r>
      <w:r w:rsidR="0034202E">
        <w:t xml:space="preserve">competent </w:t>
      </w:r>
      <w:r w:rsidRPr="00A169D8">
        <w:t>for the full range of diverse groups of women and children who need them.</w:t>
      </w:r>
    </w:p>
    <w:p w14:paraId="16325990" w14:textId="3AA738D0" w:rsidR="00985667" w:rsidRPr="00AD3ADE" w:rsidRDefault="00985667" w:rsidP="00CD02C2">
      <w:pPr>
        <w:pStyle w:val="ListParagraph"/>
        <w:numPr>
          <w:ilvl w:val="1"/>
          <w:numId w:val="9"/>
        </w:numPr>
        <w:spacing w:before="120" w:after="120"/>
        <w:ind w:left="709"/>
        <w:contextualSpacing w:val="0"/>
      </w:pPr>
      <w:r w:rsidRPr="00A169D8">
        <w:t xml:space="preserve">All agreements (bilateral or overarching) that address homelessness need to be progressively amended to include the requirement not only that State/Territory strategies include measures to support women and children </w:t>
      </w:r>
      <w:r w:rsidR="001E7076">
        <w:t>facing</w:t>
      </w:r>
      <w:r w:rsidR="001E7076" w:rsidRPr="00A169D8">
        <w:t xml:space="preserve"> </w:t>
      </w:r>
      <w:r w:rsidRPr="00A169D8">
        <w:t>violence but also that</w:t>
      </w:r>
      <w:r w:rsidRPr="00BB2CCC">
        <w:rPr>
          <w:b/>
        </w:rPr>
        <w:t xml:space="preserve"> funding spent under these strategies goes to services with specialist capability to address the gendered dynamics of violence</w:t>
      </w:r>
      <w:r w:rsidRPr="00AD3ADE">
        <w:t xml:space="preserve"> and homelessness</w:t>
      </w:r>
      <w:r w:rsidRPr="00AD3ADE">
        <w:rPr>
          <w:vertAlign w:val="superscript"/>
        </w:rPr>
        <w:footnoteReference w:id="4"/>
      </w:r>
      <w:r w:rsidRPr="00AD3ADE">
        <w:t xml:space="preserve"> (i.e. specialist women’s services and/or generalist services with documented specialist capability.)</w:t>
      </w:r>
    </w:p>
    <w:p w14:paraId="018E0EAD" w14:textId="37C8CF08" w:rsidR="00CD02C2" w:rsidRPr="00BB2CCC" w:rsidRDefault="00A81A31" w:rsidP="00CD02C2">
      <w:pPr>
        <w:pStyle w:val="Heading2"/>
        <w:rPr>
          <w:lang w:val="en-AU"/>
        </w:rPr>
      </w:pPr>
      <w:r w:rsidRPr="00BB2CCC">
        <w:rPr>
          <w:lang w:val="en-AU"/>
        </w:rPr>
        <w:t>Improvi</w:t>
      </w:r>
      <w:r w:rsidR="00CD02C2" w:rsidRPr="00BB2CCC">
        <w:rPr>
          <w:lang w:val="en-AU"/>
        </w:rPr>
        <w:t>ng coordination and governance</w:t>
      </w:r>
    </w:p>
    <w:p w14:paraId="0C48CA36" w14:textId="77777777" w:rsidR="00CD02C2" w:rsidRPr="006B7A57" w:rsidRDefault="00CD02C2" w:rsidP="00CD02C2">
      <w:pPr>
        <w:pStyle w:val="ListParagraph"/>
        <w:numPr>
          <w:ilvl w:val="1"/>
          <w:numId w:val="9"/>
        </w:numPr>
        <w:spacing w:before="120" w:after="120"/>
        <w:ind w:left="709"/>
        <w:contextualSpacing w:val="0"/>
      </w:pPr>
      <w:r w:rsidRPr="00AD3ADE">
        <w:t xml:space="preserve">A robust </w:t>
      </w:r>
      <w:r w:rsidRPr="00BB2CCC">
        <w:rPr>
          <w:b/>
        </w:rPr>
        <w:t>monitoring and evaluation mechanism</w:t>
      </w:r>
      <w:r w:rsidRPr="00B07114">
        <w:t xml:space="preserve"> must be in place to allow for the impact of activities under the National Plan (and any future National Plan) </w:t>
      </w:r>
      <w:r w:rsidRPr="006B7A57">
        <w:t>to be measured, gaps to be assessed and performance to be improved.</w:t>
      </w:r>
    </w:p>
    <w:p w14:paraId="5F822F7D" w14:textId="77777777" w:rsidR="00CD02C2" w:rsidRPr="00440E93" w:rsidRDefault="00CD02C2" w:rsidP="00CD02C2">
      <w:pPr>
        <w:pStyle w:val="ListParagraph"/>
        <w:numPr>
          <w:ilvl w:val="1"/>
          <w:numId w:val="9"/>
        </w:numPr>
        <w:spacing w:before="120" w:after="120"/>
        <w:ind w:left="709"/>
        <w:contextualSpacing w:val="0"/>
      </w:pPr>
      <w:r w:rsidRPr="00440E93">
        <w:t xml:space="preserve">Greater </w:t>
      </w:r>
      <w:r w:rsidRPr="00BB2CCC">
        <w:rPr>
          <w:b/>
        </w:rPr>
        <w:t>consistency and coordination</w:t>
      </w:r>
      <w:r w:rsidRPr="00440E93">
        <w:t xml:space="preserve"> between the Commonwealth, State and Territories is required to put into action a shared commitment to end violence against women. </w:t>
      </w:r>
    </w:p>
    <w:p w14:paraId="2064BF41" w14:textId="7BFC3620" w:rsidR="00CD02C2" w:rsidRPr="00440E93" w:rsidRDefault="00CD02C2" w:rsidP="00CD02C2">
      <w:pPr>
        <w:pStyle w:val="ListParagraph"/>
        <w:numPr>
          <w:ilvl w:val="1"/>
          <w:numId w:val="9"/>
        </w:numPr>
        <w:spacing w:before="120" w:after="120"/>
        <w:ind w:left="709"/>
        <w:contextualSpacing w:val="0"/>
      </w:pPr>
      <w:r w:rsidRPr="00440E93">
        <w:t xml:space="preserve">Improved mechanisms for </w:t>
      </w:r>
      <w:r w:rsidR="00423980" w:rsidRPr="009D0FFE">
        <w:rPr>
          <w:b/>
        </w:rPr>
        <w:t>communication and</w:t>
      </w:r>
      <w:r w:rsidR="00423980">
        <w:t xml:space="preserve"> </w:t>
      </w:r>
      <w:r w:rsidR="00423980">
        <w:rPr>
          <w:b/>
        </w:rPr>
        <w:t>co-design</w:t>
      </w:r>
      <w:r w:rsidR="009D0FFE">
        <w:rPr>
          <w:b/>
        </w:rPr>
        <w:t xml:space="preserve"> </w:t>
      </w:r>
      <w:r w:rsidRPr="00440E93">
        <w:t xml:space="preserve">between civil society </w:t>
      </w:r>
      <w:r w:rsidR="00423980">
        <w:t xml:space="preserve">(including survivor voices) </w:t>
      </w:r>
      <w:r w:rsidRPr="00440E93">
        <w:t>and government are required to strengthen implementation and planning.</w:t>
      </w:r>
      <w:r w:rsidR="00423980">
        <w:t xml:space="preserve"> </w:t>
      </w:r>
    </w:p>
    <w:p w14:paraId="5409E938" w14:textId="700C2A3E" w:rsidR="00CD02C2" w:rsidRPr="00203EAF" w:rsidRDefault="00CD02C2" w:rsidP="00CD02C2">
      <w:pPr>
        <w:pStyle w:val="ListParagraph"/>
        <w:numPr>
          <w:ilvl w:val="1"/>
          <w:numId w:val="9"/>
        </w:numPr>
        <w:spacing w:before="120" w:after="120"/>
        <w:ind w:left="709"/>
        <w:contextualSpacing w:val="0"/>
      </w:pPr>
      <w:r w:rsidRPr="00BB2CCC">
        <w:rPr>
          <w:b/>
        </w:rPr>
        <w:t>A consultative process</w:t>
      </w:r>
      <w:r w:rsidRPr="00203EAF">
        <w:t xml:space="preserve"> is needed to determine full costing for the range of program and service needs, particularly in regard to specialist support services. </w:t>
      </w:r>
    </w:p>
    <w:p w14:paraId="387B96D2" w14:textId="77777777" w:rsidR="008F2A0A" w:rsidRPr="00203EAF" w:rsidRDefault="008F2A0A" w:rsidP="008F2A0A">
      <w:pPr>
        <w:spacing w:before="120" w:after="120"/>
      </w:pPr>
    </w:p>
    <w:p w14:paraId="70E3F988" w14:textId="11663ADA" w:rsidR="008F2A0A" w:rsidRPr="00DE7FD9" w:rsidRDefault="008F2A0A" w:rsidP="008F2A0A">
      <w:pPr>
        <w:spacing w:before="120" w:after="120"/>
        <w:rPr>
          <w:rFonts w:cstheme="majorHAnsi"/>
        </w:rPr>
      </w:pPr>
      <w:r w:rsidRPr="00203EAF">
        <w:lastRenderedPageBreak/>
        <w:t xml:space="preserve">The Commonwealth Government </w:t>
      </w:r>
      <w:r w:rsidR="00CC75B8">
        <w:t>needs to</w:t>
      </w:r>
      <w:r w:rsidRPr="00203EAF">
        <w:t xml:space="preserve"> ensure tha</w:t>
      </w:r>
      <w:r w:rsidRPr="00324A15">
        <w:t xml:space="preserve">t </w:t>
      </w:r>
      <w:r w:rsidRPr="00CC75B8">
        <w:rPr>
          <w:b/>
        </w:rPr>
        <w:t xml:space="preserve">key initiatives under the plan are sufficiently and sustainably resourced and adequate </w:t>
      </w:r>
      <w:r w:rsidR="00423980" w:rsidRPr="00CC75B8">
        <w:rPr>
          <w:b/>
        </w:rPr>
        <w:t xml:space="preserve">long-term </w:t>
      </w:r>
      <w:r w:rsidRPr="00CC75B8">
        <w:rPr>
          <w:b/>
        </w:rPr>
        <w:t>funding</w:t>
      </w:r>
      <w:r w:rsidRPr="00324A15">
        <w:t xml:space="preserve"> is provided for quality prevention, early intervention and </w:t>
      </w:r>
      <w:r w:rsidRPr="00324A15">
        <w:rPr>
          <w:rFonts w:cstheme="majorHAnsi"/>
        </w:rPr>
        <w:t xml:space="preserve">ongoing specialist response and support initiatives and monitoring and evaluation of these initiatives. </w:t>
      </w:r>
    </w:p>
    <w:p w14:paraId="236772A1" w14:textId="74321A3D" w:rsidR="008F2A0A" w:rsidRPr="00CC75B8" w:rsidRDefault="00CD02C2" w:rsidP="00CC75B8">
      <w:pPr>
        <w:spacing w:before="120" w:after="120"/>
      </w:pPr>
      <w:r w:rsidRPr="00DE7FD9">
        <w:t xml:space="preserve">In light of the long-term goal of ending violence against women, we support the development of </w:t>
      </w:r>
      <w:r w:rsidRPr="00CC75B8">
        <w:rPr>
          <w:b/>
        </w:rPr>
        <w:t>a second National Plan</w:t>
      </w:r>
      <w:r w:rsidRPr="00DE7FD9">
        <w:t xml:space="preserve">, drawing on a full open and participatory evaluation of progress under the first National Plan, with reference to AWAVA’s </w:t>
      </w:r>
      <w:r w:rsidR="00F85E6B">
        <w:t>full</w:t>
      </w:r>
      <w:r w:rsidRPr="00DE7FD9">
        <w:t xml:space="preserve"> </w:t>
      </w:r>
      <w:r w:rsidR="001E7076">
        <w:t xml:space="preserve">Position Paper </w:t>
      </w:r>
      <w:r w:rsidRPr="00DE7FD9">
        <w:t xml:space="preserve">and other key documents including Our Watch’s Counting on Change guide. </w:t>
      </w:r>
    </w:p>
    <w:p w14:paraId="53485F4E" w14:textId="4DAA6D40" w:rsidR="00EB7ACD" w:rsidRDefault="00EB7ACD" w:rsidP="008F2A0A">
      <w:pPr>
        <w:spacing w:after="120"/>
        <w:rPr>
          <w:rFonts w:cstheme="majorHAnsi"/>
          <w:color w:val="000000"/>
        </w:rPr>
      </w:pPr>
      <w:r>
        <w:rPr>
          <w:rFonts w:cstheme="majorHAnsi"/>
          <w:color w:val="000000"/>
        </w:rPr>
        <w:t>We refer you to</w:t>
      </w:r>
      <w:r w:rsidR="00324A15">
        <w:rPr>
          <w:rFonts w:cstheme="majorHAnsi"/>
          <w:color w:val="000000"/>
        </w:rPr>
        <w:t xml:space="preserve"> </w:t>
      </w:r>
      <w:r w:rsidRPr="00CB26A3">
        <w:rPr>
          <w:rFonts w:cstheme="majorHAnsi"/>
          <w:color w:val="000000"/>
        </w:rPr>
        <w:t>AWAVA</w:t>
      </w:r>
      <w:r w:rsidR="001E7076">
        <w:rPr>
          <w:rFonts w:cstheme="majorHAnsi"/>
          <w:color w:val="000000"/>
        </w:rPr>
        <w:t>’s</w:t>
      </w:r>
      <w:r w:rsidRPr="00CB26A3">
        <w:rPr>
          <w:rFonts w:cstheme="majorHAnsi"/>
          <w:color w:val="000000"/>
        </w:rPr>
        <w:t xml:space="preserve"> </w:t>
      </w:r>
      <w:r w:rsidR="00F85E6B">
        <w:rPr>
          <w:rFonts w:cstheme="majorHAnsi"/>
          <w:color w:val="000000"/>
        </w:rPr>
        <w:t xml:space="preserve">full </w:t>
      </w:r>
      <w:r w:rsidRPr="00CB26A3">
        <w:rPr>
          <w:rFonts w:cstheme="majorHAnsi"/>
          <w:color w:val="000000"/>
        </w:rPr>
        <w:t>Position Paper</w:t>
      </w:r>
      <w:r>
        <w:rPr>
          <w:rFonts w:cstheme="majorHAnsi"/>
          <w:color w:val="000000"/>
        </w:rPr>
        <w:t xml:space="preserve"> </w:t>
      </w:r>
      <w:r w:rsidR="00324A15">
        <w:rPr>
          <w:rFonts w:cstheme="majorHAnsi"/>
          <w:color w:val="000000"/>
        </w:rPr>
        <w:t xml:space="preserve">for detailed analysis of </w:t>
      </w:r>
      <w:r w:rsidR="00BB2CCC">
        <w:rPr>
          <w:rFonts w:cstheme="majorHAnsi"/>
          <w:color w:val="000000"/>
        </w:rPr>
        <w:t xml:space="preserve">the efforts </w:t>
      </w:r>
      <w:r w:rsidR="00324A15">
        <w:rPr>
          <w:rFonts w:cstheme="majorHAnsi"/>
          <w:color w:val="000000"/>
        </w:rPr>
        <w:t xml:space="preserve">required to reduce </w:t>
      </w:r>
      <w:r w:rsidR="00BB2CCC">
        <w:rPr>
          <w:rFonts w:cstheme="majorHAnsi"/>
          <w:color w:val="000000"/>
        </w:rPr>
        <w:t xml:space="preserve">and ultimately end </w:t>
      </w:r>
      <w:r w:rsidR="00324A15">
        <w:rPr>
          <w:rFonts w:cstheme="majorHAnsi"/>
          <w:color w:val="000000"/>
        </w:rPr>
        <w:t>violence against women and their children. We have also attached a summary of AWAVA’s survey results</w:t>
      </w:r>
      <w:r w:rsidR="00BB2CCC">
        <w:rPr>
          <w:rFonts w:cstheme="majorHAnsi"/>
          <w:color w:val="000000"/>
        </w:rPr>
        <w:t>,</w:t>
      </w:r>
      <w:r w:rsidR="00324A15">
        <w:rPr>
          <w:rFonts w:cstheme="majorHAnsi"/>
          <w:color w:val="000000"/>
        </w:rPr>
        <w:t xml:space="preserve"> </w:t>
      </w:r>
      <w:r>
        <w:rPr>
          <w:rFonts w:cstheme="majorHAnsi"/>
          <w:color w:val="000000"/>
        </w:rPr>
        <w:t>‘Consulting on the Fourth Action Plan of the National Plan to Reduce Violence Against Women and Their Children’</w:t>
      </w:r>
      <w:r w:rsidR="00BB2CCC">
        <w:rPr>
          <w:rFonts w:cstheme="majorHAnsi"/>
          <w:color w:val="000000"/>
        </w:rPr>
        <w:t>,</w:t>
      </w:r>
      <w:r>
        <w:rPr>
          <w:rFonts w:cstheme="majorHAnsi"/>
          <w:color w:val="000000"/>
        </w:rPr>
        <w:t xml:space="preserve"> for more information. </w:t>
      </w:r>
    </w:p>
    <w:p w14:paraId="29C28184" w14:textId="77777777" w:rsidR="00EB7ACD" w:rsidRPr="00203EAF" w:rsidRDefault="00EB7ACD" w:rsidP="008F2A0A">
      <w:pPr>
        <w:spacing w:after="120"/>
        <w:rPr>
          <w:rFonts w:cstheme="majorHAnsi"/>
          <w:color w:val="000000"/>
        </w:rPr>
      </w:pPr>
    </w:p>
    <w:p w14:paraId="060E4F69" w14:textId="1D860CC9" w:rsidR="008F2A0A" w:rsidRDefault="008F2A0A" w:rsidP="008F2A0A">
      <w:pPr>
        <w:spacing w:after="120"/>
        <w:rPr>
          <w:rFonts w:cstheme="majorHAnsi"/>
          <w:color w:val="000000"/>
        </w:rPr>
      </w:pPr>
      <w:r w:rsidRPr="00203EAF">
        <w:rPr>
          <w:rFonts w:cstheme="majorHAnsi"/>
          <w:color w:val="000000"/>
        </w:rPr>
        <w:t>Once again we thank you for the opportunity to provide input to this consultation. If you would like to discuss the contents of the submission further, please contact Merrindahl Andrew, AWAVA Program Manager, using the details below.</w:t>
      </w:r>
    </w:p>
    <w:p w14:paraId="3AA546D9" w14:textId="77777777" w:rsidR="001E7076" w:rsidRPr="00203EAF" w:rsidRDefault="001E7076" w:rsidP="008F2A0A">
      <w:pPr>
        <w:spacing w:after="120"/>
        <w:rPr>
          <w:rFonts w:cstheme="majorHAnsi"/>
          <w:color w:val="000000"/>
        </w:rPr>
      </w:pPr>
    </w:p>
    <w:p w14:paraId="4173B5F1" w14:textId="77777777" w:rsidR="008F2A0A" w:rsidRPr="00203EAF" w:rsidRDefault="008F2A0A" w:rsidP="008F2A0A">
      <w:pPr>
        <w:pStyle w:val="NoSpacing"/>
      </w:pPr>
      <w:r w:rsidRPr="00203EAF">
        <w:t>Merrindahl Andrew</w:t>
      </w:r>
    </w:p>
    <w:p w14:paraId="7AD6363C" w14:textId="77777777" w:rsidR="00A169D8" w:rsidRDefault="008F2A0A" w:rsidP="008F2A0A">
      <w:pPr>
        <w:pStyle w:val="NoSpacing"/>
      </w:pPr>
      <w:r w:rsidRPr="00324A15">
        <w:t>Program Manager</w:t>
      </w:r>
    </w:p>
    <w:p w14:paraId="197A437D" w14:textId="0322D8E7" w:rsidR="008F2A0A" w:rsidRPr="00324A15" w:rsidRDefault="008F2A0A" w:rsidP="008F2A0A">
      <w:pPr>
        <w:pStyle w:val="NoSpacing"/>
      </w:pPr>
      <w:r w:rsidRPr="00324A15">
        <w:t>Australian Women Against Violence Alliance</w:t>
      </w:r>
    </w:p>
    <w:p w14:paraId="2010E54A" w14:textId="7ACF48B0" w:rsidR="0023246F" w:rsidRPr="00B07114" w:rsidRDefault="008345E0" w:rsidP="008F2A0A">
      <w:pPr>
        <w:pStyle w:val="NoSpacing"/>
        <w:rPr>
          <w:b/>
        </w:rPr>
      </w:pPr>
      <w:hyperlink r:id="rId8" w:history="1">
        <w:r w:rsidR="008F2A0A" w:rsidRPr="00AD3ADE">
          <w:t>www.awava.org.au</w:t>
        </w:r>
      </w:hyperlink>
      <w:r w:rsidR="008F2A0A" w:rsidRPr="00AD3ADE">
        <w:t xml:space="preserve"> | </w:t>
      </w:r>
      <w:hyperlink r:id="rId9" w:history="1">
        <w:r w:rsidR="008F2A0A" w:rsidRPr="00AD3ADE">
          <w:t>pm@awava.org.au</w:t>
        </w:r>
      </w:hyperlink>
      <w:r w:rsidR="008F2A0A" w:rsidRPr="00AD3ADE">
        <w:t xml:space="preserve"> | </w:t>
      </w:r>
      <w:proofErr w:type="spellStart"/>
      <w:r w:rsidR="008F2A0A" w:rsidRPr="00AD3ADE">
        <w:t>ph</w:t>
      </w:r>
      <w:proofErr w:type="spellEnd"/>
      <w:r w:rsidR="008F2A0A" w:rsidRPr="00AD3ADE">
        <w:t>: 0428 541 396</w:t>
      </w:r>
    </w:p>
    <w:sectPr w:rsidR="0023246F" w:rsidRPr="00B07114" w:rsidSect="00EF6020">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7240E" w14:textId="77777777" w:rsidR="008345E0" w:rsidRDefault="008345E0" w:rsidP="00FF5B02">
      <w:pPr>
        <w:spacing w:after="0" w:line="240" w:lineRule="auto"/>
      </w:pPr>
      <w:r>
        <w:separator/>
      </w:r>
    </w:p>
  </w:endnote>
  <w:endnote w:type="continuationSeparator" w:id="0">
    <w:p w14:paraId="1C68D17B" w14:textId="77777777" w:rsidR="008345E0" w:rsidRDefault="008345E0" w:rsidP="00FF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F60A" w14:textId="77777777" w:rsidR="009D0FFE" w:rsidRDefault="009D0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438893"/>
      <w:docPartObj>
        <w:docPartGallery w:val="Page Numbers (Bottom of Page)"/>
        <w:docPartUnique/>
      </w:docPartObj>
    </w:sdtPr>
    <w:sdtEndPr/>
    <w:sdtContent>
      <w:sdt>
        <w:sdtPr>
          <w:id w:val="-1918162957"/>
          <w:docPartObj>
            <w:docPartGallery w:val="Page Numbers (Top of Page)"/>
            <w:docPartUnique/>
          </w:docPartObj>
        </w:sdtPr>
        <w:sdtEndPr/>
        <w:sdtContent>
          <w:p w14:paraId="06262E41" w14:textId="3760D941" w:rsidR="007911C9" w:rsidRDefault="007911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38E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38E5">
              <w:rPr>
                <w:b/>
                <w:bCs/>
                <w:noProof/>
              </w:rPr>
              <w:t>9</w:t>
            </w:r>
            <w:r>
              <w:rPr>
                <w:b/>
                <w:bCs/>
                <w:sz w:val="24"/>
                <w:szCs w:val="24"/>
              </w:rPr>
              <w:fldChar w:fldCharType="end"/>
            </w:r>
          </w:p>
        </w:sdtContent>
      </w:sdt>
    </w:sdtContent>
  </w:sdt>
  <w:p w14:paraId="30325B14" w14:textId="77777777" w:rsidR="007911C9" w:rsidRDefault="00791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C1A0" w14:textId="77777777" w:rsidR="009D0FFE" w:rsidRDefault="009D0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5A471" w14:textId="77777777" w:rsidR="008345E0" w:rsidRDefault="008345E0" w:rsidP="00FF5B02">
      <w:pPr>
        <w:spacing w:after="0" w:line="240" w:lineRule="auto"/>
      </w:pPr>
      <w:r>
        <w:separator/>
      </w:r>
    </w:p>
  </w:footnote>
  <w:footnote w:type="continuationSeparator" w:id="0">
    <w:p w14:paraId="55E1F05F" w14:textId="77777777" w:rsidR="008345E0" w:rsidRDefault="008345E0" w:rsidP="00FF5B02">
      <w:pPr>
        <w:spacing w:after="0" w:line="240" w:lineRule="auto"/>
      </w:pPr>
      <w:r>
        <w:continuationSeparator/>
      </w:r>
    </w:p>
  </w:footnote>
  <w:footnote w:id="1">
    <w:p w14:paraId="4A4A7E9B" w14:textId="3EA0A707" w:rsidR="00203EAF" w:rsidRPr="00BB2CCC" w:rsidRDefault="00203EAF">
      <w:pPr>
        <w:pStyle w:val="FootnoteText"/>
        <w:rPr>
          <w:sz w:val="18"/>
          <w:szCs w:val="18"/>
          <w:lang w:val="en-US"/>
        </w:rPr>
      </w:pPr>
      <w:r w:rsidRPr="00EF6020">
        <w:rPr>
          <w:rStyle w:val="FootnoteReference"/>
          <w:sz w:val="18"/>
          <w:szCs w:val="18"/>
        </w:rPr>
        <w:footnoteRef/>
      </w:r>
      <w:r w:rsidRPr="00EF6020">
        <w:rPr>
          <w:sz w:val="18"/>
          <w:szCs w:val="18"/>
        </w:rPr>
        <w:t xml:space="preserve"> </w:t>
      </w:r>
      <w:r w:rsidRPr="00EF6020">
        <w:rPr>
          <w:sz w:val="18"/>
          <w:szCs w:val="18"/>
          <w:lang w:val="en-US"/>
        </w:rPr>
        <w:t xml:space="preserve">The </w:t>
      </w:r>
      <w:r w:rsidR="009D0FFE">
        <w:rPr>
          <w:sz w:val="18"/>
          <w:szCs w:val="18"/>
          <w:lang w:val="en-US"/>
        </w:rPr>
        <w:t>AWAV</w:t>
      </w:r>
      <w:r w:rsidR="00667B3F">
        <w:rPr>
          <w:sz w:val="18"/>
          <w:szCs w:val="18"/>
          <w:lang w:val="en-US"/>
        </w:rPr>
        <w:t>A</w:t>
      </w:r>
      <w:r w:rsidR="009D0FFE">
        <w:rPr>
          <w:sz w:val="18"/>
          <w:szCs w:val="18"/>
          <w:lang w:val="en-US"/>
        </w:rPr>
        <w:t xml:space="preserve"> survey ‘</w:t>
      </w:r>
      <w:r w:rsidRPr="00EF6020">
        <w:rPr>
          <w:sz w:val="18"/>
          <w:szCs w:val="18"/>
          <w:lang w:val="en-US"/>
        </w:rPr>
        <w:t xml:space="preserve">Consulting on the Fourth Action Plan of the National Plan to Reduce Violence Against Women and Their Children’ </w:t>
      </w:r>
      <w:r w:rsidRPr="00EF6020">
        <w:rPr>
          <w:sz w:val="18"/>
          <w:szCs w:val="18"/>
        </w:rPr>
        <w:t>aimed to evaluate the progress achieved under the Third Action Plan and consult with a broad range of service providers, peak bodies and individuals across Australia</w:t>
      </w:r>
      <w:bookmarkStart w:id="0" w:name="_GoBack"/>
      <w:bookmarkEnd w:id="0"/>
      <w:r w:rsidRPr="00EF6020">
        <w:rPr>
          <w:sz w:val="18"/>
          <w:szCs w:val="18"/>
        </w:rPr>
        <w:t xml:space="preserve"> on the development of the Fourth Action Plan. </w:t>
      </w:r>
      <w:r w:rsidR="00EF6020">
        <w:rPr>
          <w:sz w:val="18"/>
          <w:szCs w:val="18"/>
        </w:rPr>
        <w:t>The s</w:t>
      </w:r>
      <w:r w:rsidRPr="00EF6020">
        <w:rPr>
          <w:sz w:val="18"/>
          <w:szCs w:val="18"/>
        </w:rPr>
        <w:t xml:space="preserve">ummary of </w:t>
      </w:r>
      <w:r w:rsidR="00EF6020">
        <w:rPr>
          <w:sz w:val="18"/>
          <w:szCs w:val="18"/>
        </w:rPr>
        <w:t xml:space="preserve">the </w:t>
      </w:r>
      <w:r w:rsidRPr="00EF6020">
        <w:rPr>
          <w:sz w:val="18"/>
          <w:szCs w:val="18"/>
        </w:rPr>
        <w:t xml:space="preserve">survey results is attached to this submission. </w:t>
      </w:r>
    </w:p>
  </w:footnote>
  <w:footnote w:id="2">
    <w:p w14:paraId="0287CD2E" w14:textId="77777777" w:rsidR="00CF021A" w:rsidRPr="00BB2CCC" w:rsidRDefault="00CF021A" w:rsidP="00CF021A">
      <w:pPr>
        <w:pStyle w:val="FootnoteText"/>
        <w:rPr>
          <w:sz w:val="18"/>
          <w:szCs w:val="18"/>
        </w:rPr>
      </w:pPr>
      <w:r w:rsidRPr="00BB2CCC">
        <w:rPr>
          <w:rStyle w:val="FootnoteReference"/>
          <w:sz w:val="18"/>
          <w:szCs w:val="18"/>
        </w:rPr>
        <w:footnoteRef/>
      </w:r>
      <w:hyperlink r:id="rId1" w:history="1">
        <w:r w:rsidRPr="00BB2CCC">
          <w:rPr>
            <w:rStyle w:val="Hyperlink"/>
            <w:sz w:val="18"/>
            <w:szCs w:val="18"/>
          </w:rPr>
          <w:t>https://www.ourwatch.org.au/getmedia/8c6df8f7-5d01-4e32-9e6a-a8bff04f0673/OurWatch_GuideToMonitoring_A3Summary_horizontal.pdf.aspx</w:t>
        </w:r>
      </w:hyperlink>
      <w:r w:rsidRPr="00BB2CCC">
        <w:rPr>
          <w:sz w:val="18"/>
          <w:szCs w:val="18"/>
        </w:rPr>
        <w:t xml:space="preserve"> </w:t>
      </w:r>
    </w:p>
  </w:footnote>
  <w:footnote w:id="3">
    <w:p w14:paraId="22A78B49" w14:textId="77777777" w:rsidR="00FF5B02" w:rsidRPr="00A169D8" w:rsidRDefault="00FF5B02" w:rsidP="00FF5B02">
      <w:pPr>
        <w:pStyle w:val="NoSpacing"/>
        <w:jc w:val="left"/>
        <w:rPr>
          <w:rFonts w:cstheme="majorHAnsi"/>
          <w:sz w:val="18"/>
          <w:szCs w:val="18"/>
        </w:rPr>
      </w:pPr>
      <w:r w:rsidRPr="00A169D8">
        <w:rPr>
          <w:rStyle w:val="FootnoteReference"/>
          <w:rFonts w:cstheme="majorHAnsi"/>
          <w:sz w:val="18"/>
          <w:szCs w:val="18"/>
        </w:rPr>
        <w:footnoteRef/>
      </w:r>
      <w:r w:rsidRPr="00A169D8">
        <w:rPr>
          <w:rFonts w:cstheme="majorHAnsi"/>
          <w:sz w:val="18"/>
          <w:szCs w:val="18"/>
        </w:rPr>
        <w:t xml:space="preserve"> UNSW (2014) Calling it What It Is: A Report into Lesbian, Gay, Bisexual, Transgender, Gender Diverse, Intersex and Queer Experiences of Domestic and Family Violence. Recommendations 3.1-3.9.</w:t>
      </w:r>
    </w:p>
  </w:footnote>
  <w:footnote w:id="4">
    <w:p w14:paraId="24A2ABF4" w14:textId="77777777" w:rsidR="00985667" w:rsidRPr="00A169D8" w:rsidRDefault="00985667" w:rsidP="00985667">
      <w:pPr>
        <w:pStyle w:val="NoSpacing"/>
        <w:jc w:val="left"/>
        <w:rPr>
          <w:rFonts w:cstheme="majorHAnsi"/>
          <w:sz w:val="18"/>
          <w:szCs w:val="18"/>
        </w:rPr>
      </w:pPr>
      <w:r w:rsidRPr="00A169D8">
        <w:rPr>
          <w:rStyle w:val="FootnoteReference"/>
          <w:rFonts w:cstheme="majorHAnsi"/>
          <w:sz w:val="18"/>
          <w:szCs w:val="18"/>
        </w:rPr>
        <w:footnoteRef/>
      </w:r>
      <w:r w:rsidRPr="00A169D8">
        <w:rPr>
          <w:rFonts w:cstheme="majorHAnsi"/>
          <w:sz w:val="18"/>
          <w:szCs w:val="18"/>
        </w:rPr>
        <w:t xml:space="preserve"> </w:t>
      </w:r>
      <w:hyperlink r:id="rId2" w:history="1">
        <w:r w:rsidRPr="002F5659">
          <w:rPr>
            <w:rStyle w:val="Hyperlink"/>
            <w:rFonts w:cstheme="majorHAnsi"/>
            <w:sz w:val="18"/>
            <w:szCs w:val="18"/>
          </w:rPr>
          <w:t>https://awava.org.au/2017/08/10/research/brochure-unique-role-specialist-womens-services</w:t>
        </w:r>
      </w:hyperlink>
      <w:r w:rsidRPr="00A169D8">
        <w:rPr>
          <w:rFonts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82AC" w14:textId="77777777" w:rsidR="009D0FFE" w:rsidRDefault="009D0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602B" w14:textId="77777777" w:rsidR="009D0FFE" w:rsidRDefault="009D0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76ED" w14:textId="284F4DB0" w:rsidR="00186B5D" w:rsidRDefault="00186B5D">
    <w:pPr>
      <w:pStyle w:val="Header"/>
    </w:pPr>
    <w:r>
      <w:rPr>
        <w:noProof/>
        <w:lang w:eastAsia="en-AU"/>
      </w:rPr>
      <w:drawing>
        <wp:anchor distT="0" distB="0" distL="114300" distR="114300" simplePos="0" relativeHeight="251659264" behindDoc="0" locked="0" layoutInCell="1" allowOverlap="1" wp14:anchorId="05642059" wp14:editId="332FA402">
          <wp:simplePos x="0" y="0"/>
          <wp:positionH relativeFrom="column">
            <wp:posOffset>-895350</wp:posOffset>
          </wp:positionH>
          <wp:positionV relativeFrom="paragraph">
            <wp:posOffset>-448310</wp:posOffset>
          </wp:positionV>
          <wp:extent cx="7543800" cy="1752600"/>
          <wp:effectExtent l="0" t="0" r="0" b="0"/>
          <wp:wrapThrough wrapText="bothSides">
            <wp:wrapPolygon edited="0">
              <wp:start x="0" y="0"/>
              <wp:lineTo x="0" y="21365"/>
              <wp:lineTo x="21545" y="21365"/>
              <wp:lineTo x="21545" y="0"/>
              <wp:lineTo x="0" y="0"/>
            </wp:wrapPolygon>
          </wp:wrapThrough>
          <wp:docPr id="2" name="Picture 2" descr="Wordpress AWAVA Banner.jpg"/>
          <wp:cNvGraphicFramePr/>
          <a:graphic xmlns:a="http://schemas.openxmlformats.org/drawingml/2006/main">
            <a:graphicData uri="http://schemas.openxmlformats.org/drawingml/2006/picture">
              <pic:pic xmlns:pic="http://schemas.openxmlformats.org/drawingml/2006/picture">
                <pic:nvPicPr>
                  <pic:cNvPr id="2" name="Picture 2" descr="Wordpress AWAVA Banner.jpg"/>
                  <pic:cNvPicPr/>
                </pic:nvPicPr>
                <pic:blipFill>
                  <a:blip r:embed="rId1" cstate="print">
                    <a:extLst>
                      <a:ext uri="{28A0092B-C50C-407E-A947-70E740481C1C}">
                        <a14:useLocalDpi xmlns:a14="http://schemas.microsoft.com/office/drawing/2010/main" val="0"/>
                      </a:ext>
                    </a:extLst>
                  </a:blip>
                  <a:srcRect t="20148" r="3958" b="19802"/>
                  <a:stretch>
                    <a:fillRect/>
                  </a:stretch>
                </pic:blipFill>
                <pic:spPr>
                  <a:xfrm>
                    <a:off x="0" y="0"/>
                    <a:ext cx="7543800" cy="1752600"/>
                  </a:xfrm>
                  <a:prstGeom prst="rect">
                    <a:avLst/>
                  </a:prstGeom>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2DBD"/>
    <w:multiLevelType w:val="hybridMultilevel"/>
    <w:tmpl w:val="C0949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33939"/>
    <w:multiLevelType w:val="hybridMultilevel"/>
    <w:tmpl w:val="271CB3F2"/>
    <w:lvl w:ilvl="0" w:tplc="B9B0290E">
      <w:start w:val="1"/>
      <w:numFmt w:val="decimal"/>
      <w:lvlText w:val="%1."/>
      <w:lvlJc w:val="left"/>
      <w:pPr>
        <w:ind w:left="720" w:hanging="360"/>
      </w:pPr>
      <w:rPr>
        <w:rFonts w:hint="default"/>
        <w:b/>
        <w:color w:val="7030A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C81C03"/>
    <w:multiLevelType w:val="multilevel"/>
    <w:tmpl w:val="B47E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0647E"/>
    <w:multiLevelType w:val="hybridMultilevel"/>
    <w:tmpl w:val="EA0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E1ACB"/>
    <w:multiLevelType w:val="hybridMultilevel"/>
    <w:tmpl w:val="3A985A78"/>
    <w:lvl w:ilvl="0" w:tplc="079672F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6C3B5B"/>
    <w:multiLevelType w:val="hybridMultilevel"/>
    <w:tmpl w:val="83E8F726"/>
    <w:lvl w:ilvl="0" w:tplc="26CA8290">
      <w:numFmt w:val="bullet"/>
      <w:lvlText w:val="-"/>
      <w:lvlJc w:val="left"/>
      <w:pPr>
        <w:ind w:left="720" w:hanging="360"/>
      </w:pPr>
      <w:rPr>
        <w:rFonts w:ascii="Calibri Light" w:eastAsiaTheme="minorHAnsi" w:hAnsi="Calibri Light" w:cs="Calibri Light"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B1710"/>
    <w:multiLevelType w:val="multilevel"/>
    <w:tmpl w:val="3DC05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7030A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50263F"/>
    <w:multiLevelType w:val="multilevel"/>
    <w:tmpl w:val="772C4842"/>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b/>
        <w:color w:val="7030A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F053860"/>
    <w:multiLevelType w:val="hybridMultilevel"/>
    <w:tmpl w:val="46BC08E2"/>
    <w:lvl w:ilvl="0" w:tplc="9C34E7C6">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57E23E9C"/>
    <w:multiLevelType w:val="multilevel"/>
    <w:tmpl w:val="B4EAF3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4BB2A10"/>
    <w:multiLevelType w:val="hybridMultilevel"/>
    <w:tmpl w:val="DCE6F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518DD"/>
    <w:multiLevelType w:val="hybridMultilevel"/>
    <w:tmpl w:val="141A9A9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1D6F2D"/>
    <w:multiLevelType w:val="hybridMultilevel"/>
    <w:tmpl w:val="271CB3F2"/>
    <w:lvl w:ilvl="0" w:tplc="B9B0290E">
      <w:start w:val="1"/>
      <w:numFmt w:val="decimal"/>
      <w:lvlText w:val="%1."/>
      <w:lvlJc w:val="left"/>
      <w:pPr>
        <w:ind w:left="720" w:hanging="360"/>
      </w:pPr>
      <w:rPr>
        <w:rFonts w:hint="default"/>
        <w:b/>
        <w:color w:val="7030A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AF589F"/>
    <w:multiLevelType w:val="multilevel"/>
    <w:tmpl w:val="7A8E1D10"/>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360"/>
      </w:pPr>
      <w:rPr>
        <w:rFonts w:hint="default"/>
        <w:b/>
        <w:color w:val="7030A0"/>
      </w:rPr>
    </w:lvl>
    <w:lvl w:ilvl="2">
      <w:start w:val="1"/>
      <w:numFmt w:val="decimal"/>
      <w:isLgl/>
      <w:lvlText w:val="%1.%2.%3."/>
      <w:lvlJc w:val="left"/>
      <w:pPr>
        <w:ind w:left="1800" w:hanging="720"/>
      </w:pPr>
      <w:rPr>
        <w:rFonts w:hint="default"/>
        <w:color w:val="7030A0"/>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894250F"/>
    <w:multiLevelType w:val="multilevel"/>
    <w:tmpl w:val="3DC05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7030A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E81E3D"/>
    <w:multiLevelType w:val="hybridMultilevel"/>
    <w:tmpl w:val="E2F45A42"/>
    <w:lvl w:ilvl="0" w:tplc="EE62D6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11"/>
  </w:num>
  <w:num w:numId="3">
    <w:abstractNumId w:val="6"/>
  </w:num>
  <w:num w:numId="4">
    <w:abstractNumId w:val="12"/>
  </w:num>
  <w:num w:numId="5">
    <w:abstractNumId w:val="1"/>
  </w:num>
  <w:num w:numId="6">
    <w:abstractNumId w:val="10"/>
  </w:num>
  <w:num w:numId="7">
    <w:abstractNumId w:val="9"/>
  </w:num>
  <w:num w:numId="8">
    <w:abstractNumId w:val="2"/>
  </w:num>
  <w:num w:numId="9">
    <w:abstractNumId w:val="13"/>
  </w:num>
  <w:num w:numId="10">
    <w:abstractNumId w:val="15"/>
  </w:num>
  <w:num w:numId="11">
    <w:abstractNumId w:val="8"/>
  </w:num>
  <w:num w:numId="12">
    <w:abstractNumId w:val="5"/>
  </w:num>
  <w:num w:numId="13">
    <w:abstractNumId w:val="7"/>
  </w:num>
  <w:num w:numId="14">
    <w:abstractNumId w:val="4"/>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42"/>
    <w:rsid w:val="00041B3E"/>
    <w:rsid w:val="00060386"/>
    <w:rsid w:val="00095871"/>
    <w:rsid w:val="000A38E5"/>
    <w:rsid w:val="000B576C"/>
    <w:rsid w:val="000E67E8"/>
    <w:rsid w:val="000F2DB9"/>
    <w:rsid w:val="00130DE2"/>
    <w:rsid w:val="00156BED"/>
    <w:rsid w:val="00185473"/>
    <w:rsid w:val="00186B5D"/>
    <w:rsid w:val="001C76B8"/>
    <w:rsid w:val="001E7076"/>
    <w:rsid w:val="00203EAF"/>
    <w:rsid w:val="00221624"/>
    <w:rsid w:val="00230B09"/>
    <w:rsid w:val="0023246F"/>
    <w:rsid w:val="00283262"/>
    <w:rsid w:val="002F5389"/>
    <w:rsid w:val="002F5659"/>
    <w:rsid w:val="002F7CD1"/>
    <w:rsid w:val="00302ABF"/>
    <w:rsid w:val="00324A15"/>
    <w:rsid w:val="00331675"/>
    <w:rsid w:val="0034202E"/>
    <w:rsid w:val="00345DC5"/>
    <w:rsid w:val="003627EB"/>
    <w:rsid w:val="00385F3D"/>
    <w:rsid w:val="003917C3"/>
    <w:rsid w:val="003D0E05"/>
    <w:rsid w:val="003D6DFE"/>
    <w:rsid w:val="004208E1"/>
    <w:rsid w:val="00423980"/>
    <w:rsid w:val="00431C21"/>
    <w:rsid w:val="00440322"/>
    <w:rsid w:val="00440E93"/>
    <w:rsid w:val="00460E51"/>
    <w:rsid w:val="0046531D"/>
    <w:rsid w:val="004C1170"/>
    <w:rsid w:val="004D4ADF"/>
    <w:rsid w:val="00506632"/>
    <w:rsid w:val="005231BF"/>
    <w:rsid w:val="00562A53"/>
    <w:rsid w:val="005A7F4B"/>
    <w:rsid w:val="005B2DF9"/>
    <w:rsid w:val="00600CBE"/>
    <w:rsid w:val="006509E9"/>
    <w:rsid w:val="0066322D"/>
    <w:rsid w:val="00667B3F"/>
    <w:rsid w:val="006760CA"/>
    <w:rsid w:val="006B20AC"/>
    <w:rsid w:val="006B60D8"/>
    <w:rsid w:val="006B7A57"/>
    <w:rsid w:val="0070207F"/>
    <w:rsid w:val="0077603A"/>
    <w:rsid w:val="007800A2"/>
    <w:rsid w:val="00785DBF"/>
    <w:rsid w:val="007911C9"/>
    <w:rsid w:val="00797E90"/>
    <w:rsid w:val="007D7E26"/>
    <w:rsid w:val="00806F26"/>
    <w:rsid w:val="00807971"/>
    <w:rsid w:val="008345E0"/>
    <w:rsid w:val="008444E9"/>
    <w:rsid w:val="00886ADF"/>
    <w:rsid w:val="008D3E59"/>
    <w:rsid w:val="008F2A0A"/>
    <w:rsid w:val="00920C5C"/>
    <w:rsid w:val="00922390"/>
    <w:rsid w:val="00985667"/>
    <w:rsid w:val="009D0FFE"/>
    <w:rsid w:val="009E5066"/>
    <w:rsid w:val="00A01FFE"/>
    <w:rsid w:val="00A04478"/>
    <w:rsid w:val="00A169D8"/>
    <w:rsid w:val="00A65A97"/>
    <w:rsid w:val="00A81A31"/>
    <w:rsid w:val="00A906B8"/>
    <w:rsid w:val="00AD3ADE"/>
    <w:rsid w:val="00AF4C8E"/>
    <w:rsid w:val="00B07114"/>
    <w:rsid w:val="00B40E60"/>
    <w:rsid w:val="00B51ADE"/>
    <w:rsid w:val="00BB2CCC"/>
    <w:rsid w:val="00C00BA3"/>
    <w:rsid w:val="00C13253"/>
    <w:rsid w:val="00C3227B"/>
    <w:rsid w:val="00CB26A3"/>
    <w:rsid w:val="00CC75B8"/>
    <w:rsid w:val="00CD02C2"/>
    <w:rsid w:val="00CD46DE"/>
    <w:rsid w:val="00CF021A"/>
    <w:rsid w:val="00D113FC"/>
    <w:rsid w:val="00D46DFF"/>
    <w:rsid w:val="00DB3965"/>
    <w:rsid w:val="00DB5CB4"/>
    <w:rsid w:val="00DE7FD9"/>
    <w:rsid w:val="00DF30E3"/>
    <w:rsid w:val="00E43620"/>
    <w:rsid w:val="00E64C10"/>
    <w:rsid w:val="00E66FC4"/>
    <w:rsid w:val="00E76042"/>
    <w:rsid w:val="00E85FB4"/>
    <w:rsid w:val="00EA37C2"/>
    <w:rsid w:val="00EA388B"/>
    <w:rsid w:val="00EB7ACD"/>
    <w:rsid w:val="00EE71A4"/>
    <w:rsid w:val="00EF6020"/>
    <w:rsid w:val="00F126B9"/>
    <w:rsid w:val="00F2357D"/>
    <w:rsid w:val="00F23D05"/>
    <w:rsid w:val="00F55C72"/>
    <w:rsid w:val="00F66D63"/>
    <w:rsid w:val="00F85E6B"/>
    <w:rsid w:val="00FB37A1"/>
    <w:rsid w:val="00FF5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1C74"/>
  <w15:chartTrackingRefBased/>
  <w15:docId w15:val="{AAAA57D6-014C-47F9-8954-2470360E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46F"/>
    <w:pPr>
      <w:jc w:val="both"/>
    </w:pPr>
    <w:rPr>
      <w:rFonts w:asciiTheme="majorHAnsi" w:hAnsiTheme="majorHAnsi"/>
    </w:rPr>
  </w:style>
  <w:style w:type="paragraph" w:styleId="Heading1">
    <w:name w:val="heading 1"/>
    <w:basedOn w:val="Normal"/>
    <w:next w:val="Normal"/>
    <w:link w:val="Heading1Char"/>
    <w:autoRedefine/>
    <w:uiPriority w:val="9"/>
    <w:qFormat/>
    <w:rsid w:val="00221624"/>
    <w:pPr>
      <w:keepNext/>
      <w:keepLines/>
      <w:spacing w:before="240" w:after="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E43620"/>
    <w:pPr>
      <w:keepNext/>
      <w:keepLines/>
      <w:numPr>
        <w:numId w:val="9"/>
      </w:numPr>
      <w:spacing w:before="40" w:after="0" w:line="256" w:lineRule="auto"/>
      <w:ind w:left="426"/>
      <w:outlineLvl w:val="1"/>
    </w:pPr>
    <w:rPr>
      <w:rFonts w:eastAsiaTheme="majorEastAsia" w:cstheme="majorBidi"/>
      <w:b/>
      <w:color w:val="CC00FF"/>
      <w:sz w:val="26"/>
      <w:szCs w:val="26"/>
      <w:lang w:val="en-US"/>
    </w:rPr>
  </w:style>
  <w:style w:type="paragraph" w:styleId="Heading3">
    <w:name w:val="heading 3"/>
    <w:basedOn w:val="Normal"/>
    <w:next w:val="Normal"/>
    <w:link w:val="Heading3Char"/>
    <w:autoRedefine/>
    <w:uiPriority w:val="9"/>
    <w:unhideWhenUsed/>
    <w:qFormat/>
    <w:rsid w:val="00221624"/>
    <w:pPr>
      <w:keepNext/>
      <w:keepLines/>
      <w:spacing w:before="40" w:after="0"/>
      <w:outlineLvl w:val="2"/>
    </w:pPr>
    <w:rPr>
      <w:rFonts w:eastAsiaTheme="majorEastAsia" w:cstheme="majorBidi"/>
      <w:b/>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E43620"/>
    <w:rPr>
      <w:rFonts w:asciiTheme="majorHAnsi" w:eastAsiaTheme="majorEastAsia" w:hAnsiTheme="majorHAnsi" w:cstheme="majorBidi"/>
      <w:b/>
      <w:color w:val="CC00FF"/>
      <w:sz w:val="26"/>
      <w:szCs w:val="26"/>
      <w:lang w:val="en-US"/>
    </w:rPr>
  </w:style>
  <w:style w:type="character" w:customStyle="1" w:styleId="Heading3Char">
    <w:name w:val="Heading 3 Char"/>
    <w:basedOn w:val="DefaultParagraphFont"/>
    <w:link w:val="Heading3"/>
    <w:uiPriority w:val="9"/>
    <w:rsid w:val="00221624"/>
    <w:rPr>
      <w:rFonts w:asciiTheme="majorHAnsi" w:eastAsiaTheme="majorEastAsia" w:hAnsiTheme="majorHAnsi" w:cstheme="majorBidi"/>
      <w:b/>
      <w:color w:val="002060"/>
      <w:sz w:val="24"/>
      <w:szCs w:val="24"/>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23246F"/>
    <w:pPr>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23246F"/>
    <w:rPr>
      <w:rFonts w:asciiTheme="majorHAnsi" w:hAnsiTheme="majorHAnsi"/>
    </w:rPr>
  </w:style>
  <w:style w:type="character" w:styleId="CommentReference">
    <w:name w:val="annotation reference"/>
    <w:basedOn w:val="DefaultParagraphFont"/>
    <w:uiPriority w:val="99"/>
    <w:semiHidden/>
    <w:unhideWhenUsed/>
    <w:rsid w:val="0023246F"/>
    <w:rPr>
      <w:sz w:val="16"/>
      <w:szCs w:val="16"/>
    </w:rPr>
  </w:style>
  <w:style w:type="paragraph" w:styleId="CommentText">
    <w:name w:val="annotation text"/>
    <w:basedOn w:val="Normal"/>
    <w:link w:val="CommentTextChar"/>
    <w:uiPriority w:val="99"/>
    <w:semiHidden/>
    <w:unhideWhenUsed/>
    <w:rsid w:val="0023246F"/>
    <w:pPr>
      <w:spacing w:line="240" w:lineRule="auto"/>
    </w:pPr>
    <w:rPr>
      <w:sz w:val="20"/>
      <w:szCs w:val="20"/>
    </w:rPr>
  </w:style>
  <w:style w:type="character" w:customStyle="1" w:styleId="CommentTextChar">
    <w:name w:val="Comment Text Char"/>
    <w:basedOn w:val="DefaultParagraphFont"/>
    <w:link w:val="CommentText"/>
    <w:uiPriority w:val="99"/>
    <w:semiHidden/>
    <w:rsid w:val="0023246F"/>
    <w:rPr>
      <w:rFonts w:asciiTheme="majorHAnsi" w:hAnsiTheme="majorHAnsi"/>
      <w:sz w:val="20"/>
      <w:szCs w:val="20"/>
    </w:rPr>
  </w:style>
  <w:style w:type="table" w:styleId="TableGrid">
    <w:name w:val="Table Grid"/>
    <w:basedOn w:val="TableNormal"/>
    <w:uiPriority w:val="39"/>
    <w:rsid w:val="0023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246F"/>
    <w:pPr>
      <w:spacing w:after="0" w:line="240" w:lineRule="auto"/>
      <w:jc w:val="both"/>
    </w:pPr>
    <w:rPr>
      <w:rFonts w:asciiTheme="majorHAnsi" w:hAnsiTheme="majorHAnsi"/>
    </w:rPr>
  </w:style>
  <w:style w:type="paragraph" w:styleId="BalloonText">
    <w:name w:val="Balloon Text"/>
    <w:basedOn w:val="Normal"/>
    <w:link w:val="BalloonTextChar"/>
    <w:uiPriority w:val="99"/>
    <w:semiHidden/>
    <w:unhideWhenUsed/>
    <w:rsid w:val="00A8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31"/>
    <w:rPr>
      <w:rFonts w:ascii="Segoe UI" w:hAnsi="Segoe UI" w:cs="Segoe UI"/>
      <w:sz w:val="18"/>
      <w:szCs w:val="18"/>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FF5B0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F5B02"/>
    <w:pPr>
      <w:spacing w:before="120" w:after="120" w:line="240" w:lineRule="exact"/>
    </w:pPr>
    <w:rPr>
      <w:rFonts w:asciiTheme="minorHAnsi" w:hAnsiTheme="minorHAnsi"/>
      <w:vertAlign w:val="superscript"/>
    </w:rPr>
  </w:style>
  <w:style w:type="paragraph" w:styleId="NormalWeb">
    <w:name w:val="Normal (Web)"/>
    <w:basedOn w:val="Normal"/>
    <w:uiPriority w:val="99"/>
    <w:semiHidden/>
    <w:unhideWhenUsed/>
    <w:rsid w:val="008D3E5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4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620"/>
    <w:rPr>
      <w:rFonts w:asciiTheme="majorHAnsi" w:hAnsiTheme="majorHAnsi"/>
    </w:rPr>
  </w:style>
  <w:style w:type="paragraph" w:styleId="Footer">
    <w:name w:val="footer"/>
    <w:basedOn w:val="Normal"/>
    <w:link w:val="FooterChar"/>
    <w:uiPriority w:val="99"/>
    <w:unhideWhenUsed/>
    <w:rsid w:val="00E4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620"/>
    <w:rPr>
      <w:rFonts w:asciiTheme="majorHAnsi" w:hAnsiTheme="majorHAnsi"/>
    </w:rPr>
  </w:style>
  <w:style w:type="paragraph" w:styleId="CommentSubject">
    <w:name w:val="annotation subject"/>
    <w:basedOn w:val="CommentText"/>
    <w:next w:val="CommentText"/>
    <w:link w:val="CommentSubjectChar"/>
    <w:uiPriority w:val="99"/>
    <w:semiHidden/>
    <w:unhideWhenUsed/>
    <w:rsid w:val="006760CA"/>
    <w:rPr>
      <w:b/>
      <w:bCs/>
    </w:rPr>
  </w:style>
  <w:style w:type="character" w:customStyle="1" w:styleId="CommentSubjectChar">
    <w:name w:val="Comment Subject Char"/>
    <w:basedOn w:val="CommentTextChar"/>
    <w:link w:val="CommentSubject"/>
    <w:uiPriority w:val="99"/>
    <w:semiHidden/>
    <w:rsid w:val="006760CA"/>
    <w:rPr>
      <w:rFonts w:asciiTheme="majorHAnsi" w:hAnsiTheme="majorHAnsi"/>
      <w:b/>
      <w:bCs/>
      <w:sz w:val="20"/>
      <w:szCs w:val="20"/>
    </w:r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1,single space Char,single space"/>
    <w:basedOn w:val="Normal"/>
    <w:link w:val="FootnoteTextChar"/>
    <w:uiPriority w:val="99"/>
    <w:unhideWhenUsed/>
    <w:qFormat/>
    <w:rsid w:val="00CF021A"/>
    <w:pPr>
      <w:spacing w:after="0" w:line="240" w:lineRule="auto"/>
    </w:pPr>
    <w:rPr>
      <w:rFonts w:ascii="Calibri Light" w:hAnsi="Calibri Light"/>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rsid w:val="00CF021A"/>
    <w:rPr>
      <w:rFonts w:ascii="Calibri Light" w:hAnsi="Calibri Light"/>
      <w:sz w:val="20"/>
      <w:szCs w:val="20"/>
    </w:rPr>
  </w:style>
  <w:style w:type="character" w:styleId="Hyperlink">
    <w:name w:val="Hyperlink"/>
    <w:basedOn w:val="DefaultParagraphFont"/>
    <w:uiPriority w:val="99"/>
    <w:unhideWhenUsed/>
    <w:rsid w:val="00CF021A"/>
    <w:rPr>
      <w:color w:val="0563C1" w:themeColor="hyperlink"/>
      <w:u w:val="single"/>
    </w:rPr>
  </w:style>
  <w:style w:type="paragraph" w:styleId="Title">
    <w:name w:val="Title"/>
    <w:basedOn w:val="Normal"/>
    <w:next w:val="Normal"/>
    <w:link w:val="TitleChar"/>
    <w:uiPriority w:val="10"/>
    <w:qFormat/>
    <w:rsid w:val="00186B5D"/>
    <w:pPr>
      <w:spacing w:after="0" w:line="240" w:lineRule="auto"/>
      <w:contextualSpacing/>
      <w:jc w:val="left"/>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86B5D"/>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9D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7396">
      <w:bodyDiv w:val="1"/>
      <w:marLeft w:val="0"/>
      <w:marRight w:val="0"/>
      <w:marTop w:val="0"/>
      <w:marBottom w:val="0"/>
      <w:divBdr>
        <w:top w:val="none" w:sz="0" w:space="0" w:color="auto"/>
        <w:left w:val="none" w:sz="0" w:space="0" w:color="auto"/>
        <w:bottom w:val="none" w:sz="0" w:space="0" w:color="auto"/>
        <w:right w:val="none" w:sz="0" w:space="0" w:color="auto"/>
      </w:divBdr>
    </w:div>
    <w:div w:id="1520508248">
      <w:bodyDiv w:val="1"/>
      <w:marLeft w:val="0"/>
      <w:marRight w:val="0"/>
      <w:marTop w:val="0"/>
      <w:marBottom w:val="0"/>
      <w:divBdr>
        <w:top w:val="none" w:sz="0" w:space="0" w:color="auto"/>
        <w:left w:val="none" w:sz="0" w:space="0" w:color="auto"/>
        <w:bottom w:val="none" w:sz="0" w:space="0" w:color="auto"/>
        <w:right w:val="none" w:sz="0" w:space="0" w:color="auto"/>
      </w:divBdr>
    </w:div>
    <w:div w:id="15847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ava.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awava.org.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awava.org.au/2017/08/10/research/brochure-unique-role-specialist-womens-services" TargetMode="External"/><Relationship Id="rId1" Type="http://schemas.openxmlformats.org/officeDocument/2006/relationships/hyperlink" Target="https://www.ourwatch.org.au/getmedia/8c6df8f7-5d01-4e32-9e6a-a8bff04f0673/OurWatch_GuideToMonitoring_A3Summary_horizontal.pdf.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F1C7A-9389-6C43-865E-9F9EED88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Merrindahl Andrew</cp:lastModifiedBy>
  <cp:revision>4</cp:revision>
  <cp:lastPrinted>2018-09-21T03:27:00Z</cp:lastPrinted>
  <dcterms:created xsi:type="dcterms:W3CDTF">2018-09-21T03:27:00Z</dcterms:created>
  <dcterms:modified xsi:type="dcterms:W3CDTF">2018-09-24T06:53:00Z</dcterms:modified>
</cp:coreProperties>
</file>