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03CDD3" w14:textId="518B7C32" w:rsidR="00912CFA" w:rsidRDefault="00C75BC3" w:rsidP="00EE45E8">
      <w:pPr>
        <w:pStyle w:val="Title"/>
        <w:pBdr>
          <w:bottom w:val="single" w:sz="4" w:space="1" w:color="auto"/>
        </w:pBdr>
        <w:ind w:left="720"/>
        <w:jc w:val="center"/>
        <w:rPr>
          <w:b/>
          <w:noProof/>
          <w:sz w:val="36"/>
        </w:rPr>
      </w:pPr>
      <w:r w:rsidRPr="00BD6C84">
        <w:rPr>
          <w:b/>
          <w:noProof/>
          <w:sz w:val="36"/>
        </w:rPr>
        <w:t xml:space="preserve">The </w:t>
      </w:r>
      <w:r w:rsidR="00152107" w:rsidRPr="00BD6C84">
        <w:rPr>
          <w:b/>
          <w:noProof/>
          <w:sz w:val="36"/>
        </w:rPr>
        <w:t xml:space="preserve">Unique Role </w:t>
      </w:r>
      <w:r w:rsidR="00152107">
        <w:rPr>
          <w:b/>
          <w:noProof/>
          <w:sz w:val="36"/>
        </w:rPr>
        <w:t>o</w:t>
      </w:r>
      <w:r w:rsidR="00152107" w:rsidRPr="00BD6C84">
        <w:rPr>
          <w:b/>
          <w:noProof/>
          <w:sz w:val="36"/>
        </w:rPr>
        <w:t xml:space="preserve">f </w:t>
      </w:r>
      <w:r w:rsidRPr="00BD6C84">
        <w:rPr>
          <w:b/>
          <w:noProof/>
          <w:sz w:val="36"/>
        </w:rPr>
        <w:t>Specialist Women’s Services</w:t>
      </w:r>
    </w:p>
    <w:p w14:paraId="2B877F9A" w14:textId="391003E4" w:rsidR="008C4FAC" w:rsidRPr="00BD6C84" w:rsidRDefault="00152107" w:rsidP="00BD6C84">
      <w:pPr>
        <w:pStyle w:val="Title"/>
        <w:jc w:val="center"/>
        <w:rPr>
          <w:b/>
          <w:noProof/>
          <w:sz w:val="36"/>
        </w:rPr>
      </w:pPr>
      <w:r>
        <w:rPr>
          <w:b/>
          <w:noProof/>
          <w:sz w:val="36"/>
        </w:rPr>
        <w:t>in Ending Violence a</w:t>
      </w:r>
      <w:r w:rsidRPr="00BD6C84">
        <w:rPr>
          <w:b/>
          <w:noProof/>
          <w:sz w:val="36"/>
        </w:rPr>
        <w:t>gainst Women</w:t>
      </w:r>
    </w:p>
    <w:p w14:paraId="3E268602" w14:textId="77E4B5B1" w:rsidR="003F421B" w:rsidRPr="00375E66" w:rsidRDefault="003F421B" w:rsidP="00912CFA">
      <w:pPr>
        <w:ind w:left="709"/>
        <w:jc w:val="right"/>
        <w:rPr>
          <w:rStyle w:val="IntenseEmphasis"/>
          <w:rFonts w:asciiTheme="minorHAnsi" w:hAnsiTheme="minorHAnsi" w:cstheme="minorHAnsi"/>
          <w:color w:val="7030A0"/>
          <w:sz w:val="22"/>
        </w:rPr>
      </w:pPr>
      <w:r w:rsidRPr="00375E66">
        <w:rPr>
          <w:rStyle w:val="IntenseEmphasis"/>
          <w:rFonts w:asciiTheme="minorHAnsi" w:hAnsiTheme="minorHAnsi" w:cstheme="minorHAnsi"/>
          <w:color w:val="7030A0"/>
          <w:sz w:val="22"/>
        </w:rPr>
        <w:t>“Where possible, specialist crisis services responding to victims/survivors of violence against women should be run by independent and experienced women’s nongovernmental organizations providing gender-specific, empowering and comprehensive support to women survivors of violence, based on feminist principles.”</w:t>
      </w:r>
    </w:p>
    <w:p w14:paraId="66EFDDEE" w14:textId="6AC300BE" w:rsidR="003F421B" w:rsidRPr="00375E66" w:rsidRDefault="003F421B" w:rsidP="00912CFA">
      <w:pPr>
        <w:pStyle w:val="ListParagraph"/>
        <w:ind w:left="709"/>
        <w:jc w:val="right"/>
        <w:rPr>
          <w:rStyle w:val="IntenseEmphasis"/>
          <w:rFonts w:asciiTheme="minorHAnsi" w:hAnsiTheme="minorHAnsi" w:cstheme="minorHAnsi"/>
          <w:color w:val="7030A0"/>
          <w:sz w:val="22"/>
        </w:rPr>
      </w:pPr>
      <w:r w:rsidRPr="00375E66">
        <w:rPr>
          <w:rStyle w:val="IntenseEmphasis"/>
          <w:rFonts w:asciiTheme="minorHAnsi" w:hAnsiTheme="minorHAnsi" w:cstheme="minorHAnsi"/>
          <w:color w:val="7030A0"/>
          <w:sz w:val="22"/>
        </w:rPr>
        <w:t>UN Women (2012) Handbook for National Action Plans on Violence against Women</w:t>
      </w:r>
    </w:p>
    <w:p w14:paraId="50060BC0" w14:textId="77777777" w:rsidR="00BD6C84" w:rsidRDefault="00BD6C84" w:rsidP="008F6EBB">
      <w:pPr>
        <w:jc w:val="both"/>
        <w:rPr>
          <w:rFonts w:asciiTheme="majorHAnsi" w:hAnsiTheme="majorHAnsi" w:cs="Arial"/>
          <w:noProof/>
          <w:sz w:val="22"/>
          <w:szCs w:val="22"/>
        </w:rPr>
      </w:pPr>
    </w:p>
    <w:p w14:paraId="46190D54" w14:textId="736DC6AD" w:rsidR="002727E7" w:rsidRDefault="00A20A20" w:rsidP="008F6EBB">
      <w:pPr>
        <w:jc w:val="both"/>
        <w:rPr>
          <w:rFonts w:asciiTheme="majorHAnsi" w:hAnsiTheme="majorHAnsi" w:cs="Arial"/>
          <w:noProof/>
          <w:sz w:val="22"/>
          <w:szCs w:val="22"/>
        </w:rPr>
      </w:pPr>
      <w:r>
        <w:rPr>
          <w:rFonts w:asciiTheme="majorHAnsi" w:hAnsiTheme="majorHAnsi" w:cs="Arial"/>
          <w:noProof/>
          <w:sz w:val="22"/>
          <w:szCs w:val="22"/>
        </w:rPr>
        <w:t>With a var</w:t>
      </w:r>
      <w:r w:rsidR="00414051">
        <w:rPr>
          <w:rFonts w:asciiTheme="majorHAnsi" w:hAnsiTheme="majorHAnsi" w:cs="Arial"/>
          <w:noProof/>
          <w:sz w:val="22"/>
          <w:szCs w:val="22"/>
        </w:rPr>
        <w:t>ie</w:t>
      </w:r>
      <w:r>
        <w:rPr>
          <w:rFonts w:asciiTheme="majorHAnsi" w:hAnsiTheme="majorHAnsi" w:cs="Arial"/>
          <w:noProof/>
          <w:sz w:val="22"/>
          <w:szCs w:val="22"/>
        </w:rPr>
        <w:t>ty of</w:t>
      </w:r>
      <w:r w:rsidR="00BD6C84">
        <w:rPr>
          <w:rFonts w:asciiTheme="majorHAnsi" w:hAnsiTheme="majorHAnsi" w:cs="Arial"/>
          <w:noProof/>
          <w:sz w:val="22"/>
          <w:szCs w:val="22"/>
        </w:rPr>
        <w:t xml:space="preserve"> </w:t>
      </w:r>
      <w:r w:rsidR="008F6EBB">
        <w:rPr>
          <w:rFonts w:asciiTheme="majorHAnsi" w:hAnsiTheme="majorHAnsi" w:cs="Arial"/>
          <w:noProof/>
          <w:sz w:val="22"/>
          <w:szCs w:val="22"/>
        </w:rPr>
        <w:t>different organisations</w:t>
      </w:r>
      <w:r>
        <w:rPr>
          <w:rFonts w:asciiTheme="majorHAnsi" w:hAnsiTheme="majorHAnsi" w:cs="Arial"/>
          <w:noProof/>
          <w:sz w:val="22"/>
          <w:szCs w:val="22"/>
        </w:rPr>
        <w:t xml:space="preserve"> in Australia</w:t>
      </w:r>
      <w:r w:rsidR="008F6EBB">
        <w:rPr>
          <w:rFonts w:asciiTheme="majorHAnsi" w:hAnsiTheme="majorHAnsi" w:cs="Arial"/>
          <w:noProof/>
          <w:sz w:val="22"/>
          <w:szCs w:val="22"/>
        </w:rPr>
        <w:t xml:space="preserve"> providing services to </w:t>
      </w:r>
      <w:r w:rsidR="00D263FE">
        <w:rPr>
          <w:rFonts w:asciiTheme="majorHAnsi" w:hAnsiTheme="majorHAnsi" w:cs="Arial"/>
          <w:noProof/>
          <w:sz w:val="22"/>
          <w:szCs w:val="22"/>
        </w:rPr>
        <w:t>survivors / victims of</w:t>
      </w:r>
      <w:r w:rsidR="008F6EBB">
        <w:rPr>
          <w:rFonts w:asciiTheme="majorHAnsi" w:hAnsiTheme="majorHAnsi" w:cs="Arial"/>
          <w:noProof/>
          <w:sz w:val="22"/>
          <w:szCs w:val="22"/>
        </w:rPr>
        <w:t xml:space="preserve"> violence, it is important to recognise the proven efficacy of </w:t>
      </w:r>
      <w:r w:rsidR="00414051">
        <w:rPr>
          <w:rFonts w:asciiTheme="majorHAnsi" w:hAnsiTheme="majorHAnsi" w:cs="Arial"/>
          <w:noProof/>
          <w:sz w:val="22"/>
          <w:szCs w:val="22"/>
        </w:rPr>
        <w:t xml:space="preserve">the </w:t>
      </w:r>
      <w:r w:rsidR="008F6EBB">
        <w:rPr>
          <w:rFonts w:asciiTheme="majorHAnsi" w:hAnsiTheme="majorHAnsi" w:cs="Arial"/>
          <w:noProof/>
          <w:sz w:val="22"/>
          <w:szCs w:val="22"/>
        </w:rPr>
        <w:t>established specialist women’</w:t>
      </w:r>
      <w:r w:rsidR="00D263FE">
        <w:rPr>
          <w:rFonts w:asciiTheme="majorHAnsi" w:hAnsiTheme="majorHAnsi" w:cs="Arial"/>
          <w:noProof/>
          <w:sz w:val="22"/>
          <w:szCs w:val="22"/>
        </w:rPr>
        <w:t>s services</w:t>
      </w:r>
      <w:r w:rsidR="00152107">
        <w:rPr>
          <w:rFonts w:asciiTheme="majorHAnsi" w:hAnsiTheme="majorHAnsi" w:cs="Arial"/>
          <w:noProof/>
          <w:sz w:val="22"/>
          <w:szCs w:val="22"/>
        </w:rPr>
        <w:t xml:space="preserve"> </w:t>
      </w:r>
      <w:r>
        <w:rPr>
          <w:rFonts w:asciiTheme="majorHAnsi" w:hAnsiTheme="majorHAnsi" w:cs="Arial"/>
          <w:noProof/>
          <w:sz w:val="22"/>
          <w:szCs w:val="22"/>
        </w:rPr>
        <w:t>sector</w:t>
      </w:r>
      <w:r w:rsidR="00414051">
        <w:rPr>
          <w:rFonts w:asciiTheme="majorHAnsi" w:hAnsiTheme="majorHAnsi" w:cs="Arial"/>
          <w:noProof/>
          <w:sz w:val="22"/>
          <w:szCs w:val="22"/>
        </w:rPr>
        <w:t>. These services are</w:t>
      </w:r>
      <w:r>
        <w:rPr>
          <w:rFonts w:asciiTheme="majorHAnsi" w:hAnsiTheme="majorHAnsi" w:cs="Arial"/>
          <w:noProof/>
          <w:sz w:val="22"/>
          <w:szCs w:val="22"/>
        </w:rPr>
        <w:t xml:space="preserve"> </w:t>
      </w:r>
      <w:r w:rsidR="00D263FE">
        <w:rPr>
          <w:rFonts w:asciiTheme="majorHAnsi" w:hAnsiTheme="majorHAnsi" w:cs="Arial"/>
          <w:noProof/>
          <w:sz w:val="22"/>
          <w:szCs w:val="22"/>
        </w:rPr>
        <w:t>at the forefront of ending violence against women.</w:t>
      </w:r>
      <w:r w:rsidR="00B36797" w:rsidRPr="00A0433A">
        <w:rPr>
          <w:color w:val="FF0000"/>
        </w:rPr>
        <w:t xml:space="preserve"> </w:t>
      </w:r>
      <w:r w:rsidR="008F6EBB">
        <w:rPr>
          <w:rFonts w:asciiTheme="majorHAnsi" w:hAnsiTheme="majorHAnsi" w:cs="Arial"/>
          <w:noProof/>
          <w:sz w:val="22"/>
          <w:szCs w:val="22"/>
        </w:rPr>
        <w:t>T</w:t>
      </w:r>
      <w:r w:rsidR="00EC29DE">
        <w:rPr>
          <w:rFonts w:asciiTheme="majorHAnsi" w:hAnsiTheme="majorHAnsi" w:cs="Arial"/>
          <w:noProof/>
          <w:sz w:val="22"/>
          <w:szCs w:val="22"/>
        </w:rPr>
        <w:t xml:space="preserve">he impact and effectiveness of </w:t>
      </w:r>
      <w:r w:rsidR="00D263FE">
        <w:rPr>
          <w:rFonts w:asciiTheme="majorHAnsi" w:hAnsiTheme="majorHAnsi" w:cs="Arial"/>
          <w:noProof/>
          <w:sz w:val="22"/>
          <w:szCs w:val="22"/>
        </w:rPr>
        <w:t>these specialist services</w:t>
      </w:r>
      <w:r w:rsidR="00E724DA" w:rsidRPr="00D77950">
        <w:rPr>
          <w:rFonts w:asciiTheme="majorHAnsi" w:hAnsiTheme="majorHAnsi" w:cs="Arial"/>
          <w:noProof/>
          <w:sz w:val="22"/>
          <w:szCs w:val="22"/>
        </w:rPr>
        <w:t xml:space="preserve"> </w:t>
      </w:r>
      <w:r w:rsidR="00EC29DE">
        <w:rPr>
          <w:rFonts w:asciiTheme="majorHAnsi" w:hAnsiTheme="majorHAnsi" w:cs="Arial"/>
          <w:noProof/>
          <w:sz w:val="22"/>
          <w:szCs w:val="22"/>
        </w:rPr>
        <w:t xml:space="preserve">is underpinned by </w:t>
      </w:r>
      <w:r w:rsidR="00E724DA" w:rsidRPr="00D77950">
        <w:rPr>
          <w:rFonts w:asciiTheme="majorHAnsi" w:hAnsiTheme="majorHAnsi" w:cs="Arial"/>
          <w:noProof/>
          <w:sz w:val="22"/>
          <w:szCs w:val="22"/>
        </w:rPr>
        <w:t xml:space="preserve">a set of </w:t>
      </w:r>
      <w:r w:rsidR="00414051">
        <w:rPr>
          <w:rFonts w:asciiTheme="majorHAnsi" w:hAnsiTheme="majorHAnsi" w:cs="Arial"/>
          <w:noProof/>
          <w:sz w:val="22"/>
          <w:szCs w:val="22"/>
        </w:rPr>
        <w:t xml:space="preserve"> good </w:t>
      </w:r>
      <w:r w:rsidR="00E724DA" w:rsidRPr="00D77950">
        <w:rPr>
          <w:rFonts w:asciiTheme="majorHAnsi" w:hAnsiTheme="majorHAnsi" w:cs="Arial"/>
          <w:noProof/>
          <w:sz w:val="22"/>
          <w:szCs w:val="22"/>
        </w:rPr>
        <w:t>practice</w:t>
      </w:r>
      <w:r w:rsidR="00E724DA" w:rsidRPr="00F40F0B">
        <w:rPr>
          <w:rFonts w:asciiTheme="majorHAnsi" w:hAnsiTheme="majorHAnsi" w:cs="Arial"/>
          <w:noProof/>
          <w:sz w:val="22"/>
          <w:szCs w:val="22"/>
        </w:rPr>
        <w:t xml:space="preserve"> </w:t>
      </w:r>
      <w:r w:rsidR="00414051">
        <w:rPr>
          <w:rFonts w:asciiTheme="majorHAnsi" w:hAnsiTheme="majorHAnsi" w:cs="Arial"/>
          <w:noProof/>
          <w:sz w:val="22"/>
          <w:szCs w:val="22"/>
        </w:rPr>
        <w:t xml:space="preserve">principles </w:t>
      </w:r>
      <w:r w:rsidR="00F048DA">
        <w:rPr>
          <w:rFonts w:asciiTheme="majorHAnsi" w:hAnsiTheme="majorHAnsi" w:cs="Arial"/>
          <w:noProof/>
          <w:sz w:val="22"/>
          <w:szCs w:val="22"/>
        </w:rPr>
        <w:t xml:space="preserve">that </w:t>
      </w:r>
      <w:r w:rsidR="00912CFA">
        <w:rPr>
          <w:rFonts w:asciiTheme="majorHAnsi" w:hAnsiTheme="majorHAnsi" w:cs="Arial"/>
          <w:noProof/>
          <w:sz w:val="22"/>
          <w:szCs w:val="22"/>
        </w:rPr>
        <w:t>are</w:t>
      </w:r>
      <w:r w:rsidR="00BA6EA2">
        <w:rPr>
          <w:rFonts w:asciiTheme="majorHAnsi" w:hAnsiTheme="majorHAnsi" w:cs="Arial"/>
          <w:noProof/>
          <w:sz w:val="22"/>
          <w:szCs w:val="22"/>
        </w:rPr>
        <w:t xml:space="preserve"> </w:t>
      </w:r>
      <w:r w:rsidR="00414051">
        <w:rPr>
          <w:rFonts w:asciiTheme="majorHAnsi" w:hAnsiTheme="majorHAnsi" w:cs="Arial"/>
          <w:noProof/>
          <w:sz w:val="22"/>
          <w:szCs w:val="22"/>
        </w:rPr>
        <w:t xml:space="preserve">supported </w:t>
      </w:r>
      <w:r w:rsidR="00AE2221">
        <w:rPr>
          <w:rFonts w:asciiTheme="majorHAnsi" w:hAnsiTheme="majorHAnsi" w:cs="Arial"/>
          <w:noProof/>
          <w:sz w:val="22"/>
          <w:szCs w:val="22"/>
        </w:rPr>
        <w:t>by internationa</w:t>
      </w:r>
      <w:r w:rsidR="00F048DA">
        <w:rPr>
          <w:rFonts w:asciiTheme="majorHAnsi" w:hAnsiTheme="majorHAnsi" w:cs="Arial"/>
          <w:noProof/>
          <w:sz w:val="22"/>
          <w:szCs w:val="22"/>
        </w:rPr>
        <w:t>l</w:t>
      </w:r>
      <w:r w:rsidR="00AE2221">
        <w:rPr>
          <w:rFonts w:asciiTheme="majorHAnsi" w:hAnsiTheme="majorHAnsi" w:cs="Arial"/>
          <w:noProof/>
          <w:sz w:val="22"/>
          <w:szCs w:val="22"/>
        </w:rPr>
        <w:t xml:space="preserve"> research and evidence</w:t>
      </w:r>
      <w:r w:rsidR="00912CFA">
        <w:rPr>
          <w:rFonts w:asciiTheme="majorHAnsi" w:hAnsiTheme="majorHAnsi" w:cs="Arial"/>
          <w:noProof/>
          <w:sz w:val="22"/>
          <w:szCs w:val="22"/>
        </w:rPr>
        <w:t>-based practice</w:t>
      </w:r>
      <w:r w:rsidR="00EA5DF1">
        <w:rPr>
          <w:rStyle w:val="FootnoteReference"/>
          <w:rFonts w:asciiTheme="majorHAnsi" w:hAnsiTheme="majorHAnsi" w:cs="Arial"/>
          <w:noProof/>
          <w:sz w:val="22"/>
          <w:szCs w:val="22"/>
        </w:rPr>
        <w:footnoteReference w:id="1"/>
      </w:r>
      <w:r w:rsidR="00E724DA" w:rsidRPr="00723301">
        <w:rPr>
          <w:rFonts w:asciiTheme="majorHAnsi" w:hAnsiTheme="majorHAnsi" w:cs="Arial"/>
          <w:noProof/>
          <w:sz w:val="22"/>
          <w:szCs w:val="22"/>
        </w:rPr>
        <w:t>.</w:t>
      </w:r>
      <w:r w:rsidR="003F7A81">
        <w:rPr>
          <w:rFonts w:asciiTheme="majorHAnsi" w:hAnsiTheme="majorHAnsi" w:cs="Arial"/>
          <w:noProof/>
          <w:sz w:val="22"/>
          <w:szCs w:val="22"/>
        </w:rPr>
        <w:t xml:space="preserve"> </w:t>
      </w:r>
    </w:p>
    <w:p w14:paraId="11E6FB86" w14:textId="0D81A950" w:rsidR="002727E7" w:rsidRDefault="001377E6" w:rsidP="008F6EBB">
      <w:pPr>
        <w:jc w:val="both"/>
        <w:rPr>
          <w:rFonts w:asciiTheme="majorHAnsi" w:hAnsiTheme="majorHAnsi" w:cs="Arial"/>
          <w:noProof/>
          <w:sz w:val="22"/>
          <w:szCs w:val="22"/>
        </w:rPr>
      </w:pPr>
      <w:r>
        <w:rPr>
          <w:rFonts w:asciiTheme="majorHAnsi" w:hAnsiTheme="majorHAnsi" w:cs="Arial"/>
          <w:noProof/>
          <w:sz w:val="22"/>
          <w:szCs w:val="22"/>
        </w:rPr>
        <w:t xml:space="preserve"> </w:t>
      </w:r>
    </w:p>
    <w:p w14:paraId="4CD19E11" w14:textId="556BC001" w:rsidR="00912CFA" w:rsidRDefault="00AD6883" w:rsidP="00912CFA">
      <w:pPr>
        <w:jc w:val="both"/>
        <w:rPr>
          <w:rFonts w:asciiTheme="majorHAnsi" w:hAnsiTheme="majorHAnsi" w:cs="Arial"/>
          <w:noProof/>
          <w:sz w:val="22"/>
          <w:szCs w:val="22"/>
        </w:rPr>
      </w:pPr>
      <w:r>
        <w:rPr>
          <w:rFonts w:asciiTheme="majorHAnsi" w:hAnsiTheme="majorHAnsi" w:cs="Arial"/>
          <w:noProof/>
          <w:sz w:val="22"/>
          <w:szCs w:val="22"/>
        </w:rPr>
        <w:t xml:space="preserve">This model of </w:t>
      </w:r>
      <w:r w:rsidR="00E724DA" w:rsidRPr="003662BE">
        <w:rPr>
          <w:rFonts w:asciiTheme="majorHAnsi" w:hAnsiTheme="majorHAnsi" w:cs="Arial"/>
          <w:noProof/>
          <w:sz w:val="22"/>
          <w:szCs w:val="22"/>
        </w:rPr>
        <w:t xml:space="preserve">practice </w:t>
      </w:r>
      <w:r w:rsidR="00E724DA" w:rsidRPr="00A0433A">
        <w:rPr>
          <w:rFonts w:asciiTheme="majorHAnsi" w:hAnsiTheme="majorHAnsi" w:cs="Arial"/>
          <w:noProof/>
          <w:sz w:val="22"/>
          <w:szCs w:val="22"/>
        </w:rPr>
        <w:t>has been</w:t>
      </w:r>
      <w:r w:rsidR="00E724DA">
        <w:rPr>
          <w:rFonts w:asciiTheme="majorHAnsi" w:hAnsiTheme="majorHAnsi" w:cs="Arial"/>
          <w:noProof/>
          <w:sz w:val="22"/>
          <w:szCs w:val="22"/>
        </w:rPr>
        <w:t xml:space="preserve"> </w:t>
      </w:r>
      <w:r>
        <w:rPr>
          <w:rFonts w:asciiTheme="majorHAnsi" w:hAnsiTheme="majorHAnsi" w:cs="Arial"/>
          <w:noProof/>
          <w:sz w:val="22"/>
          <w:szCs w:val="22"/>
        </w:rPr>
        <w:t>buil</w:t>
      </w:r>
      <w:r w:rsidR="003662BE">
        <w:rPr>
          <w:rFonts w:asciiTheme="majorHAnsi" w:hAnsiTheme="majorHAnsi" w:cs="Arial"/>
          <w:noProof/>
          <w:sz w:val="22"/>
          <w:szCs w:val="22"/>
        </w:rPr>
        <w:t>t</w:t>
      </w:r>
      <w:r>
        <w:rPr>
          <w:rFonts w:asciiTheme="majorHAnsi" w:hAnsiTheme="majorHAnsi" w:cs="Arial"/>
          <w:noProof/>
          <w:sz w:val="22"/>
          <w:szCs w:val="22"/>
        </w:rPr>
        <w:t xml:space="preserve"> on </w:t>
      </w:r>
      <w:r w:rsidR="00E724DA">
        <w:rPr>
          <w:rFonts w:asciiTheme="majorHAnsi" w:hAnsiTheme="majorHAnsi" w:cs="Arial"/>
          <w:noProof/>
          <w:sz w:val="22"/>
          <w:szCs w:val="22"/>
        </w:rPr>
        <w:t xml:space="preserve">feminist and social justice approaches </w:t>
      </w:r>
      <w:r w:rsidR="003F7A81">
        <w:rPr>
          <w:rFonts w:asciiTheme="majorHAnsi" w:hAnsiTheme="majorHAnsi" w:cs="Arial"/>
          <w:noProof/>
          <w:sz w:val="22"/>
          <w:szCs w:val="22"/>
        </w:rPr>
        <w:t xml:space="preserve">to </w:t>
      </w:r>
      <w:r w:rsidR="00E724DA">
        <w:rPr>
          <w:rFonts w:asciiTheme="majorHAnsi" w:hAnsiTheme="majorHAnsi" w:cs="Arial"/>
          <w:noProof/>
          <w:sz w:val="22"/>
          <w:szCs w:val="22"/>
        </w:rPr>
        <w:t>responding to violenc</w:t>
      </w:r>
      <w:r w:rsidR="00BC2FE1">
        <w:rPr>
          <w:rFonts w:asciiTheme="majorHAnsi" w:hAnsiTheme="majorHAnsi" w:cs="Arial"/>
          <w:noProof/>
          <w:sz w:val="22"/>
          <w:szCs w:val="22"/>
        </w:rPr>
        <w:t>e against women</w:t>
      </w:r>
      <w:r w:rsidR="00BD6C84">
        <w:rPr>
          <w:rFonts w:asciiTheme="majorHAnsi" w:hAnsiTheme="majorHAnsi" w:cs="Arial"/>
          <w:noProof/>
          <w:sz w:val="22"/>
          <w:szCs w:val="22"/>
        </w:rPr>
        <w:t xml:space="preserve"> and is</w:t>
      </w:r>
      <w:r w:rsidR="00BC2FE1">
        <w:rPr>
          <w:rFonts w:asciiTheme="majorHAnsi" w:hAnsiTheme="majorHAnsi" w:cs="Arial"/>
          <w:noProof/>
          <w:sz w:val="22"/>
          <w:szCs w:val="22"/>
        </w:rPr>
        <w:t xml:space="preserve"> </w:t>
      </w:r>
      <w:r w:rsidR="00D77950">
        <w:rPr>
          <w:rFonts w:asciiTheme="majorHAnsi" w:hAnsiTheme="majorHAnsi" w:cs="Arial"/>
          <w:noProof/>
          <w:sz w:val="22"/>
          <w:szCs w:val="22"/>
        </w:rPr>
        <w:t>informed</w:t>
      </w:r>
      <w:r w:rsidR="00BC2FE1">
        <w:rPr>
          <w:rFonts w:asciiTheme="majorHAnsi" w:hAnsiTheme="majorHAnsi" w:cs="Arial"/>
          <w:noProof/>
          <w:sz w:val="22"/>
          <w:szCs w:val="22"/>
        </w:rPr>
        <w:t xml:space="preserve"> by the gendered understanding of </w:t>
      </w:r>
      <w:r w:rsidR="00723301">
        <w:rPr>
          <w:rFonts w:asciiTheme="majorHAnsi" w:hAnsiTheme="majorHAnsi" w:cs="Arial"/>
          <w:noProof/>
          <w:sz w:val="22"/>
          <w:szCs w:val="22"/>
        </w:rPr>
        <w:t xml:space="preserve">causes of </w:t>
      </w:r>
      <w:r w:rsidR="00BC2FE1">
        <w:rPr>
          <w:rFonts w:asciiTheme="majorHAnsi" w:hAnsiTheme="majorHAnsi" w:cs="Arial"/>
          <w:noProof/>
          <w:sz w:val="22"/>
          <w:szCs w:val="22"/>
        </w:rPr>
        <w:t xml:space="preserve">violence. </w:t>
      </w:r>
      <w:r w:rsidR="00912CFA">
        <w:rPr>
          <w:rFonts w:asciiTheme="majorHAnsi" w:hAnsiTheme="majorHAnsi"/>
          <w:noProof/>
          <w:sz w:val="22"/>
          <w:szCs w:val="22"/>
        </w:rPr>
        <w:t xml:space="preserve">The use of </w:t>
      </w:r>
      <w:r>
        <w:rPr>
          <w:rFonts w:asciiTheme="majorHAnsi" w:hAnsiTheme="majorHAnsi"/>
          <w:noProof/>
          <w:sz w:val="22"/>
          <w:szCs w:val="22"/>
        </w:rPr>
        <w:t xml:space="preserve">a </w:t>
      </w:r>
      <w:r w:rsidR="00912CFA">
        <w:rPr>
          <w:rFonts w:asciiTheme="majorHAnsi" w:hAnsiTheme="majorHAnsi"/>
          <w:noProof/>
          <w:sz w:val="22"/>
          <w:szCs w:val="22"/>
        </w:rPr>
        <w:t>feminist approach ensures that violence against women</w:t>
      </w:r>
      <w:r>
        <w:rPr>
          <w:rFonts w:asciiTheme="majorHAnsi" w:hAnsiTheme="majorHAnsi"/>
          <w:noProof/>
          <w:sz w:val="22"/>
          <w:szCs w:val="22"/>
        </w:rPr>
        <w:t>,</w:t>
      </w:r>
      <w:r w:rsidR="00912CFA">
        <w:rPr>
          <w:rFonts w:asciiTheme="majorHAnsi" w:hAnsiTheme="majorHAnsi"/>
          <w:noProof/>
          <w:sz w:val="22"/>
          <w:szCs w:val="22"/>
        </w:rPr>
        <w:t xml:space="preserve"> including sexual violence</w:t>
      </w:r>
      <w:r>
        <w:rPr>
          <w:rFonts w:asciiTheme="majorHAnsi" w:hAnsiTheme="majorHAnsi"/>
          <w:noProof/>
          <w:sz w:val="22"/>
          <w:szCs w:val="22"/>
        </w:rPr>
        <w:t>,</w:t>
      </w:r>
      <w:r w:rsidR="00912CFA">
        <w:rPr>
          <w:rFonts w:asciiTheme="majorHAnsi" w:hAnsiTheme="majorHAnsi"/>
          <w:noProof/>
          <w:sz w:val="22"/>
          <w:szCs w:val="22"/>
        </w:rPr>
        <w:t xml:space="preserve"> is understood </w:t>
      </w:r>
      <w:r>
        <w:rPr>
          <w:rFonts w:asciiTheme="majorHAnsi" w:hAnsiTheme="majorHAnsi"/>
          <w:noProof/>
          <w:sz w:val="22"/>
          <w:szCs w:val="22"/>
        </w:rPr>
        <w:t xml:space="preserve">in terms of </w:t>
      </w:r>
      <w:r w:rsidR="00912CFA">
        <w:rPr>
          <w:rFonts w:asciiTheme="majorHAnsi" w:hAnsiTheme="majorHAnsi"/>
          <w:noProof/>
          <w:sz w:val="22"/>
          <w:szCs w:val="22"/>
        </w:rPr>
        <w:t xml:space="preserve">power dynamics and social </w:t>
      </w:r>
      <w:r>
        <w:rPr>
          <w:rFonts w:asciiTheme="majorHAnsi" w:hAnsiTheme="majorHAnsi"/>
          <w:noProof/>
          <w:sz w:val="22"/>
          <w:szCs w:val="22"/>
        </w:rPr>
        <w:t xml:space="preserve">structures, rather than </w:t>
      </w:r>
      <w:r w:rsidR="000A08CB">
        <w:rPr>
          <w:rFonts w:asciiTheme="majorHAnsi" w:hAnsiTheme="majorHAnsi"/>
          <w:noProof/>
          <w:sz w:val="22"/>
          <w:szCs w:val="22"/>
        </w:rPr>
        <w:t xml:space="preserve">treated </w:t>
      </w:r>
      <w:r>
        <w:rPr>
          <w:rFonts w:asciiTheme="majorHAnsi" w:hAnsiTheme="majorHAnsi"/>
          <w:noProof/>
          <w:sz w:val="22"/>
          <w:szCs w:val="22"/>
        </w:rPr>
        <w:t xml:space="preserve">as </w:t>
      </w:r>
      <w:r w:rsidR="000A08CB">
        <w:rPr>
          <w:rFonts w:asciiTheme="majorHAnsi" w:hAnsiTheme="majorHAnsi"/>
          <w:noProof/>
          <w:sz w:val="22"/>
          <w:szCs w:val="22"/>
        </w:rPr>
        <w:t xml:space="preserve">purely </w:t>
      </w:r>
      <w:r>
        <w:rPr>
          <w:rFonts w:asciiTheme="majorHAnsi" w:hAnsiTheme="majorHAnsi"/>
          <w:noProof/>
          <w:sz w:val="22"/>
          <w:szCs w:val="22"/>
        </w:rPr>
        <w:t>individual experiences</w:t>
      </w:r>
      <w:r w:rsidR="00912CFA">
        <w:rPr>
          <w:rFonts w:asciiTheme="majorHAnsi" w:hAnsiTheme="majorHAnsi"/>
          <w:noProof/>
          <w:sz w:val="22"/>
          <w:szCs w:val="22"/>
        </w:rPr>
        <w:t xml:space="preserve">. </w:t>
      </w:r>
      <w:r w:rsidR="00912CFA" w:rsidRPr="001C089D">
        <w:rPr>
          <w:rFonts w:asciiTheme="majorHAnsi" w:hAnsiTheme="majorHAnsi" w:cs="Arial"/>
          <w:noProof/>
          <w:color w:val="000000" w:themeColor="text1"/>
          <w:sz w:val="22"/>
          <w:szCs w:val="22"/>
        </w:rPr>
        <w:t>A feminist framework locates violence against women and children as occurring within a</w:t>
      </w:r>
      <w:r w:rsidR="00152107" w:rsidRPr="001C089D">
        <w:rPr>
          <w:rFonts w:asciiTheme="majorHAnsi" w:hAnsiTheme="majorHAnsi" w:cs="Arial"/>
          <w:noProof/>
          <w:color w:val="000000" w:themeColor="text1"/>
          <w:sz w:val="22"/>
          <w:szCs w:val="22"/>
        </w:rPr>
        <w:t xml:space="preserve"> patriarchal</w:t>
      </w:r>
      <w:r w:rsidR="00912CFA" w:rsidRPr="001C089D">
        <w:rPr>
          <w:rFonts w:asciiTheme="majorHAnsi" w:hAnsiTheme="majorHAnsi" w:cs="Arial"/>
          <w:noProof/>
          <w:color w:val="000000" w:themeColor="text1"/>
          <w:sz w:val="22"/>
          <w:szCs w:val="22"/>
        </w:rPr>
        <w:t xml:space="preserve"> society where male dominance </w:t>
      </w:r>
      <w:r w:rsidR="00152107" w:rsidRPr="001C089D">
        <w:rPr>
          <w:rFonts w:asciiTheme="majorHAnsi" w:hAnsiTheme="majorHAnsi" w:cs="Arial"/>
          <w:noProof/>
          <w:color w:val="000000" w:themeColor="text1"/>
          <w:sz w:val="22"/>
          <w:szCs w:val="22"/>
        </w:rPr>
        <w:t>and privilege are</w:t>
      </w:r>
      <w:r w:rsidR="00912CFA" w:rsidRPr="001C089D">
        <w:rPr>
          <w:rFonts w:asciiTheme="majorHAnsi" w:hAnsiTheme="majorHAnsi" w:cs="Arial"/>
          <w:noProof/>
          <w:color w:val="000000" w:themeColor="text1"/>
          <w:sz w:val="22"/>
          <w:szCs w:val="22"/>
        </w:rPr>
        <w:t xml:space="preserve"> normalised</w:t>
      </w:r>
      <w:r w:rsidR="00152107" w:rsidRPr="001C089D">
        <w:rPr>
          <w:rFonts w:asciiTheme="majorHAnsi" w:hAnsiTheme="majorHAnsi" w:cs="Arial"/>
          <w:noProof/>
          <w:color w:val="000000" w:themeColor="text1"/>
          <w:sz w:val="22"/>
          <w:szCs w:val="22"/>
        </w:rPr>
        <w:t>.</w:t>
      </w:r>
    </w:p>
    <w:p w14:paraId="775CBFBF" w14:textId="77777777" w:rsidR="00912CFA" w:rsidRDefault="00912CFA" w:rsidP="008F6EBB">
      <w:pPr>
        <w:jc w:val="both"/>
        <w:rPr>
          <w:rFonts w:asciiTheme="majorHAnsi" w:hAnsiTheme="majorHAnsi" w:cs="Arial"/>
          <w:noProof/>
          <w:sz w:val="22"/>
          <w:szCs w:val="22"/>
        </w:rPr>
      </w:pPr>
    </w:p>
    <w:p w14:paraId="4144AE1F" w14:textId="08908741" w:rsidR="00912CFA" w:rsidRPr="008F6EBB" w:rsidRDefault="00912CFA" w:rsidP="00912CFA">
      <w:pPr>
        <w:jc w:val="both"/>
        <w:rPr>
          <w:rFonts w:asciiTheme="majorHAnsi" w:hAnsiTheme="majorHAnsi" w:cs="Arial"/>
          <w:noProof/>
          <w:sz w:val="22"/>
          <w:szCs w:val="22"/>
          <w:vertAlign w:val="superscript"/>
        </w:rPr>
      </w:pPr>
      <w:r>
        <w:rPr>
          <w:rFonts w:asciiTheme="majorHAnsi" w:hAnsiTheme="majorHAnsi" w:cs="Arial"/>
          <w:noProof/>
          <w:sz w:val="22"/>
          <w:szCs w:val="22"/>
        </w:rPr>
        <w:t>Being attentive to existing power imbalance, t</w:t>
      </w:r>
      <w:r w:rsidRPr="008F6EBB">
        <w:rPr>
          <w:rFonts w:asciiTheme="majorHAnsi" w:hAnsiTheme="majorHAnsi" w:cs="Arial"/>
          <w:noProof/>
          <w:sz w:val="22"/>
          <w:szCs w:val="22"/>
        </w:rPr>
        <w:t xml:space="preserve">hese services seek to restore power, dignity and strength to </w:t>
      </w:r>
      <w:r w:rsidRPr="001C089D">
        <w:rPr>
          <w:rFonts w:asciiTheme="majorHAnsi" w:hAnsiTheme="majorHAnsi" w:cs="Arial"/>
          <w:noProof/>
          <w:sz w:val="22"/>
          <w:szCs w:val="22"/>
        </w:rPr>
        <w:t>survivor</w:t>
      </w:r>
      <w:r w:rsidR="00AD6883" w:rsidRPr="001C089D">
        <w:rPr>
          <w:rFonts w:asciiTheme="majorHAnsi" w:hAnsiTheme="majorHAnsi" w:cs="Arial"/>
          <w:noProof/>
          <w:sz w:val="22"/>
          <w:szCs w:val="22"/>
        </w:rPr>
        <w:t>s</w:t>
      </w:r>
      <w:r w:rsidRPr="001C089D">
        <w:rPr>
          <w:rFonts w:asciiTheme="majorHAnsi" w:hAnsiTheme="majorHAnsi" w:cs="Arial"/>
          <w:noProof/>
          <w:sz w:val="22"/>
          <w:szCs w:val="22"/>
        </w:rPr>
        <w:t xml:space="preserve"> / victim</w:t>
      </w:r>
      <w:r w:rsidR="00AD6883" w:rsidRPr="001C089D">
        <w:rPr>
          <w:rFonts w:asciiTheme="majorHAnsi" w:hAnsiTheme="majorHAnsi" w:cs="Arial"/>
          <w:noProof/>
          <w:sz w:val="22"/>
          <w:szCs w:val="22"/>
        </w:rPr>
        <w:t>s</w:t>
      </w:r>
      <w:r w:rsidRPr="008F6EBB">
        <w:rPr>
          <w:rFonts w:asciiTheme="majorHAnsi" w:hAnsiTheme="majorHAnsi" w:cs="Arial"/>
          <w:noProof/>
          <w:sz w:val="22"/>
          <w:szCs w:val="22"/>
        </w:rPr>
        <w:t xml:space="preserve">, while advocating more broadly for social justice and equality, </w:t>
      </w:r>
      <w:r w:rsidR="000A08CB">
        <w:rPr>
          <w:rFonts w:asciiTheme="majorHAnsi" w:hAnsiTheme="majorHAnsi" w:cs="Arial"/>
          <w:noProof/>
          <w:sz w:val="22"/>
          <w:szCs w:val="22"/>
        </w:rPr>
        <w:t xml:space="preserve">in the recognition </w:t>
      </w:r>
      <w:r w:rsidRPr="008F6EBB">
        <w:rPr>
          <w:rFonts w:asciiTheme="majorHAnsi" w:hAnsiTheme="majorHAnsi" w:cs="Arial"/>
          <w:noProof/>
          <w:sz w:val="22"/>
          <w:szCs w:val="22"/>
        </w:rPr>
        <w:t>that</w:t>
      </w:r>
      <w:r>
        <w:rPr>
          <w:rFonts w:asciiTheme="majorHAnsi" w:hAnsiTheme="majorHAnsi" w:cs="Arial"/>
          <w:noProof/>
          <w:sz w:val="22"/>
          <w:szCs w:val="22"/>
        </w:rPr>
        <w:t xml:space="preserve"> </w:t>
      </w:r>
      <w:r w:rsidR="00AD6883">
        <w:rPr>
          <w:rFonts w:asciiTheme="majorHAnsi" w:hAnsiTheme="majorHAnsi" w:cs="Arial"/>
          <w:noProof/>
          <w:sz w:val="22"/>
          <w:szCs w:val="22"/>
        </w:rPr>
        <w:t xml:space="preserve">people of all genders </w:t>
      </w:r>
      <w:r w:rsidRPr="008F6EBB">
        <w:rPr>
          <w:rFonts w:asciiTheme="majorHAnsi" w:hAnsiTheme="majorHAnsi" w:cs="Arial"/>
          <w:noProof/>
          <w:sz w:val="22"/>
          <w:szCs w:val="22"/>
        </w:rPr>
        <w:t xml:space="preserve">experience detrimental consequences </w:t>
      </w:r>
      <w:r w:rsidR="000A08CB">
        <w:rPr>
          <w:rFonts w:asciiTheme="majorHAnsi" w:hAnsiTheme="majorHAnsi" w:cs="Arial"/>
          <w:noProof/>
          <w:sz w:val="22"/>
          <w:szCs w:val="22"/>
        </w:rPr>
        <w:t xml:space="preserve">of rigid </w:t>
      </w:r>
      <w:r w:rsidRPr="008F6EBB">
        <w:rPr>
          <w:rFonts w:asciiTheme="majorHAnsi" w:hAnsiTheme="majorHAnsi" w:cs="Arial"/>
          <w:noProof/>
          <w:sz w:val="22"/>
          <w:szCs w:val="22"/>
        </w:rPr>
        <w:t>gender expectations and the violent use of power</w:t>
      </w:r>
      <w:r w:rsidRPr="008F6EBB">
        <w:rPr>
          <w:rFonts w:asciiTheme="majorHAnsi" w:hAnsiTheme="majorHAnsi"/>
          <w:noProof/>
          <w:sz w:val="22"/>
          <w:szCs w:val="22"/>
          <w:vertAlign w:val="superscript"/>
        </w:rPr>
        <w:footnoteReference w:id="2"/>
      </w:r>
      <w:r>
        <w:rPr>
          <w:rFonts w:asciiTheme="majorHAnsi" w:hAnsiTheme="majorHAnsi" w:cs="Arial"/>
          <w:noProof/>
          <w:sz w:val="22"/>
          <w:szCs w:val="22"/>
        </w:rPr>
        <w:t xml:space="preserve">. </w:t>
      </w:r>
    </w:p>
    <w:p w14:paraId="41647D18" w14:textId="77777777" w:rsidR="00912CFA" w:rsidRDefault="00912CFA" w:rsidP="008F6EBB">
      <w:pPr>
        <w:jc w:val="both"/>
        <w:rPr>
          <w:rFonts w:asciiTheme="majorHAnsi" w:hAnsiTheme="majorHAnsi" w:cs="Arial"/>
          <w:noProof/>
          <w:sz w:val="22"/>
          <w:szCs w:val="22"/>
        </w:rPr>
      </w:pPr>
    </w:p>
    <w:p w14:paraId="7216B758" w14:textId="21B1B929" w:rsidR="00152107" w:rsidRDefault="00560C72" w:rsidP="00D77950">
      <w:pPr>
        <w:jc w:val="both"/>
        <w:rPr>
          <w:rFonts w:asciiTheme="majorHAnsi" w:hAnsiTheme="majorHAnsi" w:cs="Arial"/>
          <w:noProof/>
          <w:sz w:val="22"/>
          <w:szCs w:val="22"/>
        </w:rPr>
      </w:pPr>
      <w:r>
        <w:rPr>
          <w:rFonts w:asciiTheme="majorHAnsi" w:hAnsiTheme="majorHAnsi" w:cs="Arial"/>
          <w:noProof/>
          <w:sz w:val="22"/>
          <w:szCs w:val="22"/>
        </w:rPr>
        <w:t xml:space="preserve">Over the </w:t>
      </w:r>
      <w:r w:rsidR="00771AA8">
        <w:rPr>
          <w:rFonts w:asciiTheme="majorHAnsi" w:hAnsiTheme="majorHAnsi" w:cs="Arial"/>
          <w:noProof/>
          <w:sz w:val="22"/>
          <w:szCs w:val="22"/>
        </w:rPr>
        <w:t>last 40 years</w:t>
      </w:r>
      <w:r w:rsidR="00517880">
        <w:rPr>
          <w:rStyle w:val="FootnoteReference"/>
          <w:rFonts w:asciiTheme="majorHAnsi" w:hAnsiTheme="majorHAnsi" w:cs="Arial"/>
          <w:noProof/>
          <w:sz w:val="22"/>
          <w:szCs w:val="22"/>
        </w:rPr>
        <w:footnoteReference w:id="3"/>
      </w:r>
      <w:r w:rsidR="00771AA8">
        <w:rPr>
          <w:rFonts w:asciiTheme="majorHAnsi" w:hAnsiTheme="majorHAnsi" w:cs="Arial"/>
          <w:noProof/>
          <w:sz w:val="22"/>
          <w:szCs w:val="22"/>
        </w:rPr>
        <w:t>, s</w:t>
      </w:r>
      <w:r w:rsidR="00E724DA">
        <w:rPr>
          <w:rFonts w:asciiTheme="majorHAnsi" w:hAnsiTheme="majorHAnsi" w:cs="Arial"/>
          <w:noProof/>
          <w:sz w:val="22"/>
          <w:szCs w:val="22"/>
        </w:rPr>
        <w:t xml:space="preserve">pecialist </w:t>
      </w:r>
      <w:r w:rsidR="00EE45E8" w:rsidRPr="00EE45E8">
        <w:rPr>
          <w:rFonts w:asciiTheme="majorHAnsi" w:hAnsiTheme="majorHAnsi" w:cs="Arial"/>
          <w:noProof/>
          <w:sz w:val="22"/>
          <w:szCs w:val="22"/>
        </w:rPr>
        <w:t xml:space="preserve">women’s </w:t>
      </w:r>
      <w:r w:rsidR="00E724DA" w:rsidRPr="00EE45E8">
        <w:rPr>
          <w:rFonts w:asciiTheme="majorHAnsi" w:hAnsiTheme="majorHAnsi" w:cs="Arial"/>
          <w:noProof/>
          <w:sz w:val="22"/>
          <w:szCs w:val="22"/>
        </w:rPr>
        <w:t xml:space="preserve">services </w:t>
      </w:r>
      <w:r w:rsidR="00EE45E8" w:rsidRPr="00EE45E8">
        <w:rPr>
          <w:rFonts w:asciiTheme="majorHAnsi" w:hAnsiTheme="majorHAnsi" w:cs="Arial"/>
          <w:noProof/>
          <w:sz w:val="22"/>
          <w:szCs w:val="22"/>
        </w:rPr>
        <w:t xml:space="preserve">have been </w:t>
      </w:r>
      <w:r w:rsidR="00771AA8" w:rsidRPr="00A0433A">
        <w:rPr>
          <w:rFonts w:asciiTheme="majorHAnsi" w:hAnsiTheme="majorHAnsi" w:cs="Arial"/>
          <w:noProof/>
          <w:sz w:val="22"/>
          <w:szCs w:val="22"/>
        </w:rPr>
        <w:t>est</w:t>
      </w:r>
      <w:r w:rsidR="003662BE" w:rsidRPr="00A0433A">
        <w:rPr>
          <w:rFonts w:asciiTheme="majorHAnsi" w:hAnsiTheme="majorHAnsi" w:cs="Arial"/>
          <w:noProof/>
          <w:sz w:val="22"/>
          <w:szCs w:val="22"/>
        </w:rPr>
        <w:t>a</w:t>
      </w:r>
      <w:r w:rsidR="00771AA8" w:rsidRPr="00A0433A">
        <w:rPr>
          <w:rFonts w:asciiTheme="majorHAnsi" w:hAnsiTheme="majorHAnsi" w:cs="Arial"/>
          <w:noProof/>
          <w:sz w:val="22"/>
          <w:szCs w:val="22"/>
        </w:rPr>
        <w:t>blis</w:t>
      </w:r>
      <w:r w:rsidR="003662BE" w:rsidRPr="00A0433A">
        <w:rPr>
          <w:rFonts w:asciiTheme="majorHAnsi" w:hAnsiTheme="majorHAnsi" w:cs="Arial"/>
          <w:noProof/>
          <w:sz w:val="22"/>
          <w:szCs w:val="22"/>
        </w:rPr>
        <w:t>h</w:t>
      </w:r>
      <w:r w:rsidR="00771AA8" w:rsidRPr="00A0433A">
        <w:rPr>
          <w:rFonts w:asciiTheme="majorHAnsi" w:hAnsiTheme="majorHAnsi" w:cs="Arial"/>
          <w:noProof/>
          <w:sz w:val="22"/>
          <w:szCs w:val="22"/>
        </w:rPr>
        <w:t>ed</w:t>
      </w:r>
      <w:r w:rsidR="00771AA8" w:rsidRPr="00EE45E8">
        <w:rPr>
          <w:rFonts w:asciiTheme="majorHAnsi" w:hAnsiTheme="majorHAnsi" w:cs="Arial"/>
          <w:noProof/>
          <w:sz w:val="22"/>
          <w:szCs w:val="22"/>
        </w:rPr>
        <w:t xml:space="preserve"> in response to the need </w:t>
      </w:r>
      <w:r w:rsidR="00EE45E8" w:rsidRPr="00EE45E8">
        <w:rPr>
          <w:rFonts w:asciiTheme="majorHAnsi" w:hAnsiTheme="majorHAnsi" w:cs="Arial"/>
          <w:noProof/>
          <w:sz w:val="22"/>
          <w:szCs w:val="22"/>
        </w:rPr>
        <w:t>for comprehensive</w:t>
      </w:r>
      <w:r w:rsidR="00771AA8" w:rsidRPr="00EE45E8">
        <w:rPr>
          <w:rFonts w:asciiTheme="majorHAnsi" w:hAnsiTheme="majorHAnsi" w:cs="Arial"/>
          <w:noProof/>
          <w:sz w:val="22"/>
          <w:szCs w:val="22"/>
        </w:rPr>
        <w:t xml:space="preserve"> and trauma-informed support. </w:t>
      </w:r>
      <w:r w:rsidR="00EE45E8" w:rsidRPr="00EE45E8">
        <w:rPr>
          <w:rFonts w:asciiTheme="majorHAnsi" w:hAnsiTheme="majorHAnsi" w:cs="Arial"/>
          <w:noProof/>
          <w:sz w:val="22"/>
          <w:szCs w:val="22"/>
        </w:rPr>
        <w:t>G</w:t>
      </w:r>
      <w:r w:rsidR="002727E7" w:rsidRPr="00EE45E8">
        <w:rPr>
          <w:rFonts w:asciiTheme="majorHAnsi" w:hAnsiTheme="majorHAnsi" w:cs="Arial"/>
          <w:noProof/>
          <w:sz w:val="22"/>
          <w:szCs w:val="22"/>
        </w:rPr>
        <w:t>uided by women-centred models of practice</w:t>
      </w:r>
      <w:r w:rsidR="00771AA8" w:rsidRPr="00EE45E8">
        <w:rPr>
          <w:rFonts w:asciiTheme="majorHAnsi" w:hAnsiTheme="majorHAnsi" w:cs="Arial"/>
          <w:noProof/>
          <w:sz w:val="22"/>
          <w:szCs w:val="22"/>
        </w:rPr>
        <w:t>, these</w:t>
      </w:r>
      <w:r w:rsidR="002727E7" w:rsidRPr="00EE45E8">
        <w:rPr>
          <w:rFonts w:asciiTheme="majorHAnsi" w:hAnsiTheme="majorHAnsi" w:cs="Arial"/>
          <w:noProof/>
          <w:sz w:val="22"/>
          <w:szCs w:val="22"/>
        </w:rPr>
        <w:t xml:space="preserve"> services include</w:t>
      </w:r>
      <w:r w:rsidR="00EC29DE" w:rsidRPr="00EE45E8">
        <w:rPr>
          <w:rFonts w:asciiTheme="majorHAnsi" w:hAnsiTheme="majorHAnsi" w:cs="Arial"/>
          <w:noProof/>
          <w:sz w:val="22"/>
          <w:szCs w:val="22"/>
        </w:rPr>
        <w:t xml:space="preserve"> </w:t>
      </w:r>
      <w:r w:rsidR="00E724DA" w:rsidRPr="00EE45E8">
        <w:rPr>
          <w:rFonts w:asciiTheme="majorHAnsi" w:hAnsiTheme="majorHAnsi" w:cs="Arial"/>
          <w:noProof/>
          <w:sz w:val="22"/>
          <w:szCs w:val="22"/>
        </w:rPr>
        <w:t xml:space="preserve">organisations working to address domestic and family violence </w:t>
      </w:r>
      <w:r w:rsidR="00F048DA" w:rsidRPr="00EE45E8">
        <w:rPr>
          <w:rFonts w:asciiTheme="majorHAnsi" w:hAnsiTheme="majorHAnsi" w:cs="Arial"/>
          <w:noProof/>
          <w:sz w:val="22"/>
          <w:szCs w:val="22"/>
        </w:rPr>
        <w:t>(</w:t>
      </w:r>
      <w:r w:rsidR="00E724DA" w:rsidRPr="00EE45E8">
        <w:rPr>
          <w:rFonts w:asciiTheme="majorHAnsi" w:hAnsiTheme="majorHAnsi" w:cs="Arial"/>
          <w:noProof/>
          <w:sz w:val="22"/>
          <w:szCs w:val="22"/>
        </w:rPr>
        <w:t>including refuges and shelters</w:t>
      </w:r>
      <w:r w:rsidR="00F048DA">
        <w:rPr>
          <w:rFonts w:asciiTheme="majorHAnsi" w:hAnsiTheme="majorHAnsi" w:cs="Arial"/>
          <w:noProof/>
          <w:sz w:val="22"/>
          <w:szCs w:val="22"/>
        </w:rPr>
        <w:t>)</w:t>
      </w:r>
      <w:r w:rsidR="00E724DA">
        <w:rPr>
          <w:rFonts w:asciiTheme="majorHAnsi" w:hAnsiTheme="majorHAnsi" w:cs="Arial"/>
          <w:noProof/>
          <w:sz w:val="22"/>
          <w:szCs w:val="22"/>
        </w:rPr>
        <w:t xml:space="preserve">, sexual assault services and rape crisis centers </w:t>
      </w:r>
      <w:r w:rsidR="000A08CB">
        <w:rPr>
          <w:rFonts w:asciiTheme="majorHAnsi" w:hAnsiTheme="majorHAnsi" w:cs="Arial"/>
          <w:noProof/>
          <w:sz w:val="22"/>
          <w:szCs w:val="22"/>
        </w:rPr>
        <w:t xml:space="preserve">(which </w:t>
      </w:r>
      <w:r w:rsidR="00E724DA">
        <w:rPr>
          <w:rFonts w:asciiTheme="majorHAnsi" w:hAnsiTheme="majorHAnsi" w:cs="Arial"/>
          <w:noProof/>
          <w:sz w:val="22"/>
          <w:szCs w:val="22"/>
        </w:rPr>
        <w:t xml:space="preserve">provide support to all people </w:t>
      </w:r>
      <w:r w:rsidR="000A08CB">
        <w:rPr>
          <w:rFonts w:asciiTheme="majorHAnsi" w:hAnsiTheme="majorHAnsi" w:cs="Arial"/>
          <w:noProof/>
          <w:sz w:val="22"/>
          <w:szCs w:val="22"/>
        </w:rPr>
        <w:t xml:space="preserve">regardless of </w:t>
      </w:r>
      <w:r w:rsidR="00E724DA">
        <w:rPr>
          <w:rFonts w:asciiTheme="majorHAnsi" w:hAnsiTheme="majorHAnsi" w:cs="Arial"/>
          <w:noProof/>
          <w:sz w:val="22"/>
          <w:szCs w:val="22"/>
        </w:rPr>
        <w:t>gender</w:t>
      </w:r>
      <w:r w:rsidR="000A08CB">
        <w:rPr>
          <w:rFonts w:asciiTheme="majorHAnsi" w:hAnsiTheme="majorHAnsi" w:cs="Arial"/>
          <w:noProof/>
          <w:sz w:val="22"/>
          <w:szCs w:val="22"/>
        </w:rPr>
        <w:t>)</w:t>
      </w:r>
      <w:r w:rsidR="00E724DA">
        <w:rPr>
          <w:rFonts w:asciiTheme="majorHAnsi" w:hAnsiTheme="majorHAnsi" w:cs="Arial"/>
          <w:noProof/>
          <w:sz w:val="22"/>
          <w:szCs w:val="22"/>
        </w:rPr>
        <w:t xml:space="preserve">, and organisations working with diverse groups of women </w:t>
      </w:r>
      <w:r w:rsidR="00EE45E8">
        <w:rPr>
          <w:rFonts w:asciiTheme="majorHAnsi" w:hAnsiTheme="majorHAnsi" w:cs="Arial"/>
          <w:noProof/>
          <w:sz w:val="22"/>
          <w:szCs w:val="22"/>
        </w:rPr>
        <w:t xml:space="preserve">including </w:t>
      </w:r>
      <w:r w:rsidR="00E724DA">
        <w:rPr>
          <w:rFonts w:asciiTheme="majorHAnsi" w:hAnsiTheme="majorHAnsi" w:cs="Arial"/>
          <w:noProof/>
          <w:sz w:val="22"/>
          <w:szCs w:val="22"/>
        </w:rPr>
        <w:t>Aboriginal and Torres St</w:t>
      </w:r>
      <w:r w:rsidR="00EE45E8">
        <w:rPr>
          <w:rFonts w:asciiTheme="majorHAnsi" w:hAnsiTheme="majorHAnsi" w:cs="Arial"/>
          <w:noProof/>
          <w:sz w:val="22"/>
          <w:szCs w:val="22"/>
        </w:rPr>
        <w:t>r</w:t>
      </w:r>
      <w:r w:rsidR="00E724DA">
        <w:rPr>
          <w:rFonts w:asciiTheme="majorHAnsi" w:hAnsiTheme="majorHAnsi" w:cs="Arial"/>
          <w:noProof/>
          <w:sz w:val="22"/>
          <w:szCs w:val="22"/>
        </w:rPr>
        <w:t xml:space="preserve">ait Islander women, women from culturally and linguistically diverse backgrounds and others on issues of violence against women. </w:t>
      </w:r>
    </w:p>
    <w:p w14:paraId="31F8C555" w14:textId="77777777" w:rsidR="00152107" w:rsidRDefault="00152107" w:rsidP="00D77950">
      <w:pPr>
        <w:jc w:val="both"/>
        <w:rPr>
          <w:rFonts w:asciiTheme="majorHAnsi" w:hAnsiTheme="majorHAnsi" w:cs="Arial"/>
          <w:noProof/>
          <w:sz w:val="22"/>
          <w:szCs w:val="22"/>
        </w:rPr>
      </w:pPr>
    </w:p>
    <w:p w14:paraId="2B338589" w14:textId="723BF7FA" w:rsidR="00771AA8" w:rsidRDefault="003F7A81" w:rsidP="00D77950">
      <w:pPr>
        <w:jc w:val="both"/>
        <w:rPr>
          <w:rFonts w:asciiTheme="majorHAnsi" w:hAnsiTheme="majorHAnsi" w:cs="Arial"/>
          <w:noProof/>
          <w:sz w:val="22"/>
          <w:szCs w:val="22"/>
        </w:rPr>
      </w:pPr>
      <w:r>
        <w:rPr>
          <w:rFonts w:asciiTheme="majorHAnsi" w:hAnsiTheme="majorHAnsi" w:cs="Arial"/>
          <w:noProof/>
          <w:sz w:val="22"/>
          <w:szCs w:val="22"/>
        </w:rPr>
        <w:t xml:space="preserve">Specialist women’s services work with </w:t>
      </w:r>
      <w:r w:rsidR="00E724DA">
        <w:rPr>
          <w:rFonts w:asciiTheme="majorHAnsi" w:hAnsiTheme="majorHAnsi" w:cs="Arial"/>
          <w:noProof/>
          <w:sz w:val="22"/>
          <w:szCs w:val="22"/>
        </w:rPr>
        <w:t xml:space="preserve">other </w:t>
      </w:r>
      <w:r w:rsidR="00655083">
        <w:rPr>
          <w:rFonts w:asciiTheme="majorHAnsi" w:hAnsiTheme="majorHAnsi" w:cs="Arial"/>
          <w:noProof/>
          <w:sz w:val="22"/>
          <w:szCs w:val="22"/>
        </w:rPr>
        <w:t>organisations,</w:t>
      </w:r>
      <w:r w:rsidR="00E724DA">
        <w:rPr>
          <w:rFonts w:asciiTheme="majorHAnsi" w:hAnsiTheme="majorHAnsi" w:cs="Arial"/>
          <w:noProof/>
          <w:sz w:val="22"/>
          <w:szCs w:val="22"/>
        </w:rPr>
        <w:t xml:space="preserve"> includ</w:t>
      </w:r>
      <w:r w:rsidR="004C1D96">
        <w:rPr>
          <w:rFonts w:asciiTheme="majorHAnsi" w:hAnsiTheme="majorHAnsi" w:cs="Arial"/>
          <w:noProof/>
          <w:sz w:val="22"/>
          <w:szCs w:val="22"/>
        </w:rPr>
        <w:t>ing</w:t>
      </w:r>
      <w:r w:rsidR="00E724DA">
        <w:rPr>
          <w:rFonts w:asciiTheme="majorHAnsi" w:hAnsiTheme="majorHAnsi" w:cs="Arial"/>
          <w:noProof/>
          <w:sz w:val="22"/>
          <w:szCs w:val="22"/>
        </w:rPr>
        <w:t xml:space="preserve"> women’s legal services,</w:t>
      </w:r>
      <w:r w:rsidR="000A08CB">
        <w:rPr>
          <w:rFonts w:asciiTheme="majorHAnsi" w:hAnsiTheme="majorHAnsi" w:cs="Arial"/>
          <w:noProof/>
          <w:sz w:val="22"/>
          <w:szCs w:val="22"/>
        </w:rPr>
        <w:t xml:space="preserve"> women’s health centres, women’s information services, working women’s centres</w:t>
      </w:r>
      <w:r w:rsidR="00E724DA">
        <w:rPr>
          <w:rFonts w:asciiTheme="majorHAnsi" w:hAnsiTheme="majorHAnsi" w:cs="Arial"/>
          <w:noProof/>
          <w:sz w:val="22"/>
          <w:szCs w:val="22"/>
        </w:rPr>
        <w:t xml:space="preserve"> </w:t>
      </w:r>
      <w:r w:rsidR="004C1D96">
        <w:rPr>
          <w:rFonts w:asciiTheme="majorHAnsi" w:hAnsiTheme="majorHAnsi" w:cs="Arial"/>
          <w:noProof/>
          <w:sz w:val="22"/>
          <w:szCs w:val="22"/>
        </w:rPr>
        <w:t xml:space="preserve">and </w:t>
      </w:r>
      <w:r w:rsidR="00F048DA">
        <w:rPr>
          <w:rFonts w:asciiTheme="majorHAnsi" w:hAnsiTheme="majorHAnsi" w:cs="Arial"/>
          <w:noProof/>
          <w:sz w:val="22"/>
          <w:szCs w:val="22"/>
        </w:rPr>
        <w:t xml:space="preserve">generalist </w:t>
      </w:r>
      <w:r w:rsidR="00E724DA">
        <w:rPr>
          <w:rFonts w:asciiTheme="majorHAnsi" w:hAnsiTheme="majorHAnsi" w:cs="Arial"/>
          <w:noProof/>
          <w:sz w:val="22"/>
          <w:szCs w:val="22"/>
        </w:rPr>
        <w:t xml:space="preserve">services for diverse groups of women, </w:t>
      </w:r>
      <w:r>
        <w:rPr>
          <w:rFonts w:asciiTheme="majorHAnsi" w:hAnsiTheme="majorHAnsi" w:cs="Arial"/>
          <w:noProof/>
          <w:sz w:val="22"/>
          <w:szCs w:val="22"/>
        </w:rPr>
        <w:t xml:space="preserve">to provide </w:t>
      </w:r>
      <w:r w:rsidR="00E724DA">
        <w:rPr>
          <w:rFonts w:asciiTheme="majorHAnsi" w:hAnsiTheme="majorHAnsi" w:cs="Arial"/>
          <w:noProof/>
          <w:sz w:val="22"/>
          <w:szCs w:val="22"/>
        </w:rPr>
        <w:t xml:space="preserve">holistic </w:t>
      </w:r>
      <w:r w:rsidR="00C5459B">
        <w:rPr>
          <w:rFonts w:asciiTheme="majorHAnsi" w:hAnsiTheme="majorHAnsi" w:cs="Arial"/>
          <w:noProof/>
          <w:sz w:val="22"/>
          <w:szCs w:val="22"/>
        </w:rPr>
        <w:t>support to women</w:t>
      </w:r>
      <w:r w:rsidR="00D77950">
        <w:rPr>
          <w:rFonts w:asciiTheme="majorHAnsi" w:hAnsiTheme="majorHAnsi" w:cs="Arial"/>
          <w:noProof/>
          <w:sz w:val="22"/>
          <w:szCs w:val="22"/>
        </w:rPr>
        <w:t xml:space="preserve"> and their children</w:t>
      </w:r>
      <w:r w:rsidR="00C5459B">
        <w:rPr>
          <w:rFonts w:asciiTheme="majorHAnsi" w:hAnsiTheme="majorHAnsi" w:cs="Arial"/>
          <w:noProof/>
          <w:sz w:val="22"/>
          <w:szCs w:val="22"/>
        </w:rPr>
        <w:t xml:space="preserve"> so they can live free of violence. </w:t>
      </w:r>
      <w:r w:rsidR="00CF39EB">
        <w:rPr>
          <w:rFonts w:asciiTheme="majorHAnsi" w:hAnsiTheme="majorHAnsi" w:cs="Arial"/>
          <w:noProof/>
          <w:sz w:val="22"/>
          <w:szCs w:val="22"/>
        </w:rPr>
        <w:t>While some s</w:t>
      </w:r>
      <w:r w:rsidR="00D77950" w:rsidRPr="008F6EBB">
        <w:rPr>
          <w:rFonts w:asciiTheme="majorHAnsi" w:hAnsiTheme="majorHAnsi" w:cs="Arial"/>
          <w:noProof/>
          <w:sz w:val="22"/>
          <w:szCs w:val="22"/>
        </w:rPr>
        <w:t xml:space="preserve">ervices responding to violence also provide </w:t>
      </w:r>
      <w:r w:rsidR="00CF39EB">
        <w:rPr>
          <w:rFonts w:asciiTheme="majorHAnsi" w:hAnsiTheme="majorHAnsi" w:cs="Arial"/>
          <w:noProof/>
          <w:sz w:val="22"/>
          <w:szCs w:val="22"/>
        </w:rPr>
        <w:t>support</w:t>
      </w:r>
      <w:r w:rsidR="00D77950" w:rsidRPr="008F6EBB">
        <w:rPr>
          <w:rFonts w:asciiTheme="majorHAnsi" w:hAnsiTheme="majorHAnsi" w:cs="Arial"/>
          <w:noProof/>
          <w:sz w:val="22"/>
          <w:szCs w:val="22"/>
        </w:rPr>
        <w:t xml:space="preserve"> to men and other</w:t>
      </w:r>
      <w:r>
        <w:rPr>
          <w:rFonts w:asciiTheme="majorHAnsi" w:hAnsiTheme="majorHAnsi" w:cs="Arial"/>
          <w:noProof/>
          <w:sz w:val="22"/>
          <w:szCs w:val="22"/>
        </w:rPr>
        <w:t xml:space="preserve"> people </w:t>
      </w:r>
      <w:r w:rsidR="00D77950" w:rsidRPr="008F6EBB">
        <w:rPr>
          <w:rFonts w:asciiTheme="majorHAnsi" w:hAnsiTheme="majorHAnsi" w:cs="Arial"/>
          <w:noProof/>
          <w:sz w:val="22"/>
          <w:szCs w:val="22"/>
        </w:rPr>
        <w:t xml:space="preserve">who are </w:t>
      </w:r>
      <w:r w:rsidR="004C1D96">
        <w:rPr>
          <w:rFonts w:asciiTheme="majorHAnsi" w:hAnsiTheme="majorHAnsi" w:cs="Arial"/>
          <w:noProof/>
          <w:sz w:val="22"/>
          <w:szCs w:val="22"/>
        </w:rPr>
        <w:t>non-gender binary</w:t>
      </w:r>
      <w:r w:rsidR="00CF39EB">
        <w:rPr>
          <w:rFonts w:asciiTheme="majorHAnsi" w:hAnsiTheme="majorHAnsi" w:cs="Arial"/>
          <w:noProof/>
          <w:sz w:val="22"/>
          <w:szCs w:val="22"/>
        </w:rPr>
        <w:t xml:space="preserve">, </w:t>
      </w:r>
      <w:r w:rsidR="00D77950" w:rsidRPr="008F6EBB">
        <w:rPr>
          <w:rFonts w:asciiTheme="majorHAnsi" w:hAnsiTheme="majorHAnsi" w:cs="Arial"/>
          <w:noProof/>
          <w:sz w:val="22"/>
          <w:szCs w:val="22"/>
        </w:rPr>
        <w:t xml:space="preserve">they do so in a way that </w:t>
      </w:r>
      <w:r w:rsidR="00BD6C84">
        <w:rPr>
          <w:rFonts w:asciiTheme="majorHAnsi" w:hAnsiTheme="majorHAnsi" w:cs="Arial"/>
          <w:noProof/>
          <w:sz w:val="22"/>
          <w:szCs w:val="22"/>
        </w:rPr>
        <w:t xml:space="preserve">also </w:t>
      </w:r>
      <w:r w:rsidR="00D77950" w:rsidRPr="008F6EBB">
        <w:rPr>
          <w:rFonts w:asciiTheme="majorHAnsi" w:hAnsiTheme="majorHAnsi" w:cs="Arial"/>
          <w:noProof/>
          <w:sz w:val="22"/>
          <w:szCs w:val="22"/>
        </w:rPr>
        <w:t xml:space="preserve">recognises the gendered dynamics of violence. </w:t>
      </w:r>
    </w:p>
    <w:p w14:paraId="3EBD5B2A" w14:textId="01A5298F" w:rsidR="00486E48" w:rsidRDefault="00EE45E8" w:rsidP="00486E48">
      <w:pPr>
        <w:jc w:val="both"/>
        <w:rPr>
          <w:rFonts w:asciiTheme="majorHAnsi" w:hAnsiTheme="majorHAnsi" w:cs="Arial"/>
          <w:color w:val="000000" w:themeColor="text1"/>
          <w:sz w:val="22"/>
          <w:szCs w:val="22"/>
        </w:rPr>
      </w:pPr>
      <w:r>
        <w:rPr>
          <w:rFonts w:asciiTheme="majorHAnsi" w:hAnsiTheme="majorHAnsi" w:cs="Arial"/>
          <w:noProof/>
          <w:sz w:val="22"/>
          <w:szCs w:val="22"/>
        </w:rPr>
        <w:t>Building on y</w:t>
      </w:r>
      <w:r w:rsidR="00771AA8">
        <w:rPr>
          <w:rFonts w:asciiTheme="majorHAnsi" w:hAnsiTheme="majorHAnsi" w:cs="Arial"/>
          <w:noProof/>
          <w:sz w:val="22"/>
          <w:szCs w:val="22"/>
        </w:rPr>
        <w:t xml:space="preserve">ears of </w:t>
      </w:r>
      <w:r>
        <w:rPr>
          <w:rFonts w:asciiTheme="majorHAnsi" w:hAnsiTheme="majorHAnsi" w:cs="Arial"/>
          <w:noProof/>
          <w:sz w:val="22"/>
          <w:szCs w:val="22"/>
        </w:rPr>
        <w:t xml:space="preserve">experience effectively </w:t>
      </w:r>
      <w:r w:rsidR="001C089D" w:rsidRPr="00A0433A">
        <w:rPr>
          <w:rFonts w:asciiTheme="majorHAnsi" w:hAnsiTheme="majorHAnsi" w:cs="Arial"/>
          <w:noProof/>
          <w:sz w:val="22"/>
          <w:szCs w:val="22"/>
        </w:rPr>
        <w:t>re</w:t>
      </w:r>
      <w:r w:rsidR="003662BE" w:rsidRPr="00A0433A">
        <w:rPr>
          <w:rFonts w:asciiTheme="majorHAnsi" w:hAnsiTheme="majorHAnsi" w:cs="Arial"/>
          <w:noProof/>
          <w:sz w:val="22"/>
          <w:szCs w:val="22"/>
        </w:rPr>
        <w:t>s</w:t>
      </w:r>
      <w:r w:rsidR="001C089D" w:rsidRPr="00A0433A">
        <w:rPr>
          <w:rFonts w:asciiTheme="majorHAnsi" w:hAnsiTheme="majorHAnsi" w:cs="Arial"/>
          <w:noProof/>
          <w:sz w:val="22"/>
          <w:szCs w:val="22"/>
        </w:rPr>
        <w:t>ponding</w:t>
      </w:r>
      <w:r w:rsidR="001C089D">
        <w:rPr>
          <w:rFonts w:asciiTheme="majorHAnsi" w:hAnsiTheme="majorHAnsi" w:cs="Arial"/>
          <w:noProof/>
          <w:sz w:val="22"/>
          <w:szCs w:val="22"/>
        </w:rPr>
        <w:t xml:space="preserve"> </w:t>
      </w:r>
      <w:r w:rsidR="00771AA8">
        <w:rPr>
          <w:rFonts w:asciiTheme="majorHAnsi" w:hAnsiTheme="majorHAnsi" w:cs="Arial"/>
          <w:noProof/>
          <w:sz w:val="22"/>
          <w:szCs w:val="22"/>
        </w:rPr>
        <w:t xml:space="preserve">to violence against women, specialist women’s services have developed a set of good-practice </w:t>
      </w:r>
      <w:r>
        <w:rPr>
          <w:rFonts w:asciiTheme="majorHAnsi" w:hAnsiTheme="majorHAnsi" w:cs="Arial"/>
          <w:noProof/>
          <w:sz w:val="22"/>
          <w:szCs w:val="22"/>
        </w:rPr>
        <w:t xml:space="preserve">principles </w:t>
      </w:r>
      <w:r w:rsidR="00771AA8">
        <w:rPr>
          <w:rFonts w:asciiTheme="majorHAnsi" w:hAnsiTheme="majorHAnsi" w:cs="Arial"/>
          <w:noProof/>
          <w:sz w:val="22"/>
          <w:szCs w:val="22"/>
        </w:rPr>
        <w:t xml:space="preserve">guiding their work. </w:t>
      </w:r>
      <w:r>
        <w:rPr>
          <w:rFonts w:asciiTheme="majorHAnsi" w:hAnsiTheme="majorHAnsi" w:cs="Arial"/>
          <w:noProof/>
          <w:sz w:val="22"/>
          <w:szCs w:val="22"/>
        </w:rPr>
        <w:t xml:space="preserve">Given </w:t>
      </w:r>
      <w:r w:rsidR="001C089D">
        <w:rPr>
          <w:rFonts w:asciiTheme="majorHAnsi" w:hAnsiTheme="majorHAnsi" w:cs="Arial"/>
          <w:noProof/>
          <w:sz w:val="22"/>
          <w:szCs w:val="22"/>
        </w:rPr>
        <w:t xml:space="preserve">the proven efficacy of this model, it is important that new </w:t>
      </w:r>
      <w:r>
        <w:rPr>
          <w:rFonts w:asciiTheme="majorHAnsi" w:hAnsiTheme="majorHAnsi" w:cs="Arial"/>
          <w:noProof/>
          <w:sz w:val="22"/>
          <w:szCs w:val="22"/>
        </w:rPr>
        <w:t xml:space="preserve">and </w:t>
      </w:r>
      <w:r w:rsidR="001C089D">
        <w:rPr>
          <w:rFonts w:asciiTheme="majorHAnsi" w:hAnsiTheme="majorHAnsi" w:cs="Arial"/>
          <w:noProof/>
          <w:sz w:val="22"/>
          <w:szCs w:val="22"/>
        </w:rPr>
        <w:t xml:space="preserve">existing </w:t>
      </w:r>
      <w:r>
        <w:rPr>
          <w:rFonts w:asciiTheme="majorHAnsi" w:hAnsiTheme="majorHAnsi" w:cs="Arial"/>
          <w:noProof/>
          <w:sz w:val="22"/>
          <w:szCs w:val="22"/>
        </w:rPr>
        <w:t xml:space="preserve">organisations incorporate these principles in </w:t>
      </w:r>
      <w:r w:rsidR="001C089D">
        <w:rPr>
          <w:rFonts w:asciiTheme="majorHAnsi" w:hAnsiTheme="majorHAnsi" w:cs="Arial"/>
          <w:noProof/>
          <w:sz w:val="22"/>
          <w:szCs w:val="22"/>
        </w:rPr>
        <w:t>their service provision</w:t>
      </w:r>
      <w:r w:rsidR="00655083">
        <w:rPr>
          <w:rFonts w:asciiTheme="majorHAnsi" w:hAnsiTheme="majorHAnsi" w:cs="Arial"/>
          <w:noProof/>
          <w:sz w:val="22"/>
          <w:szCs w:val="22"/>
        </w:rPr>
        <w:t xml:space="preserve"> to achieve the best possible outcomes for women and children</w:t>
      </w:r>
      <w:r w:rsidR="001C089D">
        <w:rPr>
          <w:rFonts w:asciiTheme="majorHAnsi" w:hAnsiTheme="majorHAnsi" w:cs="Arial"/>
          <w:noProof/>
          <w:sz w:val="22"/>
          <w:szCs w:val="22"/>
        </w:rPr>
        <w:t xml:space="preserve">. </w:t>
      </w:r>
      <w:r w:rsidR="00486E48">
        <w:rPr>
          <w:rFonts w:asciiTheme="majorHAnsi" w:hAnsiTheme="majorHAnsi" w:cs="Arial"/>
          <w:color w:val="000000" w:themeColor="text1"/>
          <w:sz w:val="22"/>
          <w:szCs w:val="22"/>
        </w:rPr>
        <w:t>It is also important that more support and recognition is given to their key role in responding to violence against women</w:t>
      </w:r>
      <w:r w:rsidR="00517880">
        <w:rPr>
          <w:rStyle w:val="FootnoteReference"/>
          <w:rFonts w:asciiTheme="majorHAnsi" w:hAnsiTheme="majorHAnsi" w:cs="Arial"/>
          <w:color w:val="000000" w:themeColor="text1"/>
          <w:sz w:val="22"/>
          <w:szCs w:val="22"/>
        </w:rPr>
        <w:footnoteReference w:id="4"/>
      </w:r>
      <w:r w:rsidR="00486E48">
        <w:rPr>
          <w:rFonts w:asciiTheme="majorHAnsi" w:hAnsiTheme="majorHAnsi" w:cs="Arial"/>
          <w:color w:val="000000" w:themeColor="text1"/>
          <w:sz w:val="22"/>
          <w:szCs w:val="22"/>
        </w:rPr>
        <w:t xml:space="preserve">. </w:t>
      </w:r>
    </w:p>
    <w:p w14:paraId="373B9444" w14:textId="64A14ECA" w:rsidR="002727E7" w:rsidRPr="00375E66" w:rsidRDefault="000A08CB" w:rsidP="00BD6C84">
      <w:pPr>
        <w:pStyle w:val="Heading1"/>
        <w:rPr>
          <w:b/>
          <w:bCs/>
          <w:color w:val="7030A0"/>
        </w:rPr>
      </w:pPr>
      <w:r>
        <w:rPr>
          <w:b/>
          <w:noProof/>
          <w:color w:val="7030A0"/>
        </w:rPr>
        <w:t>Good</w:t>
      </w:r>
      <w:r w:rsidR="004C1D96" w:rsidRPr="00375E66">
        <w:rPr>
          <w:b/>
          <w:noProof/>
          <w:color w:val="7030A0"/>
        </w:rPr>
        <w:t>-practice response</w:t>
      </w:r>
      <w:r w:rsidR="00BD6C84" w:rsidRPr="00375E66">
        <w:rPr>
          <w:b/>
          <w:noProof/>
          <w:color w:val="7030A0"/>
        </w:rPr>
        <w:t>s</w:t>
      </w:r>
    </w:p>
    <w:p w14:paraId="605745C2" w14:textId="1E5AB62A" w:rsidR="008F6EBB" w:rsidRDefault="008F6EBB" w:rsidP="00F40F0B">
      <w:pPr>
        <w:jc w:val="both"/>
        <w:rPr>
          <w:rFonts w:asciiTheme="majorHAnsi" w:hAnsiTheme="majorHAnsi" w:cs="Arial"/>
          <w:sz w:val="22"/>
          <w:szCs w:val="22"/>
        </w:rPr>
      </w:pPr>
      <w:r w:rsidRPr="00417D61">
        <w:rPr>
          <w:rFonts w:asciiTheme="majorHAnsi" w:hAnsiTheme="majorHAnsi" w:cs="Arial"/>
          <w:bCs/>
          <w:sz w:val="22"/>
          <w:szCs w:val="22"/>
        </w:rPr>
        <w:t xml:space="preserve">Comprehensive and integrated </w:t>
      </w:r>
      <w:r w:rsidR="000A08CB">
        <w:rPr>
          <w:rFonts w:asciiTheme="majorHAnsi" w:hAnsiTheme="majorHAnsi" w:cs="Arial"/>
          <w:bCs/>
          <w:sz w:val="22"/>
          <w:szCs w:val="22"/>
        </w:rPr>
        <w:t>good</w:t>
      </w:r>
      <w:r w:rsidRPr="00417D61">
        <w:rPr>
          <w:rFonts w:asciiTheme="majorHAnsi" w:hAnsiTheme="majorHAnsi" w:cs="Arial"/>
          <w:bCs/>
          <w:sz w:val="22"/>
          <w:szCs w:val="22"/>
        </w:rPr>
        <w:t xml:space="preserve">-practice response is </w:t>
      </w:r>
      <w:r w:rsidRPr="00417D61">
        <w:rPr>
          <w:rFonts w:asciiTheme="majorHAnsi" w:hAnsiTheme="majorHAnsi" w:cs="Arial"/>
          <w:sz w:val="22"/>
          <w:szCs w:val="22"/>
        </w:rPr>
        <w:t>underpinned by</w:t>
      </w:r>
      <w:r w:rsidR="00CF39EB">
        <w:rPr>
          <w:rFonts w:asciiTheme="majorHAnsi" w:hAnsiTheme="majorHAnsi" w:cs="Arial"/>
          <w:sz w:val="22"/>
          <w:szCs w:val="22"/>
        </w:rPr>
        <w:t xml:space="preserve"> </w:t>
      </w:r>
      <w:r w:rsidR="00BD6C84">
        <w:rPr>
          <w:rFonts w:asciiTheme="majorHAnsi" w:hAnsiTheme="majorHAnsi" w:cs="Arial"/>
          <w:sz w:val="22"/>
          <w:szCs w:val="22"/>
        </w:rPr>
        <w:t xml:space="preserve">(1) </w:t>
      </w:r>
      <w:r w:rsidR="00CF39EB">
        <w:rPr>
          <w:rFonts w:asciiTheme="majorHAnsi" w:hAnsiTheme="majorHAnsi" w:cs="Arial"/>
          <w:sz w:val="22"/>
          <w:szCs w:val="22"/>
        </w:rPr>
        <w:t>a</w:t>
      </w:r>
      <w:r w:rsidRPr="00417D61" w:rsidDel="003F12B5">
        <w:rPr>
          <w:rFonts w:asciiTheme="majorHAnsi" w:hAnsiTheme="majorHAnsi" w:cs="Arial"/>
          <w:b/>
          <w:sz w:val="22"/>
          <w:szCs w:val="22"/>
        </w:rPr>
        <w:t xml:space="preserve"> </w:t>
      </w:r>
      <w:r w:rsidRPr="00417D61">
        <w:rPr>
          <w:rFonts w:asciiTheme="majorHAnsi" w:hAnsiTheme="majorHAnsi" w:cs="Arial"/>
          <w:b/>
          <w:sz w:val="22"/>
          <w:szCs w:val="22"/>
        </w:rPr>
        <w:t>rights</w:t>
      </w:r>
      <w:r>
        <w:rPr>
          <w:rFonts w:asciiTheme="majorHAnsi" w:hAnsiTheme="majorHAnsi" w:cs="Arial"/>
          <w:b/>
          <w:sz w:val="22"/>
          <w:szCs w:val="22"/>
        </w:rPr>
        <w:t>-</w:t>
      </w:r>
      <w:r w:rsidRPr="00417D61">
        <w:rPr>
          <w:rFonts w:asciiTheme="majorHAnsi" w:hAnsiTheme="majorHAnsi" w:cs="Arial"/>
          <w:b/>
          <w:sz w:val="22"/>
          <w:szCs w:val="22"/>
        </w:rPr>
        <w:t xml:space="preserve">based </w:t>
      </w:r>
      <w:r w:rsidR="00CF39EB">
        <w:rPr>
          <w:rFonts w:asciiTheme="majorHAnsi" w:hAnsiTheme="majorHAnsi" w:cs="Arial"/>
          <w:b/>
          <w:sz w:val="22"/>
          <w:szCs w:val="22"/>
        </w:rPr>
        <w:t>approach</w:t>
      </w:r>
      <w:r w:rsidR="00CF39EB" w:rsidRPr="00417D61">
        <w:rPr>
          <w:rFonts w:asciiTheme="majorHAnsi" w:hAnsiTheme="majorHAnsi" w:cs="Arial"/>
          <w:sz w:val="22"/>
          <w:szCs w:val="22"/>
        </w:rPr>
        <w:t xml:space="preserve"> </w:t>
      </w:r>
      <w:r w:rsidRPr="00417D61">
        <w:rPr>
          <w:rFonts w:asciiTheme="majorHAnsi" w:hAnsiTheme="majorHAnsi" w:cs="Arial"/>
          <w:sz w:val="22"/>
          <w:szCs w:val="22"/>
        </w:rPr>
        <w:t>that enable</w:t>
      </w:r>
      <w:r w:rsidR="00CF39EB">
        <w:rPr>
          <w:rFonts w:asciiTheme="majorHAnsi" w:hAnsiTheme="majorHAnsi" w:cs="Arial"/>
          <w:sz w:val="22"/>
          <w:szCs w:val="22"/>
        </w:rPr>
        <w:t>s</w:t>
      </w:r>
      <w:r w:rsidRPr="00417D61">
        <w:rPr>
          <w:rFonts w:asciiTheme="majorHAnsi" w:hAnsiTheme="majorHAnsi" w:cs="Arial"/>
          <w:sz w:val="22"/>
          <w:szCs w:val="22"/>
        </w:rPr>
        <w:t xml:space="preserve"> </w:t>
      </w:r>
      <w:r w:rsidRPr="00BD6C84">
        <w:rPr>
          <w:rFonts w:asciiTheme="majorHAnsi" w:hAnsiTheme="majorHAnsi" w:cs="Arial"/>
          <w:b/>
          <w:sz w:val="22"/>
          <w:szCs w:val="22"/>
        </w:rPr>
        <w:t>understanding of the gendered nature of the violence</w:t>
      </w:r>
      <w:r w:rsidRPr="00E94541">
        <w:rPr>
          <w:rFonts w:asciiTheme="majorHAnsi" w:hAnsiTheme="majorHAnsi" w:cs="Arial"/>
          <w:sz w:val="22"/>
          <w:szCs w:val="22"/>
        </w:rPr>
        <w:t>, its causes and consequences</w:t>
      </w:r>
      <w:r w:rsidR="00BD6C84">
        <w:rPr>
          <w:rFonts w:asciiTheme="majorHAnsi" w:hAnsiTheme="majorHAnsi" w:cs="Arial"/>
          <w:sz w:val="22"/>
          <w:szCs w:val="22"/>
        </w:rPr>
        <w:t xml:space="preserve"> and (2) </w:t>
      </w:r>
      <w:r w:rsidRPr="00417D61">
        <w:rPr>
          <w:rFonts w:asciiTheme="majorHAnsi" w:hAnsiTheme="majorHAnsi" w:cs="Arial"/>
          <w:b/>
          <w:sz w:val="22"/>
          <w:szCs w:val="22"/>
        </w:rPr>
        <w:t>empower</w:t>
      </w:r>
      <w:r w:rsidR="004C1D96">
        <w:rPr>
          <w:rFonts w:asciiTheme="majorHAnsi" w:hAnsiTheme="majorHAnsi" w:cs="Arial"/>
          <w:b/>
          <w:sz w:val="22"/>
          <w:szCs w:val="22"/>
        </w:rPr>
        <w:t>s</w:t>
      </w:r>
      <w:r w:rsidRPr="00417D61">
        <w:rPr>
          <w:rFonts w:asciiTheme="majorHAnsi" w:hAnsiTheme="majorHAnsi" w:cs="Arial"/>
          <w:b/>
          <w:sz w:val="22"/>
          <w:szCs w:val="22"/>
        </w:rPr>
        <w:t xml:space="preserve"> survivors / victims </w:t>
      </w:r>
      <w:r w:rsidRPr="00E94541">
        <w:rPr>
          <w:rFonts w:asciiTheme="majorHAnsi" w:hAnsiTheme="majorHAnsi" w:cs="Arial"/>
          <w:sz w:val="22"/>
          <w:szCs w:val="22"/>
        </w:rPr>
        <w:t xml:space="preserve">by enabling self-determination, control over processes and choice. </w:t>
      </w:r>
      <w:r w:rsidR="00034AD2">
        <w:rPr>
          <w:rFonts w:asciiTheme="majorHAnsi" w:hAnsiTheme="majorHAnsi" w:cs="Arial"/>
          <w:sz w:val="22"/>
          <w:szCs w:val="22"/>
        </w:rPr>
        <w:t>Good-</w:t>
      </w:r>
      <w:r w:rsidR="00034AD2" w:rsidDel="00034AD2">
        <w:rPr>
          <w:rFonts w:asciiTheme="majorHAnsi" w:hAnsiTheme="majorHAnsi" w:cs="Arial"/>
          <w:sz w:val="22"/>
          <w:szCs w:val="22"/>
        </w:rPr>
        <w:t xml:space="preserve"> </w:t>
      </w:r>
      <w:r>
        <w:rPr>
          <w:rFonts w:asciiTheme="majorHAnsi" w:hAnsiTheme="majorHAnsi" w:cs="Arial"/>
          <w:sz w:val="22"/>
          <w:szCs w:val="22"/>
        </w:rPr>
        <w:t xml:space="preserve">practice service provision, taking </w:t>
      </w:r>
      <w:r w:rsidR="00BD6C84">
        <w:rPr>
          <w:rFonts w:asciiTheme="majorHAnsi" w:hAnsiTheme="majorHAnsi" w:cs="Arial"/>
          <w:sz w:val="22"/>
          <w:szCs w:val="22"/>
        </w:rPr>
        <w:t xml:space="preserve">(3) </w:t>
      </w:r>
      <w:r w:rsidRPr="001C089D">
        <w:rPr>
          <w:rFonts w:asciiTheme="majorHAnsi" w:hAnsiTheme="majorHAnsi" w:cs="Arial"/>
          <w:b/>
          <w:sz w:val="22"/>
          <w:szCs w:val="22"/>
        </w:rPr>
        <w:t>a client-centred approach,</w:t>
      </w:r>
      <w:r>
        <w:rPr>
          <w:rFonts w:asciiTheme="majorHAnsi" w:hAnsiTheme="majorHAnsi" w:cs="Arial"/>
          <w:sz w:val="22"/>
          <w:szCs w:val="22"/>
        </w:rPr>
        <w:t xml:space="preserve"> remains accountable to victim</w:t>
      </w:r>
      <w:r w:rsidR="00034AD2">
        <w:rPr>
          <w:rFonts w:asciiTheme="majorHAnsi" w:hAnsiTheme="majorHAnsi" w:cs="Arial"/>
          <w:sz w:val="22"/>
          <w:szCs w:val="22"/>
        </w:rPr>
        <w:t>s</w:t>
      </w:r>
      <w:r>
        <w:rPr>
          <w:rFonts w:asciiTheme="majorHAnsi" w:hAnsiTheme="majorHAnsi" w:cs="Arial"/>
          <w:sz w:val="22"/>
          <w:szCs w:val="22"/>
        </w:rPr>
        <w:t xml:space="preserve"> / survivors and </w:t>
      </w:r>
      <w:r w:rsidR="00BD6C84">
        <w:rPr>
          <w:rFonts w:asciiTheme="majorHAnsi" w:hAnsiTheme="majorHAnsi" w:cs="Arial"/>
          <w:sz w:val="22"/>
          <w:szCs w:val="22"/>
        </w:rPr>
        <w:t xml:space="preserve">(4) </w:t>
      </w:r>
      <w:r w:rsidRPr="008F6EBB">
        <w:rPr>
          <w:rFonts w:asciiTheme="majorHAnsi" w:hAnsiTheme="majorHAnsi" w:cs="Arial"/>
          <w:b/>
          <w:sz w:val="22"/>
          <w:szCs w:val="22"/>
        </w:rPr>
        <w:t>places</w:t>
      </w:r>
      <w:r w:rsidR="00F048DA">
        <w:rPr>
          <w:rFonts w:asciiTheme="majorHAnsi" w:hAnsiTheme="majorHAnsi" w:cs="Arial"/>
          <w:b/>
          <w:sz w:val="22"/>
          <w:szCs w:val="22"/>
        </w:rPr>
        <w:t xml:space="preserve"> their</w:t>
      </w:r>
      <w:r>
        <w:rPr>
          <w:rFonts w:asciiTheme="majorHAnsi" w:hAnsiTheme="majorHAnsi" w:cs="Arial"/>
          <w:sz w:val="22"/>
          <w:szCs w:val="22"/>
        </w:rPr>
        <w:t xml:space="preserve"> </w:t>
      </w:r>
      <w:r w:rsidRPr="00417D61">
        <w:rPr>
          <w:rFonts w:asciiTheme="majorHAnsi" w:hAnsiTheme="majorHAnsi" w:cs="Arial"/>
          <w:b/>
          <w:sz w:val="22"/>
          <w:szCs w:val="22"/>
        </w:rPr>
        <w:t xml:space="preserve">safety, needs and interests at the centre </w:t>
      </w:r>
      <w:r>
        <w:rPr>
          <w:rFonts w:asciiTheme="majorHAnsi" w:hAnsiTheme="majorHAnsi" w:cs="Arial"/>
          <w:sz w:val="22"/>
          <w:szCs w:val="22"/>
        </w:rPr>
        <w:t xml:space="preserve">of all decisions. It also </w:t>
      </w:r>
      <w:r w:rsidR="00034AD2">
        <w:rPr>
          <w:rFonts w:asciiTheme="majorHAnsi" w:hAnsiTheme="majorHAnsi" w:cs="Arial"/>
          <w:sz w:val="22"/>
          <w:szCs w:val="22"/>
        </w:rPr>
        <w:t xml:space="preserve">works to </w:t>
      </w:r>
      <w:r>
        <w:rPr>
          <w:rFonts w:asciiTheme="majorHAnsi" w:hAnsiTheme="majorHAnsi" w:cs="Arial"/>
          <w:sz w:val="22"/>
          <w:szCs w:val="22"/>
        </w:rPr>
        <w:t xml:space="preserve">ensure that </w:t>
      </w:r>
      <w:r w:rsidR="00BD6C84">
        <w:rPr>
          <w:rFonts w:asciiTheme="majorHAnsi" w:hAnsiTheme="majorHAnsi" w:cs="Arial"/>
          <w:sz w:val="22"/>
          <w:szCs w:val="22"/>
        </w:rPr>
        <w:t xml:space="preserve">(5) </w:t>
      </w:r>
      <w:r w:rsidRPr="00417D61">
        <w:rPr>
          <w:rFonts w:asciiTheme="majorHAnsi" w:hAnsiTheme="majorHAnsi" w:cs="Arial"/>
          <w:b/>
          <w:sz w:val="22"/>
          <w:szCs w:val="22"/>
        </w:rPr>
        <w:t>perpetrators are held accountable</w:t>
      </w:r>
      <w:r>
        <w:rPr>
          <w:rFonts w:asciiTheme="majorHAnsi" w:hAnsiTheme="majorHAnsi" w:cs="Arial"/>
          <w:sz w:val="22"/>
          <w:szCs w:val="22"/>
        </w:rPr>
        <w:t xml:space="preserve"> for their use of violence. </w:t>
      </w:r>
      <w:r w:rsidR="00034AD2">
        <w:rPr>
          <w:rFonts w:asciiTheme="majorHAnsi" w:hAnsiTheme="majorHAnsi" w:cs="Arial"/>
          <w:sz w:val="22"/>
          <w:szCs w:val="22"/>
        </w:rPr>
        <w:t>Good</w:t>
      </w:r>
      <w:r>
        <w:rPr>
          <w:rFonts w:asciiTheme="majorHAnsi" w:hAnsiTheme="majorHAnsi" w:cs="Arial"/>
          <w:sz w:val="22"/>
          <w:szCs w:val="22"/>
        </w:rPr>
        <w:t xml:space="preserve">-practice service provision delivers </w:t>
      </w:r>
      <w:r w:rsidR="00BD6C84">
        <w:rPr>
          <w:rFonts w:asciiTheme="majorHAnsi" w:hAnsiTheme="majorHAnsi" w:cs="Arial"/>
          <w:sz w:val="22"/>
          <w:szCs w:val="22"/>
        </w:rPr>
        <w:t xml:space="preserve">(6) </w:t>
      </w:r>
      <w:r w:rsidRPr="008F6EBB">
        <w:rPr>
          <w:rFonts w:asciiTheme="majorHAnsi" w:hAnsiTheme="majorHAnsi" w:cs="Arial"/>
          <w:b/>
          <w:sz w:val="22"/>
          <w:szCs w:val="22"/>
        </w:rPr>
        <w:t>culturally-sensitive</w:t>
      </w:r>
      <w:r w:rsidR="004C1D96">
        <w:rPr>
          <w:rFonts w:asciiTheme="majorHAnsi" w:hAnsiTheme="majorHAnsi" w:cs="Arial"/>
          <w:b/>
          <w:sz w:val="22"/>
          <w:szCs w:val="22"/>
        </w:rPr>
        <w:t>, holistic and accessible</w:t>
      </w:r>
      <w:r w:rsidRPr="008F6EBB">
        <w:rPr>
          <w:rFonts w:asciiTheme="majorHAnsi" w:hAnsiTheme="majorHAnsi" w:cs="Arial"/>
          <w:b/>
          <w:sz w:val="22"/>
          <w:szCs w:val="22"/>
        </w:rPr>
        <w:t xml:space="preserve"> service</w:t>
      </w:r>
      <w:r w:rsidR="00034AD2">
        <w:rPr>
          <w:rFonts w:asciiTheme="majorHAnsi" w:hAnsiTheme="majorHAnsi" w:cs="Arial"/>
          <w:b/>
          <w:sz w:val="22"/>
          <w:szCs w:val="22"/>
        </w:rPr>
        <w:t>s</w:t>
      </w:r>
      <w:r>
        <w:rPr>
          <w:rFonts w:asciiTheme="majorHAnsi" w:hAnsiTheme="majorHAnsi" w:cs="Arial"/>
          <w:sz w:val="22"/>
          <w:szCs w:val="22"/>
        </w:rPr>
        <w:t xml:space="preserve"> to diverse group</w:t>
      </w:r>
      <w:r w:rsidR="00F048DA">
        <w:rPr>
          <w:rFonts w:asciiTheme="majorHAnsi" w:hAnsiTheme="majorHAnsi" w:cs="Arial"/>
          <w:sz w:val="22"/>
          <w:szCs w:val="22"/>
        </w:rPr>
        <w:t>s</w:t>
      </w:r>
      <w:r>
        <w:rPr>
          <w:rFonts w:asciiTheme="majorHAnsi" w:hAnsiTheme="majorHAnsi" w:cs="Arial"/>
          <w:sz w:val="22"/>
          <w:szCs w:val="22"/>
        </w:rPr>
        <w:t xml:space="preserve"> of women. </w:t>
      </w:r>
    </w:p>
    <w:p w14:paraId="578FD110" w14:textId="77777777" w:rsidR="008F6EBB" w:rsidRDefault="008F6EBB" w:rsidP="00012A91">
      <w:pPr>
        <w:jc w:val="both"/>
        <w:rPr>
          <w:rFonts w:asciiTheme="majorHAnsi" w:hAnsiTheme="majorHAnsi" w:cs="Arial"/>
          <w:noProof/>
          <w:sz w:val="22"/>
          <w:szCs w:val="22"/>
        </w:rPr>
      </w:pPr>
    </w:p>
    <w:p w14:paraId="558C791E" w14:textId="3838109E" w:rsidR="008F6EBB" w:rsidRDefault="004C1D96" w:rsidP="00375E66">
      <w:pPr>
        <w:jc w:val="both"/>
        <w:rPr>
          <w:rFonts w:asciiTheme="majorHAnsi" w:hAnsiTheme="majorHAnsi" w:cs="Arial"/>
          <w:sz w:val="22"/>
          <w:szCs w:val="22"/>
        </w:rPr>
      </w:pPr>
      <w:r>
        <w:rPr>
          <w:rFonts w:asciiTheme="majorHAnsi" w:hAnsiTheme="majorHAnsi" w:cs="Arial"/>
          <w:sz w:val="22"/>
          <w:szCs w:val="22"/>
        </w:rPr>
        <w:t xml:space="preserve">Using </w:t>
      </w:r>
      <w:r w:rsidR="008F6EBB">
        <w:rPr>
          <w:rFonts w:asciiTheme="majorHAnsi" w:hAnsiTheme="majorHAnsi" w:cs="Arial"/>
          <w:sz w:val="22"/>
          <w:szCs w:val="22"/>
        </w:rPr>
        <w:t>the</w:t>
      </w:r>
      <w:r w:rsidR="003F7A81">
        <w:rPr>
          <w:rFonts w:asciiTheme="majorHAnsi" w:hAnsiTheme="majorHAnsi" w:cs="Arial"/>
          <w:sz w:val="22"/>
          <w:szCs w:val="22"/>
        </w:rPr>
        <w:t>se</w:t>
      </w:r>
      <w:r w:rsidR="008F6EBB">
        <w:rPr>
          <w:rFonts w:asciiTheme="majorHAnsi" w:hAnsiTheme="majorHAnsi" w:cs="Arial"/>
          <w:sz w:val="22"/>
          <w:szCs w:val="22"/>
        </w:rPr>
        <w:t xml:space="preserve"> principles a</w:t>
      </w:r>
      <w:r>
        <w:rPr>
          <w:rFonts w:asciiTheme="majorHAnsi" w:hAnsiTheme="majorHAnsi" w:cs="Arial"/>
          <w:sz w:val="22"/>
          <w:szCs w:val="22"/>
        </w:rPr>
        <w:t xml:space="preserve">s a </w:t>
      </w:r>
      <w:r w:rsidR="008F6EBB">
        <w:rPr>
          <w:rFonts w:asciiTheme="majorHAnsi" w:hAnsiTheme="majorHAnsi" w:cs="Arial"/>
          <w:sz w:val="22"/>
          <w:szCs w:val="22"/>
        </w:rPr>
        <w:t>framework</w:t>
      </w:r>
      <w:r w:rsidR="008F6EBB" w:rsidRPr="008F6EBB">
        <w:rPr>
          <w:rFonts w:asciiTheme="majorHAnsi" w:hAnsiTheme="majorHAnsi" w:cs="Arial"/>
          <w:sz w:val="22"/>
          <w:szCs w:val="22"/>
        </w:rPr>
        <w:t xml:space="preserve">, specialist women’s services </w:t>
      </w:r>
      <w:r w:rsidR="00CF39EB">
        <w:rPr>
          <w:rFonts w:asciiTheme="majorHAnsi" w:hAnsiTheme="majorHAnsi" w:cs="Arial"/>
          <w:sz w:val="22"/>
          <w:szCs w:val="22"/>
        </w:rPr>
        <w:t xml:space="preserve">are </w:t>
      </w:r>
      <w:r w:rsidR="003F7A81">
        <w:rPr>
          <w:rFonts w:asciiTheme="majorHAnsi" w:hAnsiTheme="majorHAnsi" w:cs="Arial"/>
          <w:sz w:val="22"/>
          <w:szCs w:val="22"/>
        </w:rPr>
        <w:t xml:space="preserve">working to </w:t>
      </w:r>
      <w:r w:rsidR="00CF39EB">
        <w:rPr>
          <w:rFonts w:asciiTheme="majorHAnsi" w:hAnsiTheme="majorHAnsi" w:cs="Arial"/>
          <w:sz w:val="22"/>
          <w:szCs w:val="22"/>
        </w:rPr>
        <w:t>ensure the</w:t>
      </w:r>
      <w:r w:rsidR="008F6EBB" w:rsidRPr="00AA2876">
        <w:rPr>
          <w:rFonts w:asciiTheme="majorHAnsi" w:hAnsiTheme="majorHAnsi" w:cs="Arial"/>
          <w:sz w:val="22"/>
          <w:szCs w:val="22"/>
        </w:rPr>
        <w:t xml:space="preserve"> </w:t>
      </w:r>
      <w:r w:rsidR="008F6EBB">
        <w:rPr>
          <w:rFonts w:asciiTheme="majorHAnsi" w:hAnsiTheme="majorHAnsi" w:cs="Arial"/>
          <w:sz w:val="22"/>
          <w:szCs w:val="22"/>
        </w:rPr>
        <w:t xml:space="preserve">efficacy of </w:t>
      </w:r>
      <w:r w:rsidR="00034AD2">
        <w:rPr>
          <w:rFonts w:asciiTheme="majorHAnsi" w:hAnsiTheme="majorHAnsi" w:cs="Arial"/>
          <w:sz w:val="22"/>
          <w:szCs w:val="22"/>
        </w:rPr>
        <w:t xml:space="preserve">the </w:t>
      </w:r>
      <w:r w:rsidR="003F7A81">
        <w:rPr>
          <w:rFonts w:asciiTheme="majorHAnsi" w:hAnsiTheme="majorHAnsi" w:cs="Arial"/>
          <w:sz w:val="22"/>
          <w:szCs w:val="22"/>
        </w:rPr>
        <w:t xml:space="preserve">support </w:t>
      </w:r>
      <w:r w:rsidR="00034AD2">
        <w:rPr>
          <w:rFonts w:asciiTheme="majorHAnsi" w:hAnsiTheme="majorHAnsi" w:cs="Arial"/>
          <w:sz w:val="22"/>
          <w:szCs w:val="22"/>
        </w:rPr>
        <w:t>they provide</w:t>
      </w:r>
      <w:r w:rsidR="00596EF6">
        <w:rPr>
          <w:rFonts w:asciiTheme="majorHAnsi" w:hAnsiTheme="majorHAnsi" w:cs="Arial"/>
          <w:sz w:val="22"/>
          <w:szCs w:val="22"/>
        </w:rPr>
        <w:t xml:space="preserve"> and to create the conditions for </w:t>
      </w:r>
      <w:r w:rsidR="00517880">
        <w:rPr>
          <w:rFonts w:asciiTheme="majorHAnsi" w:hAnsiTheme="majorHAnsi" w:cs="Arial"/>
          <w:sz w:val="22"/>
          <w:szCs w:val="22"/>
        </w:rPr>
        <w:t>survivors / victims</w:t>
      </w:r>
      <w:r w:rsidR="00596EF6">
        <w:rPr>
          <w:rFonts w:asciiTheme="majorHAnsi" w:hAnsiTheme="majorHAnsi" w:cs="Arial"/>
          <w:sz w:val="22"/>
          <w:szCs w:val="22"/>
        </w:rPr>
        <w:t xml:space="preserve"> to access justice</w:t>
      </w:r>
      <w:r w:rsidR="003F7A81">
        <w:rPr>
          <w:rFonts w:asciiTheme="majorHAnsi" w:hAnsiTheme="majorHAnsi" w:cs="Arial"/>
          <w:sz w:val="22"/>
          <w:szCs w:val="22"/>
        </w:rPr>
        <w:t>.</w:t>
      </w:r>
      <w:r w:rsidR="00034AD2">
        <w:rPr>
          <w:rFonts w:asciiTheme="majorHAnsi" w:hAnsiTheme="majorHAnsi" w:cs="Arial"/>
          <w:sz w:val="22"/>
          <w:szCs w:val="22"/>
        </w:rPr>
        <w:t xml:space="preserve"> </w:t>
      </w:r>
      <w:r w:rsidR="00596EF6">
        <w:rPr>
          <w:rFonts w:asciiTheme="majorHAnsi" w:hAnsiTheme="majorHAnsi" w:cs="Arial"/>
          <w:sz w:val="22"/>
          <w:szCs w:val="22"/>
        </w:rPr>
        <w:t xml:space="preserve">These </w:t>
      </w:r>
      <w:r w:rsidR="008C57E5" w:rsidRPr="00BD6C84">
        <w:rPr>
          <w:rFonts w:asciiTheme="majorHAnsi" w:hAnsiTheme="majorHAnsi" w:cs="Arial"/>
          <w:sz w:val="22"/>
          <w:szCs w:val="22"/>
        </w:rPr>
        <w:t xml:space="preserve">principles </w:t>
      </w:r>
      <w:r w:rsidR="003D6B8B" w:rsidRPr="008F6EBB">
        <w:rPr>
          <w:rFonts w:asciiTheme="majorHAnsi" w:hAnsiTheme="majorHAnsi" w:cs="Arial"/>
          <w:sz w:val="22"/>
          <w:szCs w:val="22"/>
        </w:rPr>
        <w:t>should underpin the delivery and coordination of all essential services responding to women an</w:t>
      </w:r>
      <w:r w:rsidR="00CF39EB">
        <w:rPr>
          <w:rFonts w:asciiTheme="majorHAnsi" w:hAnsiTheme="majorHAnsi" w:cs="Arial"/>
          <w:sz w:val="22"/>
          <w:szCs w:val="22"/>
        </w:rPr>
        <w:t xml:space="preserve">d children </w:t>
      </w:r>
      <w:r w:rsidR="00596EF6">
        <w:rPr>
          <w:rFonts w:asciiTheme="majorHAnsi" w:hAnsiTheme="majorHAnsi" w:cs="Arial"/>
          <w:sz w:val="22"/>
          <w:szCs w:val="22"/>
        </w:rPr>
        <w:t xml:space="preserve">subjected to </w:t>
      </w:r>
      <w:r w:rsidR="00CF39EB">
        <w:rPr>
          <w:rFonts w:asciiTheme="majorHAnsi" w:hAnsiTheme="majorHAnsi" w:cs="Arial"/>
          <w:sz w:val="22"/>
          <w:szCs w:val="22"/>
        </w:rPr>
        <w:t xml:space="preserve">violence. </w:t>
      </w:r>
    </w:p>
    <w:p w14:paraId="2795CFC8" w14:textId="77777777" w:rsidR="003D6B8B" w:rsidRPr="00E94541" w:rsidRDefault="003D6B8B" w:rsidP="003D6B8B">
      <w:pPr>
        <w:jc w:val="both"/>
        <w:rPr>
          <w:rFonts w:asciiTheme="majorHAnsi" w:hAnsiTheme="majorHAnsi" w:cs="Arial"/>
          <w:b/>
          <w:sz w:val="22"/>
          <w:szCs w:val="22"/>
        </w:rPr>
      </w:pPr>
    </w:p>
    <w:p w14:paraId="76D7D6F1" w14:textId="14AA8FA2" w:rsidR="008F6EBB" w:rsidRPr="00375E66" w:rsidRDefault="008F6EBB" w:rsidP="00375E66">
      <w:pPr>
        <w:pStyle w:val="Heading2"/>
        <w:numPr>
          <w:ilvl w:val="0"/>
          <w:numId w:val="6"/>
        </w:numPr>
        <w:rPr>
          <w:color w:val="7030A0"/>
        </w:rPr>
      </w:pPr>
      <w:r w:rsidRPr="00375E66">
        <w:rPr>
          <w:color w:val="7030A0"/>
        </w:rPr>
        <w:t>A rights-based approach</w:t>
      </w:r>
    </w:p>
    <w:p w14:paraId="6C72748F" w14:textId="3CA5BEC6" w:rsidR="008F6EBB" w:rsidRPr="00E94541" w:rsidRDefault="008F6EBB" w:rsidP="00012A91">
      <w:pPr>
        <w:jc w:val="both"/>
        <w:rPr>
          <w:rFonts w:asciiTheme="majorHAnsi" w:hAnsiTheme="majorHAnsi" w:cs="Arial"/>
          <w:sz w:val="22"/>
          <w:szCs w:val="22"/>
        </w:rPr>
      </w:pPr>
      <w:r w:rsidRPr="00BD6C84">
        <w:rPr>
          <w:rFonts w:asciiTheme="majorHAnsi" w:hAnsiTheme="majorHAnsi" w:cs="Arial"/>
          <w:sz w:val="22"/>
          <w:szCs w:val="22"/>
        </w:rPr>
        <w:t>A rights-based approach ensures that gender-based violence is recognised as a fundamental violation of human rights, which is systemic and both a cause and consequence of gender inequality and discrimination.</w:t>
      </w:r>
      <w:r w:rsidRPr="00912CFA">
        <w:rPr>
          <w:rFonts w:asciiTheme="majorHAnsi" w:hAnsiTheme="majorHAnsi" w:cs="Arial"/>
          <w:sz w:val="22"/>
          <w:szCs w:val="22"/>
        </w:rPr>
        <w:t xml:space="preserve"> </w:t>
      </w:r>
      <w:r w:rsidRPr="00BD6C84">
        <w:rPr>
          <w:rFonts w:asciiTheme="majorHAnsi" w:hAnsiTheme="majorHAnsi" w:cs="Arial"/>
          <w:sz w:val="22"/>
          <w:szCs w:val="22"/>
        </w:rPr>
        <w:t>It also acknowledges that this violence disproporti</w:t>
      </w:r>
      <w:r w:rsidR="00152107">
        <w:rPr>
          <w:rFonts w:asciiTheme="majorHAnsi" w:hAnsiTheme="majorHAnsi" w:cs="Arial"/>
          <w:sz w:val="22"/>
          <w:szCs w:val="22"/>
        </w:rPr>
        <w:t xml:space="preserve">onately impacts women, children, </w:t>
      </w:r>
      <w:r w:rsidRPr="00BD6C84">
        <w:rPr>
          <w:rFonts w:asciiTheme="majorHAnsi" w:hAnsiTheme="majorHAnsi" w:cs="Arial"/>
          <w:sz w:val="22"/>
          <w:szCs w:val="22"/>
        </w:rPr>
        <w:t xml:space="preserve">people with diverse </w:t>
      </w:r>
      <w:r w:rsidR="00763C07" w:rsidRPr="00BD6C84">
        <w:rPr>
          <w:rFonts w:asciiTheme="majorHAnsi" w:hAnsiTheme="majorHAnsi" w:cs="Arial"/>
          <w:sz w:val="22"/>
          <w:szCs w:val="22"/>
        </w:rPr>
        <w:t>sexual orientation</w:t>
      </w:r>
      <w:r w:rsidR="00152107">
        <w:rPr>
          <w:rFonts w:asciiTheme="majorHAnsi" w:hAnsiTheme="majorHAnsi" w:cs="Arial"/>
          <w:sz w:val="22"/>
          <w:szCs w:val="22"/>
        </w:rPr>
        <w:t xml:space="preserve">s and gender identities, </w:t>
      </w:r>
      <w:r w:rsidR="00B77CA8">
        <w:rPr>
          <w:rFonts w:asciiTheme="majorHAnsi" w:hAnsiTheme="majorHAnsi" w:cs="Arial"/>
          <w:sz w:val="22"/>
          <w:szCs w:val="22"/>
        </w:rPr>
        <w:t xml:space="preserve">people with disability </w:t>
      </w:r>
      <w:r w:rsidR="00152107">
        <w:rPr>
          <w:rFonts w:asciiTheme="majorHAnsi" w:hAnsiTheme="majorHAnsi" w:cs="Arial"/>
          <w:sz w:val="22"/>
          <w:szCs w:val="22"/>
        </w:rPr>
        <w:t>and</w:t>
      </w:r>
      <w:r w:rsidR="00F048DA">
        <w:rPr>
          <w:rFonts w:asciiTheme="majorHAnsi" w:hAnsiTheme="majorHAnsi" w:cs="Arial"/>
          <w:sz w:val="22"/>
          <w:szCs w:val="22"/>
        </w:rPr>
        <w:t xml:space="preserve"> women from culturally and linguistically diverse backgrounds</w:t>
      </w:r>
      <w:r w:rsidRPr="00BD6C84">
        <w:rPr>
          <w:rFonts w:asciiTheme="majorHAnsi" w:hAnsiTheme="majorHAnsi" w:cs="Arial"/>
          <w:sz w:val="22"/>
          <w:szCs w:val="22"/>
        </w:rPr>
        <w:t xml:space="preserve">. A rights based approach highlights that responses </w:t>
      </w:r>
      <w:r w:rsidR="00B77CA8">
        <w:rPr>
          <w:rFonts w:asciiTheme="majorHAnsi" w:hAnsiTheme="majorHAnsi" w:cs="Arial"/>
          <w:sz w:val="22"/>
          <w:szCs w:val="22"/>
        </w:rPr>
        <w:t xml:space="preserve">must </w:t>
      </w:r>
      <w:r w:rsidRPr="00BD6C84">
        <w:rPr>
          <w:rFonts w:asciiTheme="majorHAnsi" w:hAnsiTheme="majorHAnsi" w:cs="Arial"/>
          <w:sz w:val="22"/>
          <w:szCs w:val="22"/>
        </w:rPr>
        <w:t xml:space="preserve">not only address the impacts and trauma of violence, but must also deal with the root causes of gender </w:t>
      </w:r>
      <w:r w:rsidR="00BD6C84">
        <w:rPr>
          <w:rFonts w:asciiTheme="majorHAnsi" w:hAnsiTheme="majorHAnsi" w:cs="Arial"/>
          <w:sz w:val="22"/>
          <w:szCs w:val="22"/>
        </w:rPr>
        <w:t>in</w:t>
      </w:r>
      <w:r w:rsidRPr="00BD6C84">
        <w:rPr>
          <w:rFonts w:asciiTheme="majorHAnsi" w:hAnsiTheme="majorHAnsi" w:cs="Arial"/>
          <w:sz w:val="22"/>
          <w:szCs w:val="22"/>
        </w:rPr>
        <w:t xml:space="preserve">equality </w:t>
      </w:r>
      <w:r w:rsidR="00B77CA8">
        <w:rPr>
          <w:rFonts w:asciiTheme="majorHAnsi" w:hAnsiTheme="majorHAnsi" w:cs="Arial"/>
          <w:sz w:val="22"/>
          <w:szCs w:val="22"/>
        </w:rPr>
        <w:t xml:space="preserve">and other intersecting dimensions of inequality </w:t>
      </w:r>
      <w:r w:rsidRPr="00BD6C84">
        <w:rPr>
          <w:rFonts w:asciiTheme="majorHAnsi" w:hAnsiTheme="majorHAnsi" w:cs="Arial"/>
          <w:sz w:val="22"/>
          <w:szCs w:val="22"/>
        </w:rPr>
        <w:t>and work toward</w:t>
      </w:r>
      <w:r w:rsidR="00F048DA">
        <w:rPr>
          <w:rFonts w:asciiTheme="majorHAnsi" w:hAnsiTheme="majorHAnsi" w:cs="Arial"/>
          <w:sz w:val="22"/>
          <w:szCs w:val="22"/>
        </w:rPr>
        <w:t xml:space="preserve"> achieving</w:t>
      </w:r>
      <w:r w:rsidRPr="00BD6C84">
        <w:rPr>
          <w:rFonts w:asciiTheme="majorHAnsi" w:hAnsiTheme="majorHAnsi" w:cs="Arial"/>
          <w:sz w:val="22"/>
          <w:szCs w:val="22"/>
        </w:rPr>
        <w:t xml:space="preserve"> substantive equality</w:t>
      </w:r>
      <w:r w:rsidR="00B77CA8">
        <w:rPr>
          <w:rFonts w:asciiTheme="majorHAnsi" w:hAnsiTheme="majorHAnsi" w:cs="Arial"/>
          <w:sz w:val="22"/>
          <w:szCs w:val="22"/>
        </w:rPr>
        <w:t>, particularly</w:t>
      </w:r>
      <w:r w:rsidRPr="00BD6C84">
        <w:rPr>
          <w:rFonts w:asciiTheme="majorHAnsi" w:hAnsiTheme="majorHAnsi" w:cs="Arial"/>
          <w:sz w:val="22"/>
          <w:szCs w:val="22"/>
        </w:rPr>
        <w:t xml:space="preserve"> by promot</w:t>
      </w:r>
      <w:r w:rsidR="00B77CA8">
        <w:rPr>
          <w:rFonts w:asciiTheme="majorHAnsi" w:hAnsiTheme="majorHAnsi" w:cs="Arial"/>
          <w:sz w:val="22"/>
          <w:szCs w:val="22"/>
        </w:rPr>
        <w:t>ing</w:t>
      </w:r>
      <w:r w:rsidRPr="00BD6C84">
        <w:rPr>
          <w:rFonts w:asciiTheme="majorHAnsi" w:hAnsiTheme="majorHAnsi" w:cs="Arial"/>
          <w:sz w:val="22"/>
          <w:szCs w:val="22"/>
        </w:rPr>
        <w:t xml:space="preserve"> women’</w:t>
      </w:r>
      <w:r w:rsidR="00564914">
        <w:rPr>
          <w:rFonts w:asciiTheme="majorHAnsi" w:hAnsiTheme="majorHAnsi" w:cs="Arial"/>
          <w:sz w:val="22"/>
          <w:szCs w:val="22"/>
        </w:rPr>
        <w:t>s agency</w:t>
      </w:r>
      <w:r w:rsidR="00B77CA8">
        <w:rPr>
          <w:rFonts w:asciiTheme="majorHAnsi" w:hAnsiTheme="majorHAnsi" w:cs="Arial"/>
          <w:sz w:val="22"/>
          <w:szCs w:val="22"/>
        </w:rPr>
        <w:t xml:space="preserve"> and</w:t>
      </w:r>
      <w:r w:rsidR="00564914">
        <w:rPr>
          <w:rFonts w:asciiTheme="majorHAnsi" w:hAnsiTheme="majorHAnsi" w:cs="Arial"/>
          <w:sz w:val="22"/>
          <w:szCs w:val="22"/>
        </w:rPr>
        <w:t xml:space="preserve"> empowerment and </w:t>
      </w:r>
      <w:r w:rsidR="00B77CA8">
        <w:rPr>
          <w:rFonts w:asciiTheme="majorHAnsi" w:hAnsiTheme="majorHAnsi" w:cs="Arial"/>
          <w:sz w:val="22"/>
          <w:szCs w:val="22"/>
        </w:rPr>
        <w:t xml:space="preserve">women’s capacity to meet their </w:t>
      </w:r>
      <w:r w:rsidR="00564914">
        <w:rPr>
          <w:rFonts w:asciiTheme="majorHAnsi" w:hAnsiTheme="majorHAnsi" w:cs="Arial"/>
          <w:sz w:val="22"/>
          <w:szCs w:val="22"/>
        </w:rPr>
        <w:t>needs</w:t>
      </w:r>
      <w:r w:rsidRPr="00BD6C84">
        <w:rPr>
          <w:rStyle w:val="FootnoteReference"/>
          <w:rFonts w:asciiTheme="majorHAnsi" w:hAnsiTheme="majorHAnsi" w:cs="Arial"/>
          <w:sz w:val="22"/>
          <w:szCs w:val="22"/>
        </w:rPr>
        <w:footnoteReference w:id="5"/>
      </w:r>
      <w:r w:rsidR="00564914">
        <w:rPr>
          <w:rFonts w:asciiTheme="majorHAnsi" w:hAnsiTheme="majorHAnsi" w:cs="Arial"/>
          <w:sz w:val="22"/>
          <w:szCs w:val="22"/>
        </w:rPr>
        <w:t>.</w:t>
      </w:r>
    </w:p>
    <w:p w14:paraId="01384B6A" w14:textId="6A5A18E4" w:rsidR="008F6EBB" w:rsidRPr="00E94541" w:rsidRDefault="008F6EBB" w:rsidP="00012A91">
      <w:pPr>
        <w:jc w:val="both"/>
        <w:rPr>
          <w:rFonts w:asciiTheme="majorHAnsi" w:hAnsiTheme="majorHAnsi" w:cs="Arial"/>
          <w:sz w:val="22"/>
          <w:szCs w:val="22"/>
        </w:rPr>
      </w:pPr>
    </w:p>
    <w:p w14:paraId="1A682DF5" w14:textId="2EB55FC2" w:rsidR="008F6EBB" w:rsidRDefault="004C1D96" w:rsidP="00012A91">
      <w:pPr>
        <w:jc w:val="both"/>
        <w:rPr>
          <w:rFonts w:asciiTheme="majorHAnsi" w:hAnsiTheme="majorHAnsi" w:cs="Arial"/>
          <w:sz w:val="22"/>
          <w:szCs w:val="22"/>
          <w:lang w:val="en-US"/>
        </w:rPr>
      </w:pPr>
      <w:r>
        <w:rPr>
          <w:rFonts w:asciiTheme="majorHAnsi" w:hAnsiTheme="majorHAnsi" w:cs="Arial"/>
          <w:sz w:val="22"/>
          <w:szCs w:val="22"/>
        </w:rPr>
        <w:t>On</w:t>
      </w:r>
      <w:r w:rsidR="00517880">
        <w:rPr>
          <w:rFonts w:asciiTheme="majorHAnsi" w:hAnsiTheme="majorHAnsi" w:cs="Arial"/>
          <w:sz w:val="22"/>
          <w:szCs w:val="22"/>
        </w:rPr>
        <w:t xml:space="preserve"> the</w:t>
      </w:r>
      <w:r>
        <w:rPr>
          <w:rFonts w:asciiTheme="majorHAnsi" w:hAnsiTheme="majorHAnsi" w:cs="Arial"/>
          <w:sz w:val="22"/>
          <w:szCs w:val="22"/>
        </w:rPr>
        <w:t xml:space="preserve"> one hand, a rights-based approach </w:t>
      </w:r>
      <w:r w:rsidR="008F6EBB" w:rsidRPr="00E94541">
        <w:rPr>
          <w:rFonts w:asciiTheme="majorHAnsi" w:hAnsiTheme="majorHAnsi" w:cs="Arial"/>
          <w:sz w:val="22"/>
          <w:szCs w:val="22"/>
        </w:rPr>
        <w:t>recognises that governments have an obligation to protect, promote and fulfil women and children’s rights.</w:t>
      </w:r>
      <w:r>
        <w:rPr>
          <w:rFonts w:asciiTheme="majorHAnsi" w:hAnsiTheme="majorHAnsi" w:cs="Arial"/>
          <w:sz w:val="22"/>
          <w:szCs w:val="22"/>
        </w:rPr>
        <w:t xml:space="preserve"> On the other hand,</w:t>
      </w:r>
      <w:r w:rsidR="008F6EBB" w:rsidRPr="00E94541">
        <w:rPr>
          <w:rFonts w:asciiTheme="majorHAnsi" w:hAnsiTheme="majorHAnsi" w:cs="Arial"/>
          <w:sz w:val="22"/>
          <w:szCs w:val="22"/>
        </w:rPr>
        <w:t xml:space="preserve"> </w:t>
      </w:r>
      <w:r w:rsidR="00B77CA8">
        <w:rPr>
          <w:rFonts w:asciiTheme="majorHAnsi" w:hAnsiTheme="majorHAnsi" w:cs="Arial"/>
          <w:sz w:val="22"/>
          <w:szCs w:val="22"/>
          <w:lang w:val="en-US"/>
        </w:rPr>
        <w:t>this approach</w:t>
      </w:r>
      <w:r w:rsidR="00B77CA8" w:rsidRPr="00E94541">
        <w:rPr>
          <w:rFonts w:asciiTheme="majorHAnsi" w:hAnsiTheme="majorHAnsi" w:cs="Arial"/>
          <w:sz w:val="22"/>
          <w:szCs w:val="22"/>
          <w:lang w:val="en-US"/>
        </w:rPr>
        <w:t xml:space="preserve"> </w:t>
      </w:r>
      <w:r w:rsidR="008F6EBB" w:rsidRPr="00E94541">
        <w:rPr>
          <w:rFonts w:asciiTheme="majorHAnsi" w:hAnsiTheme="majorHAnsi" w:cs="Arial"/>
          <w:sz w:val="22"/>
          <w:szCs w:val="22"/>
          <w:lang w:val="en-US"/>
        </w:rPr>
        <w:t xml:space="preserve">requires </w:t>
      </w:r>
      <w:r w:rsidR="00B77CA8">
        <w:rPr>
          <w:rFonts w:asciiTheme="majorHAnsi" w:hAnsiTheme="majorHAnsi" w:cs="Arial"/>
          <w:sz w:val="22"/>
          <w:szCs w:val="22"/>
          <w:lang w:val="en-US"/>
        </w:rPr>
        <w:t xml:space="preserve">services to </w:t>
      </w:r>
      <w:r w:rsidR="008F6EBB" w:rsidRPr="00E94541">
        <w:rPr>
          <w:rFonts w:asciiTheme="majorHAnsi" w:hAnsiTheme="majorHAnsi" w:cs="Arial"/>
          <w:sz w:val="22"/>
          <w:szCs w:val="22"/>
          <w:lang w:val="en-US"/>
        </w:rPr>
        <w:t xml:space="preserve">develop the capacity of </w:t>
      </w:r>
      <w:r w:rsidR="00BD6C84">
        <w:rPr>
          <w:rFonts w:asciiTheme="majorHAnsi" w:hAnsiTheme="majorHAnsi" w:cs="Arial"/>
          <w:sz w:val="22"/>
          <w:szCs w:val="22"/>
          <w:lang w:val="en-US"/>
        </w:rPr>
        <w:t xml:space="preserve">women as </w:t>
      </w:r>
      <w:r w:rsidR="008F6EBB" w:rsidRPr="00E94541">
        <w:rPr>
          <w:rFonts w:asciiTheme="majorHAnsi" w:hAnsiTheme="majorHAnsi" w:cs="Arial"/>
          <w:sz w:val="22"/>
          <w:szCs w:val="22"/>
          <w:lang w:val="en-US"/>
        </w:rPr>
        <w:t>“right holders” to play an active</w:t>
      </w:r>
      <w:r w:rsidR="00E634CD">
        <w:rPr>
          <w:rFonts w:asciiTheme="majorHAnsi" w:hAnsiTheme="majorHAnsi" w:cs="Arial"/>
          <w:sz w:val="22"/>
          <w:szCs w:val="22"/>
          <w:lang w:val="en-US"/>
        </w:rPr>
        <w:t xml:space="preserve"> </w:t>
      </w:r>
      <w:r w:rsidR="008F6EBB" w:rsidRPr="00E94541">
        <w:rPr>
          <w:rFonts w:asciiTheme="majorHAnsi" w:hAnsiTheme="majorHAnsi" w:cs="Arial"/>
          <w:sz w:val="22"/>
          <w:szCs w:val="22"/>
          <w:lang w:val="en-US"/>
        </w:rPr>
        <w:t xml:space="preserve">role in </w:t>
      </w:r>
      <w:r w:rsidR="00B77CA8">
        <w:rPr>
          <w:rFonts w:asciiTheme="majorHAnsi" w:hAnsiTheme="majorHAnsi" w:cs="Arial"/>
          <w:sz w:val="22"/>
          <w:szCs w:val="22"/>
          <w:lang w:val="en-US"/>
        </w:rPr>
        <w:t xml:space="preserve">accessing and benefiting from </w:t>
      </w:r>
      <w:r w:rsidR="008F6EBB" w:rsidRPr="00E94541">
        <w:rPr>
          <w:rFonts w:asciiTheme="majorHAnsi" w:hAnsiTheme="majorHAnsi" w:cs="Arial"/>
          <w:sz w:val="22"/>
          <w:szCs w:val="22"/>
          <w:lang w:val="en-US"/>
        </w:rPr>
        <w:t>the rights in which they are entitled. This includes ensuring the creation of avenues for survivors / victims to have their voices heard</w:t>
      </w:r>
      <w:r w:rsidR="00152107">
        <w:rPr>
          <w:rFonts w:asciiTheme="majorHAnsi" w:hAnsiTheme="majorHAnsi" w:cs="Arial"/>
          <w:sz w:val="22"/>
          <w:szCs w:val="22"/>
          <w:lang w:val="en-US"/>
        </w:rPr>
        <w:t>.</w:t>
      </w:r>
      <w:r w:rsidR="008F6EBB" w:rsidRPr="00E94541">
        <w:rPr>
          <w:rStyle w:val="FootnoteReference"/>
          <w:rFonts w:asciiTheme="majorHAnsi" w:hAnsiTheme="majorHAnsi" w:cs="Arial"/>
          <w:sz w:val="22"/>
          <w:szCs w:val="22"/>
          <w:lang w:val="en-US"/>
        </w:rPr>
        <w:footnoteReference w:id="6"/>
      </w:r>
      <w:r w:rsidR="008F6EBB" w:rsidRPr="00E94541">
        <w:rPr>
          <w:rFonts w:asciiTheme="majorHAnsi" w:hAnsiTheme="majorHAnsi" w:cs="Arial"/>
          <w:sz w:val="22"/>
          <w:szCs w:val="22"/>
          <w:lang w:val="en-US"/>
        </w:rPr>
        <w:t xml:space="preserve"> </w:t>
      </w:r>
    </w:p>
    <w:p w14:paraId="389C799F" w14:textId="2A43C7CE" w:rsidR="008F6EBB" w:rsidRPr="00375E66" w:rsidRDefault="008F6EBB" w:rsidP="00375E66">
      <w:pPr>
        <w:pStyle w:val="Heading2"/>
        <w:numPr>
          <w:ilvl w:val="0"/>
          <w:numId w:val="6"/>
        </w:numPr>
        <w:rPr>
          <w:color w:val="7030A0"/>
          <w:lang w:val="en-US"/>
        </w:rPr>
      </w:pPr>
      <w:r w:rsidRPr="00375E66">
        <w:rPr>
          <w:color w:val="7030A0"/>
        </w:rPr>
        <w:t>Advancing gender equality and women’s empowerment</w:t>
      </w:r>
    </w:p>
    <w:p w14:paraId="4834C935" w14:textId="29990CC6" w:rsidR="008F6EBB" w:rsidRDefault="00B77CA8" w:rsidP="00EA67B7">
      <w:pPr>
        <w:jc w:val="both"/>
        <w:rPr>
          <w:rFonts w:asciiTheme="majorHAnsi" w:hAnsiTheme="majorHAnsi" w:cs="Arial"/>
          <w:sz w:val="22"/>
          <w:szCs w:val="22"/>
        </w:rPr>
      </w:pPr>
      <w:r>
        <w:rPr>
          <w:rFonts w:asciiTheme="majorHAnsi" w:hAnsiTheme="majorHAnsi" w:cs="Arial"/>
          <w:sz w:val="22"/>
          <w:szCs w:val="22"/>
          <w:lang w:val="en-US"/>
        </w:rPr>
        <w:t xml:space="preserve">As well as </w:t>
      </w:r>
      <w:r w:rsidR="00E634CD">
        <w:rPr>
          <w:rFonts w:asciiTheme="majorHAnsi" w:hAnsiTheme="majorHAnsi" w:cs="Arial"/>
          <w:sz w:val="22"/>
          <w:szCs w:val="22"/>
          <w:lang w:val="en-US"/>
        </w:rPr>
        <w:t xml:space="preserve">putting in practice a gendered </w:t>
      </w:r>
      <w:r w:rsidR="00BD6C84">
        <w:rPr>
          <w:rFonts w:asciiTheme="majorHAnsi" w:hAnsiTheme="majorHAnsi" w:cs="Arial"/>
          <w:sz w:val="22"/>
          <w:szCs w:val="22"/>
          <w:lang w:val="en-US"/>
        </w:rPr>
        <w:t>understanding of</w:t>
      </w:r>
      <w:r w:rsidR="00E634CD">
        <w:rPr>
          <w:rFonts w:asciiTheme="majorHAnsi" w:hAnsiTheme="majorHAnsi" w:cs="Arial"/>
          <w:sz w:val="22"/>
          <w:szCs w:val="22"/>
          <w:lang w:val="en-US"/>
        </w:rPr>
        <w:t xml:space="preserve"> violence, specialist women’s services aim to</w:t>
      </w:r>
      <w:r w:rsidR="008F6EBB" w:rsidRPr="008F6EBB">
        <w:rPr>
          <w:rFonts w:asciiTheme="majorHAnsi" w:hAnsiTheme="majorHAnsi" w:cs="Arial"/>
          <w:sz w:val="22"/>
          <w:szCs w:val="22"/>
        </w:rPr>
        <w:t xml:space="preserve"> </w:t>
      </w:r>
      <w:r w:rsidR="008F6EBB" w:rsidRPr="00AA2876">
        <w:rPr>
          <w:rFonts w:asciiTheme="majorHAnsi" w:hAnsiTheme="majorHAnsi" w:cs="Arial"/>
          <w:sz w:val="22"/>
          <w:szCs w:val="22"/>
        </w:rPr>
        <w:t xml:space="preserve">redress the </w:t>
      </w:r>
      <w:r w:rsidR="004C1D96" w:rsidRPr="008F6EBB">
        <w:rPr>
          <w:rFonts w:asciiTheme="majorHAnsi" w:hAnsiTheme="majorHAnsi" w:cs="Arial"/>
          <w:sz w:val="22"/>
          <w:szCs w:val="22"/>
        </w:rPr>
        <w:t>underlying</w:t>
      </w:r>
      <w:r w:rsidR="004C1D96">
        <w:t xml:space="preserve"> </w:t>
      </w:r>
      <w:r w:rsidR="008F6EBB" w:rsidRPr="008F6EBB">
        <w:rPr>
          <w:rFonts w:asciiTheme="majorHAnsi" w:hAnsiTheme="majorHAnsi" w:cs="Arial"/>
          <w:sz w:val="22"/>
          <w:szCs w:val="22"/>
        </w:rPr>
        <w:t xml:space="preserve">inequalities and </w:t>
      </w:r>
      <w:r w:rsidR="008F6EBB" w:rsidRPr="00AA2876">
        <w:rPr>
          <w:rFonts w:asciiTheme="majorHAnsi" w:hAnsiTheme="majorHAnsi" w:cs="Arial"/>
          <w:sz w:val="22"/>
          <w:szCs w:val="22"/>
        </w:rPr>
        <w:t>power imbalances</w:t>
      </w:r>
      <w:r w:rsidR="008F6EBB" w:rsidRPr="008F6EBB">
        <w:rPr>
          <w:rFonts w:asciiTheme="majorHAnsi" w:hAnsiTheme="majorHAnsi" w:cs="Arial"/>
          <w:sz w:val="22"/>
          <w:szCs w:val="22"/>
        </w:rPr>
        <w:t xml:space="preserve"> </w:t>
      </w:r>
      <w:r>
        <w:rPr>
          <w:rFonts w:asciiTheme="majorHAnsi" w:hAnsiTheme="majorHAnsi" w:cs="Arial"/>
          <w:sz w:val="22"/>
          <w:szCs w:val="22"/>
        </w:rPr>
        <w:t xml:space="preserve">that </w:t>
      </w:r>
      <w:r w:rsidR="008F6EBB" w:rsidRPr="008F6EBB">
        <w:rPr>
          <w:rFonts w:asciiTheme="majorHAnsi" w:hAnsiTheme="majorHAnsi" w:cs="Arial"/>
          <w:sz w:val="22"/>
          <w:szCs w:val="22"/>
        </w:rPr>
        <w:t xml:space="preserve">women encounter in day-to-day life. </w:t>
      </w:r>
      <w:r w:rsidR="00EE45E8">
        <w:rPr>
          <w:rFonts w:asciiTheme="majorHAnsi" w:hAnsiTheme="majorHAnsi" w:cs="Arial"/>
          <w:sz w:val="22"/>
          <w:szCs w:val="22"/>
        </w:rPr>
        <w:t xml:space="preserve">Empowerment is promoted not just as an individual process but as a collective effort towards social change. </w:t>
      </w:r>
      <w:r w:rsidR="00D9476A">
        <w:rPr>
          <w:rFonts w:asciiTheme="majorHAnsi" w:hAnsiTheme="majorHAnsi" w:cs="Arial"/>
          <w:sz w:val="22"/>
          <w:szCs w:val="22"/>
        </w:rPr>
        <w:t xml:space="preserve">Positioning </w:t>
      </w:r>
      <w:r w:rsidR="00152107">
        <w:rPr>
          <w:rFonts w:asciiTheme="majorHAnsi" w:hAnsiTheme="majorHAnsi" w:cs="Arial"/>
          <w:sz w:val="22"/>
          <w:szCs w:val="22"/>
        </w:rPr>
        <w:t>survivors / victims as active participants</w:t>
      </w:r>
      <w:r w:rsidR="00564914" w:rsidRPr="00564914">
        <w:rPr>
          <w:rStyle w:val="FootnoteReference"/>
          <w:rFonts w:asciiTheme="majorHAnsi" w:hAnsiTheme="majorHAnsi" w:cs="Arial"/>
          <w:sz w:val="22"/>
          <w:szCs w:val="22"/>
        </w:rPr>
        <w:footnoteReference w:id="7"/>
      </w:r>
      <w:r w:rsidR="00152107">
        <w:rPr>
          <w:rFonts w:asciiTheme="majorHAnsi" w:hAnsiTheme="majorHAnsi" w:cs="Arial"/>
          <w:sz w:val="22"/>
          <w:szCs w:val="22"/>
        </w:rPr>
        <w:t>, e</w:t>
      </w:r>
      <w:r w:rsidR="008F6EBB" w:rsidRPr="008F6EBB">
        <w:rPr>
          <w:rFonts w:asciiTheme="majorHAnsi" w:hAnsiTheme="majorHAnsi" w:cs="Arial"/>
          <w:sz w:val="22"/>
          <w:szCs w:val="22"/>
        </w:rPr>
        <w:t xml:space="preserve">mpowerment methods work to recognise, respect and promote women’s agency </w:t>
      </w:r>
      <w:r w:rsidR="00D9476A">
        <w:rPr>
          <w:rFonts w:asciiTheme="majorHAnsi" w:hAnsiTheme="majorHAnsi" w:cs="Arial"/>
          <w:sz w:val="22"/>
          <w:szCs w:val="22"/>
        </w:rPr>
        <w:t xml:space="preserve">and support women </w:t>
      </w:r>
      <w:r w:rsidR="008F6EBB" w:rsidRPr="008F6EBB">
        <w:rPr>
          <w:rFonts w:asciiTheme="majorHAnsi" w:hAnsiTheme="majorHAnsi" w:cs="Arial"/>
          <w:sz w:val="22"/>
          <w:szCs w:val="22"/>
        </w:rPr>
        <w:t xml:space="preserve">to consider their own interests, obligations and risks when making decisions - </w:t>
      </w:r>
      <w:r w:rsidR="008F6EBB" w:rsidRPr="00AA2876">
        <w:rPr>
          <w:rFonts w:asciiTheme="majorHAnsi" w:hAnsiTheme="majorHAnsi" w:cs="Arial"/>
          <w:sz w:val="22"/>
          <w:szCs w:val="22"/>
        </w:rPr>
        <w:t xml:space="preserve">including </w:t>
      </w:r>
      <w:r w:rsidR="00D9476A">
        <w:rPr>
          <w:rFonts w:asciiTheme="majorHAnsi" w:hAnsiTheme="majorHAnsi" w:cs="Arial"/>
          <w:sz w:val="22"/>
          <w:szCs w:val="22"/>
        </w:rPr>
        <w:t xml:space="preserve">situations where a woman might decide not to use available </w:t>
      </w:r>
      <w:r w:rsidR="008F6EBB" w:rsidRPr="00AA2876">
        <w:rPr>
          <w:rFonts w:asciiTheme="majorHAnsi" w:hAnsiTheme="majorHAnsi" w:cs="Arial"/>
          <w:sz w:val="22"/>
          <w:szCs w:val="22"/>
        </w:rPr>
        <w:t>services</w:t>
      </w:r>
      <w:r w:rsidR="008F6EBB" w:rsidRPr="00E94541">
        <w:rPr>
          <w:rFonts w:asciiTheme="majorHAnsi" w:hAnsiTheme="majorHAnsi" w:cs="Arial"/>
          <w:sz w:val="22"/>
          <w:szCs w:val="22"/>
        </w:rPr>
        <w:t xml:space="preserve">. </w:t>
      </w:r>
      <w:r w:rsidR="008F6EBB">
        <w:rPr>
          <w:rFonts w:asciiTheme="majorHAnsi" w:hAnsiTheme="majorHAnsi" w:cs="Arial"/>
          <w:sz w:val="22"/>
          <w:szCs w:val="22"/>
        </w:rPr>
        <w:t>By placing women’s interests first, providing them with information and education as well as social and economic support, survivor</w:t>
      </w:r>
      <w:r w:rsidR="00E634CD">
        <w:rPr>
          <w:rFonts w:asciiTheme="majorHAnsi" w:hAnsiTheme="majorHAnsi" w:cs="Arial"/>
          <w:sz w:val="22"/>
          <w:szCs w:val="22"/>
        </w:rPr>
        <w:t>s</w:t>
      </w:r>
      <w:r w:rsidR="008F6EBB">
        <w:rPr>
          <w:rFonts w:asciiTheme="majorHAnsi" w:hAnsiTheme="majorHAnsi" w:cs="Arial"/>
          <w:sz w:val="22"/>
          <w:szCs w:val="22"/>
        </w:rPr>
        <w:t xml:space="preserve"> / victims are able to make informed decisions and choices, </w:t>
      </w:r>
      <w:r w:rsidR="00D9476A">
        <w:rPr>
          <w:rFonts w:asciiTheme="majorHAnsi" w:hAnsiTheme="majorHAnsi" w:cs="Arial"/>
          <w:sz w:val="22"/>
          <w:szCs w:val="22"/>
        </w:rPr>
        <w:t xml:space="preserve">making them less likely </w:t>
      </w:r>
      <w:r w:rsidR="008F6EBB">
        <w:rPr>
          <w:rFonts w:asciiTheme="majorHAnsi" w:hAnsiTheme="majorHAnsi" w:cs="Arial"/>
          <w:sz w:val="22"/>
          <w:szCs w:val="22"/>
        </w:rPr>
        <w:t xml:space="preserve">to return to </w:t>
      </w:r>
      <w:r w:rsidR="00D9476A">
        <w:rPr>
          <w:rFonts w:asciiTheme="majorHAnsi" w:hAnsiTheme="majorHAnsi" w:cs="Arial"/>
          <w:sz w:val="22"/>
          <w:szCs w:val="22"/>
        </w:rPr>
        <w:t xml:space="preserve">their </w:t>
      </w:r>
      <w:r w:rsidR="008F6EBB">
        <w:rPr>
          <w:rFonts w:asciiTheme="majorHAnsi" w:hAnsiTheme="majorHAnsi" w:cs="Arial"/>
          <w:sz w:val="22"/>
          <w:szCs w:val="22"/>
        </w:rPr>
        <w:t xml:space="preserve">abuser </w:t>
      </w:r>
      <w:r w:rsidR="00D9476A">
        <w:rPr>
          <w:rFonts w:asciiTheme="majorHAnsi" w:hAnsiTheme="majorHAnsi" w:cs="Arial"/>
          <w:sz w:val="22"/>
          <w:szCs w:val="22"/>
        </w:rPr>
        <w:t xml:space="preserve">and more likely to </w:t>
      </w:r>
      <w:r w:rsidR="008F6EBB">
        <w:rPr>
          <w:rFonts w:asciiTheme="majorHAnsi" w:hAnsiTheme="majorHAnsi" w:cs="Arial"/>
          <w:sz w:val="22"/>
          <w:szCs w:val="22"/>
        </w:rPr>
        <w:t xml:space="preserve">seek help in </w:t>
      </w:r>
      <w:r w:rsidR="00D9476A">
        <w:rPr>
          <w:rFonts w:asciiTheme="majorHAnsi" w:hAnsiTheme="majorHAnsi" w:cs="Arial"/>
          <w:sz w:val="22"/>
          <w:szCs w:val="22"/>
        </w:rPr>
        <w:t xml:space="preserve">the </w:t>
      </w:r>
      <w:r w:rsidR="008F6EBB">
        <w:rPr>
          <w:rFonts w:asciiTheme="majorHAnsi" w:hAnsiTheme="majorHAnsi" w:cs="Arial"/>
          <w:sz w:val="22"/>
          <w:szCs w:val="22"/>
        </w:rPr>
        <w:t>future if needed</w:t>
      </w:r>
      <w:r w:rsidR="00D9476A">
        <w:rPr>
          <w:rFonts w:asciiTheme="majorHAnsi" w:hAnsiTheme="majorHAnsi" w:cs="Arial"/>
          <w:sz w:val="22"/>
          <w:szCs w:val="22"/>
        </w:rPr>
        <w:t>.</w:t>
      </w:r>
      <w:r w:rsidR="008F6EBB" w:rsidRPr="00E94541">
        <w:rPr>
          <w:rStyle w:val="FootnoteReference"/>
          <w:rFonts w:asciiTheme="majorHAnsi" w:hAnsiTheme="majorHAnsi" w:cs="Arial"/>
          <w:sz w:val="22"/>
          <w:szCs w:val="22"/>
        </w:rPr>
        <w:footnoteReference w:id="8"/>
      </w:r>
      <w:r w:rsidR="008F6EBB">
        <w:rPr>
          <w:rFonts w:asciiTheme="majorHAnsi" w:hAnsiTheme="majorHAnsi" w:cs="Arial"/>
          <w:sz w:val="22"/>
          <w:szCs w:val="22"/>
        </w:rPr>
        <w:t xml:space="preserve"> </w:t>
      </w:r>
    </w:p>
    <w:p w14:paraId="29030C0B" w14:textId="69A1EDF7" w:rsidR="008F6EBB" w:rsidRPr="001C089D" w:rsidRDefault="00D001D1" w:rsidP="00375E66">
      <w:pPr>
        <w:pStyle w:val="Heading2"/>
        <w:numPr>
          <w:ilvl w:val="0"/>
          <w:numId w:val="6"/>
        </w:numPr>
        <w:rPr>
          <w:color w:val="7030A0"/>
        </w:rPr>
      </w:pPr>
      <w:r w:rsidRPr="001C089D">
        <w:rPr>
          <w:color w:val="7030A0"/>
        </w:rPr>
        <w:t>A c</w:t>
      </w:r>
      <w:r w:rsidR="008F6EBB" w:rsidRPr="001C089D">
        <w:rPr>
          <w:color w:val="7030A0"/>
        </w:rPr>
        <w:t xml:space="preserve">lient-centred approach </w:t>
      </w:r>
    </w:p>
    <w:p w14:paraId="7CD93A6E" w14:textId="1CCCF1C0" w:rsidR="008F6EBB" w:rsidRPr="00E94541" w:rsidRDefault="008F6EBB" w:rsidP="00012A91">
      <w:pPr>
        <w:jc w:val="both"/>
        <w:rPr>
          <w:rFonts w:asciiTheme="majorHAnsi" w:hAnsiTheme="majorHAnsi" w:cs="Arial"/>
          <w:sz w:val="22"/>
          <w:szCs w:val="22"/>
        </w:rPr>
      </w:pPr>
      <w:r w:rsidRPr="001C089D">
        <w:rPr>
          <w:rFonts w:asciiTheme="majorHAnsi" w:hAnsiTheme="majorHAnsi" w:cs="Arial"/>
          <w:sz w:val="22"/>
          <w:szCs w:val="22"/>
        </w:rPr>
        <w:t xml:space="preserve">A </w:t>
      </w:r>
      <w:r w:rsidR="00D9476A" w:rsidRPr="001C089D">
        <w:rPr>
          <w:rFonts w:asciiTheme="majorHAnsi" w:hAnsiTheme="majorHAnsi" w:cs="Arial"/>
          <w:sz w:val="22"/>
          <w:szCs w:val="22"/>
        </w:rPr>
        <w:t>client</w:t>
      </w:r>
      <w:r w:rsidRPr="001C089D">
        <w:rPr>
          <w:rFonts w:asciiTheme="majorHAnsi" w:hAnsiTheme="majorHAnsi" w:cs="Arial"/>
          <w:sz w:val="22"/>
          <w:szCs w:val="22"/>
        </w:rPr>
        <w:t>-centred approach</w:t>
      </w:r>
      <w:r w:rsidR="001B77D4">
        <w:rPr>
          <w:rFonts w:asciiTheme="majorHAnsi" w:hAnsiTheme="majorHAnsi" w:cs="Arial"/>
          <w:sz w:val="22"/>
          <w:szCs w:val="22"/>
        </w:rPr>
        <w:t xml:space="preserve"> </w:t>
      </w:r>
      <w:r w:rsidR="00200985">
        <w:rPr>
          <w:rFonts w:asciiTheme="majorHAnsi" w:hAnsiTheme="majorHAnsi" w:cs="Arial"/>
          <w:sz w:val="22"/>
          <w:szCs w:val="22"/>
        </w:rPr>
        <w:t xml:space="preserve">works to </w:t>
      </w:r>
      <w:r w:rsidRPr="00BD6C84">
        <w:rPr>
          <w:rFonts w:asciiTheme="majorHAnsi" w:hAnsiTheme="majorHAnsi" w:cs="Arial"/>
          <w:sz w:val="22"/>
          <w:szCs w:val="22"/>
        </w:rPr>
        <w:t>ensure that specific attention is applied to individual women’s and children’s safety, confidentiality and well-being throughout all functions of a service</w:t>
      </w:r>
      <w:r w:rsidR="00564914">
        <w:rPr>
          <w:rFonts w:asciiTheme="majorHAnsi" w:hAnsiTheme="majorHAnsi" w:cs="Arial"/>
          <w:sz w:val="22"/>
          <w:szCs w:val="22"/>
        </w:rPr>
        <w:t>.</w:t>
      </w:r>
      <w:r w:rsidRPr="00BD6C84">
        <w:rPr>
          <w:rFonts w:asciiTheme="majorHAnsi" w:hAnsiTheme="majorHAnsi" w:cs="Arial"/>
          <w:sz w:val="22"/>
          <w:szCs w:val="22"/>
        </w:rPr>
        <w:t xml:space="preserve"> </w:t>
      </w:r>
      <w:r w:rsidR="00564914">
        <w:rPr>
          <w:rFonts w:asciiTheme="majorHAnsi" w:hAnsiTheme="majorHAnsi" w:cs="Arial"/>
          <w:sz w:val="22"/>
          <w:szCs w:val="22"/>
        </w:rPr>
        <w:t>S</w:t>
      </w:r>
      <w:r w:rsidRPr="00BD6C84">
        <w:rPr>
          <w:rFonts w:asciiTheme="majorHAnsi" w:hAnsiTheme="majorHAnsi" w:cs="Arial"/>
          <w:sz w:val="22"/>
          <w:szCs w:val="22"/>
        </w:rPr>
        <w:t xml:space="preserve">pecialist staff </w:t>
      </w:r>
      <w:r w:rsidR="00200985">
        <w:rPr>
          <w:rFonts w:asciiTheme="majorHAnsi" w:hAnsiTheme="majorHAnsi" w:cs="Arial"/>
          <w:sz w:val="22"/>
          <w:szCs w:val="22"/>
        </w:rPr>
        <w:t xml:space="preserve">are </w:t>
      </w:r>
      <w:r w:rsidR="00564914">
        <w:rPr>
          <w:rFonts w:asciiTheme="majorHAnsi" w:hAnsiTheme="majorHAnsi" w:cs="Arial"/>
          <w:sz w:val="22"/>
          <w:szCs w:val="22"/>
        </w:rPr>
        <w:t>trained to</w:t>
      </w:r>
      <w:r w:rsidRPr="00BD6C84">
        <w:rPr>
          <w:rFonts w:asciiTheme="majorHAnsi" w:hAnsiTheme="majorHAnsi" w:cs="Arial"/>
          <w:sz w:val="22"/>
          <w:szCs w:val="22"/>
          <w:lang w:val="en-US"/>
        </w:rPr>
        <w:t xml:space="preserve"> </w:t>
      </w:r>
      <w:r w:rsidRPr="00BD6C84">
        <w:rPr>
          <w:rFonts w:asciiTheme="majorHAnsi" w:hAnsiTheme="majorHAnsi" w:cs="Arial"/>
          <w:sz w:val="22"/>
          <w:szCs w:val="22"/>
        </w:rPr>
        <w:t xml:space="preserve">understand </w:t>
      </w:r>
      <w:r w:rsidR="00200985">
        <w:rPr>
          <w:rFonts w:asciiTheme="majorHAnsi" w:hAnsiTheme="majorHAnsi" w:cs="Arial"/>
          <w:sz w:val="22"/>
          <w:szCs w:val="22"/>
        </w:rPr>
        <w:t xml:space="preserve">trauma and address </w:t>
      </w:r>
      <w:r w:rsidRPr="00BD6C84">
        <w:rPr>
          <w:rFonts w:asciiTheme="majorHAnsi" w:hAnsiTheme="majorHAnsi" w:cs="Arial"/>
          <w:sz w:val="22"/>
          <w:szCs w:val="22"/>
        </w:rPr>
        <w:t>the multiple and complex needs of survivor</w:t>
      </w:r>
      <w:r w:rsidRPr="00BD6C84">
        <w:rPr>
          <w:rFonts w:asciiTheme="majorHAnsi" w:hAnsiTheme="majorHAnsi" w:cs="Arial"/>
          <w:sz w:val="22"/>
          <w:szCs w:val="22"/>
          <w:lang w:val="en-US"/>
        </w:rPr>
        <w:t xml:space="preserve">s / victims </w:t>
      </w:r>
      <w:r w:rsidR="00564914">
        <w:rPr>
          <w:rFonts w:asciiTheme="majorHAnsi" w:hAnsiTheme="majorHAnsi" w:cs="Arial"/>
          <w:sz w:val="22"/>
          <w:szCs w:val="22"/>
          <w:lang w:val="en-US"/>
        </w:rPr>
        <w:t>as well as</w:t>
      </w:r>
      <w:r w:rsidRPr="00BD6C84">
        <w:rPr>
          <w:rFonts w:asciiTheme="majorHAnsi" w:hAnsiTheme="majorHAnsi" w:cs="Arial"/>
          <w:sz w:val="22"/>
          <w:szCs w:val="22"/>
          <w:lang w:val="en-US"/>
        </w:rPr>
        <w:t xml:space="preserve"> </w:t>
      </w:r>
      <w:r w:rsidRPr="00BD6C84">
        <w:rPr>
          <w:rFonts w:asciiTheme="majorHAnsi" w:hAnsiTheme="majorHAnsi" w:cs="Arial"/>
          <w:sz w:val="22"/>
          <w:szCs w:val="22"/>
        </w:rPr>
        <w:t>the impact of decisions and actions taken.</w:t>
      </w:r>
      <w:r w:rsidRPr="00912CFA">
        <w:rPr>
          <w:rFonts w:asciiTheme="majorHAnsi" w:hAnsiTheme="majorHAnsi" w:cs="Arial"/>
          <w:sz w:val="22"/>
          <w:szCs w:val="22"/>
        </w:rPr>
        <w:t xml:space="preserve"> This understanding can help </w:t>
      </w:r>
      <w:r w:rsidRPr="00912CFA">
        <w:rPr>
          <w:rFonts w:asciiTheme="majorHAnsi" w:hAnsiTheme="majorHAnsi" w:cs="Arial"/>
          <w:sz w:val="22"/>
          <w:szCs w:val="22"/>
          <w:lang w:val="en-US"/>
        </w:rPr>
        <w:t xml:space="preserve">dismantle barriers to services </w:t>
      </w:r>
      <w:r w:rsidR="00200985">
        <w:rPr>
          <w:rFonts w:asciiTheme="majorHAnsi" w:hAnsiTheme="majorHAnsi" w:cs="Arial"/>
          <w:sz w:val="22"/>
          <w:szCs w:val="22"/>
          <w:lang w:val="en-US"/>
        </w:rPr>
        <w:t xml:space="preserve">and assist clients to </w:t>
      </w:r>
      <w:r w:rsidRPr="00BD6C84">
        <w:rPr>
          <w:rFonts w:asciiTheme="majorHAnsi" w:hAnsiTheme="majorHAnsi" w:cs="Arial"/>
          <w:sz w:val="22"/>
          <w:szCs w:val="22"/>
        </w:rPr>
        <w:t>navigate complex systems</w:t>
      </w:r>
      <w:r w:rsidR="00200985">
        <w:rPr>
          <w:rFonts w:asciiTheme="majorHAnsi" w:hAnsiTheme="majorHAnsi" w:cs="Arial"/>
          <w:sz w:val="22"/>
          <w:szCs w:val="22"/>
        </w:rPr>
        <w:t xml:space="preserve"> </w:t>
      </w:r>
      <w:r w:rsidRPr="00BD6C84">
        <w:rPr>
          <w:rFonts w:asciiTheme="majorHAnsi" w:hAnsiTheme="majorHAnsi" w:cs="Arial"/>
          <w:sz w:val="22"/>
          <w:szCs w:val="22"/>
        </w:rPr>
        <w:t xml:space="preserve">such as child protection, police, courts, immigration and income support. </w:t>
      </w:r>
      <w:r w:rsidR="00200985">
        <w:rPr>
          <w:rFonts w:asciiTheme="majorHAnsi" w:hAnsiTheme="majorHAnsi" w:cs="Arial"/>
          <w:sz w:val="22"/>
          <w:szCs w:val="22"/>
        </w:rPr>
        <w:t xml:space="preserve">This non-victim-blaming approach </w:t>
      </w:r>
      <w:r w:rsidRPr="00BD6C84">
        <w:rPr>
          <w:rFonts w:asciiTheme="majorHAnsi" w:hAnsiTheme="majorHAnsi" w:cs="Arial"/>
          <w:sz w:val="22"/>
          <w:szCs w:val="22"/>
        </w:rPr>
        <w:t xml:space="preserve">can also provide </w:t>
      </w:r>
      <w:r w:rsidR="00200985">
        <w:rPr>
          <w:rFonts w:asciiTheme="majorHAnsi" w:hAnsiTheme="majorHAnsi" w:cs="Arial"/>
          <w:sz w:val="22"/>
          <w:szCs w:val="22"/>
        </w:rPr>
        <w:t xml:space="preserve">more </w:t>
      </w:r>
      <w:r w:rsidRPr="00BD6C84">
        <w:rPr>
          <w:rFonts w:asciiTheme="majorHAnsi" w:hAnsiTheme="majorHAnsi" w:cs="Arial"/>
          <w:sz w:val="22"/>
          <w:szCs w:val="22"/>
        </w:rPr>
        <w:t>space to redress the loss of personal power</w:t>
      </w:r>
      <w:r w:rsidR="00200985">
        <w:rPr>
          <w:rFonts w:asciiTheme="majorHAnsi" w:hAnsiTheme="majorHAnsi" w:cs="Arial"/>
          <w:sz w:val="22"/>
          <w:szCs w:val="22"/>
        </w:rPr>
        <w:t>, and</w:t>
      </w:r>
      <w:r w:rsidRPr="00BD6C84">
        <w:rPr>
          <w:rFonts w:asciiTheme="majorHAnsi" w:hAnsiTheme="majorHAnsi" w:cs="Arial"/>
          <w:sz w:val="22"/>
          <w:szCs w:val="22"/>
        </w:rPr>
        <w:t xml:space="preserve"> to restore self-respect and confidence </w:t>
      </w:r>
      <w:r w:rsidR="00200985">
        <w:rPr>
          <w:rFonts w:asciiTheme="majorHAnsi" w:hAnsiTheme="majorHAnsi" w:cs="Arial"/>
          <w:sz w:val="22"/>
          <w:szCs w:val="22"/>
        </w:rPr>
        <w:t xml:space="preserve">by </w:t>
      </w:r>
      <w:r w:rsidRPr="00BD6C84">
        <w:rPr>
          <w:rFonts w:asciiTheme="majorHAnsi" w:hAnsiTheme="majorHAnsi" w:cs="Arial"/>
          <w:sz w:val="22"/>
          <w:szCs w:val="22"/>
        </w:rPr>
        <w:t>positively address</w:t>
      </w:r>
      <w:r w:rsidR="00200985">
        <w:rPr>
          <w:rFonts w:asciiTheme="majorHAnsi" w:hAnsiTheme="majorHAnsi" w:cs="Arial"/>
          <w:sz w:val="22"/>
          <w:szCs w:val="22"/>
        </w:rPr>
        <w:t>ing</w:t>
      </w:r>
      <w:r w:rsidRPr="00BD6C84">
        <w:rPr>
          <w:rFonts w:asciiTheme="majorHAnsi" w:hAnsiTheme="majorHAnsi" w:cs="Arial"/>
          <w:sz w:val="22"/>
          <w:szCs w:val="22"/>
        </w:rPr>
        <w:t xml:space="preserve"> shame and self-blaming</w:t>
      </w:r>
      <w:r w:rsidR="00200985">
        <w:rPr>
          <w:rFonts w:asciiTheme="majorHAnsi" w:hAnsiTheme="majorHAnsi" w:cs="Arial"/>
          <w:sz w:val="22"/>
          <w:szCs w:val="22"/>
        </w:rPr>
        <w:t>, thereby</w:t>
      </w:r>
      <w:r w:rsidRPr="00BD6C84">
        <w:rPr>
          <w:rFonts w:asciiTheme="majorHAnsi" w:hAnsiTheme="majorHAnsi" w:cs="Arial"/>
          <w:sz w:val="22"/>
          <w:szCs w:val="22"/>
        </w:rPr>
        <w:t xml:space="preserve"> ensur</w:t>
      </w:r>
      <w:r w:rsidR="00200985">
        <w:rPr>
          <w:rFonts w:asciiTheme="majorHAnsi" w:hAnsiTheme="majorHAnsi" w:cs="Arial"/>
          <w:sz w:val="22"/>
          <w:szCs w:val="22"/>
        </w:rPr>
        <w:t>ing</w:t>
      </w:r>
      <w:r w:rsidRPr="00BD6C84">
        <w:rPr>
          <w:rFonts w:asciiTheme="majorHAnsi" w:hAnsiTheme="majorHAnsi" w:cs="Arial"/>
          <w:sz w:val="22"/>
          <w:szCs w:val="22"/>
        </w:rPr>
        <w:t xml:space="preserve"> that the responsibility for the violence lies with the </w:t>
      </w:r>
      <w:r w:rsidR="00200985">
        <w:rPr>
          <w:rFonts w:asciiTheme="majorHAnsi" w:hAnsiTheme="majorHAnsi" w:cs="Arial"/>
          <w:sz w:val="22"/>
          <w:szCs w:val="22"/>
        </w:rPr>
        <w:t xml:space="preserve">person who has </w:t>
      </w:r>
      <w:r w:rsidRPr="00BD6C84">
        <w:rPr>
          <w:rFonts w:asciiTheme="majorHAnsi" w:hAnsiTheme="majorHAnsi" w:cs="Arial"/>
          <w:sz w:val="22"/>
          <w:szCs w:val="22"/>
        </w:rPr>
        <w:t>perpetrat</w:t>
      </w:r>
      <w:r w:rsidR="00200985">
        <w:rPr>
          <w:rFonts w:asciiTheme="majorHAnsi" w:hAnsiTheme="majorHAnsi" w:cs="Arial"/>
          <w:sz w:val="22"/>
          <w:szCs w:val="22"/>
        </w:rPr>
        <w:t>ed it</w:t>
      </w:r>
      <w:r w:rsidRPr="00BD6C84">
        <w:rPr>
          <w:rFonts w:asciiTheme="majorHAnsi" w:hAnsiTheme="majorHAnsi" w:cs="Arial"/>
          <w:sz w:val="22"/>
          <w:szCs w:val="22"/>
        </w:rPr>
        <w:t>.</w:t>
      </w:r>
    </w:p>
    <w:p w14:paraId="4B073523" w14:textId="7D63100A" w:rsidR="008F6EBB" w:rsidRPr="00375E66" w:rsidRDefault="00D001D1" w:rsidP="00375E66">
      <w:pPr>
        <w:pStyle w:val="Heading2"/>
        <w:numPr>
          <w:ilvl w:val="0"/>
          <w:numId w:val="6"/>
        </w:numPr>
        <w:rPr>
          <w:color w:val="7030A0"/>
        </w:rPr>
      </w:pPr>
      <w:r>
        <w:rPr>
          <w:color w:val="7030A0"/>
        </w:rPr>
        <w:t>W</w:t>
      </w:r>
      <w:r w:rsidR="008F6EBB" w:rsidRPr="00375E66">
        <w:rPr>
          <w:color w:val="7030A0"/>
        </w:rPr>
        <w:t>omen’s safety</w:t>
      </w:r>
      <w:r>
        <w:rPr>
          <w:color w:val="7030A0"/>
        </w:rPr>
        <w:t xml:space="preserve"> is central</w:t>
      </w:r>
    </w:p>
    <w:p w14:paraId="51C55479" w14:textId="6C183A82" w:rsidR="008F6EBB" w:rsidRPr="001B77D4" w:rsidRDefault="008F6EBB" w:rsidP="00012A91">
      <w:pPr>
        <w:jc w:val="both"/>
        <w:rPr>
          <w:rFonts w:asciiTheme="majorHAnsi" w:hAnsiTheme="majorHAnsi" w:cs="Arial"/>
          <w:sz w:val="22"/>
          <w:szCs w:val="22"/>
          <w:lang w:val="en-US"/>
        </w:rPr>
      </w:pPr>
      <w:r w:rsidRPr="00E94541">
        <w:rPr>
          <w:rFonts w:asciiTheme="majorHAnsi" w:hAnsiTheme="majorHAnsi" w:cs="Arial"/>
          <w:sz w:val="22"/>
          <w:szCs w:val="22"/>
        </w:rPr>
        <w:t xml:space="preserve">The physical and psychosocial safety and security of survivors / victims </w:t>
      </w:r>
      <w:r w:rsidR="00200985">
        <w:rPr>
          <w:rFonts w:asciiTheme="majorHAnsi" w:hAnsiTheme="majorHAnsi" w:cs="Arial"/>
          <w:sz w:val="22"/>
          <w:szCs w:val="22"/>
        </w:rPr>
        <w:t>subjected to</w:t>
      </w:r>
      <w:r w:rsidR="00200985" w:rsidRPr="00E94541">
        <w:rPr>
          <w:rFonts w:asciiTheme="majorHAnsi" w:hAnsiTheme="majorHAnsi" w:cs="Arial"/>
          <w:sz w:val="22"/>
          <w:szCs w:val="22"/>
        </w:rPr>
        <w:t xml:space="preserve"> </w:t>
      </w:r>
      <w:r w:rsidRPr="00E94541">
        <w:rPr>
          <w:rFonts w:asciiTheme="majorHAnsi" w:hAnsiTheme="majorHAnsi" w:cs="Arial"/>
          <w:sz w:val="22"/>
          <w:szCs w:val="22"/>
        </w:rPr>
        <w:t xml:space="preserve">violence is paramount for effective service responses and </w:t>
      </w:r>
      <w:r w:rsidR="00200985">
        <w:rPr>
          <w:rFonts w:asciiTheme="majorHAnsi" w:hAnsiTheme="majorHAnsi" w:cs="Arial"/>
          <w:sz w:val="22"/>
          <w:szCs w:val="22"/>
        </w:rPr>
        <w:t xml:space="preserve">must </w:t>
      </w:r>
      <w:r w:rsidRPr="00E94541">
        <w:rPr>
          <w:rFonts w:asciiTheme="majorHAnsi" w:hAnsiTheme="majorHAnsi" w:cs="Arial"/>
          <w:sz w:val="22"/>
          <w:szCs w:val="22"/>
        </w:rPr>
        <w:t xml:space="preserve">be a </w:t>
      </w:r>
      <w:r w:rsidRPr="001B77D4">
        <w:rPr>
          <w:rFonts w:asciiTheme="majorHAnsi" w:hAnsiTheme="majorHAnsi" w:cs="Arial"/>
          <w:sz w:val="22"/>
          <w:szCs w:val="22"/>
          <w:lang w:val="en-US"/>
        </w:rPr>
        <w:t xml:space="preserve">foundational standard of any specialist service. Services </w:t>
      </w:r>
      <w:r w:rsidRPr="00E94541">
        <w:rPr>
          <w:rFonts w:asciiTheme="majorHAnsi" w:hAnsiTheme="majorHAnsi" w:cs="Arial"/>
          <w:sz w:val="22"/>
          <w:szCs w:val="22"/>
          <w:lang w:val="en-US"/>
        </w:rPr>
        <w:t>recognise that women</w:t>
      </w:r>
      <w:r w:rsidR="00D001D1">
        <w:rPr>
          <w:rFonts w:asciiTheme="majorHAnsi" w:hAnsiTheme="majorHAnsi" w:cs="Arial"/>
          <w:sz w:val="22"/>
          <w:szCs w:val="22"/>
          <w:lang w:val="en-US"/>
        </w:rPr>
        <w:t xml:space="preserve"> </w:t>
      </w:r>
      <w:r w:rsidRPr="00E94541">
        <w:rPr>
          <w:rFonts w:asciiTheme="majorHAnsi" w:hAnsiTheme="majorHAnsi" w:cs="Arial"/>
          <w:sz w:val="22"/>
          <w:szCs w:val="22"/>
          <w:lang w:val="en-US"/>
        </w:rPr>
        <w:t xml:space="preserve">face many risks to their immediate and ongoing safety, which change over time and may shift suddenly, usually </w:t>
      </w:r>
      <w:r w:rsidR="00200985">
        <w:rPr>
          <w:rFonts w:asciiTheme="majorHAnsi" w:hAnsiTheme="majorHAnsi" w:cs="Arial"/>
          <w:sz w:val="22"/>
          <w:szCs w:val="22"/>
          <w:lang w:val="en-US"/>
        </w:rPr>
        <w:t xml:space="preserve">beyond the control of </w:t>
      </w:r>
      <w:r w:rsidRPr="00E94541">
        <w:rPr>
          <w:rFonts w:asciiTheme="majorHAnsi" w:hAnsiTheme="majorHAnsi" w:cs="Arial"/>
          <w:sz w:val="22"/>
          <w:szCs w:val="22"/>
          <w:lang w:val="en-US"/>
        </w:rPr>
        <w:t xml:space="preserve">the survivor / victim. </w:t>
      </w:r>
      <w:r w:rsidR="001B77D4">
        <w:rPr>
          <w:rFonts w:asciiTheme="majorHAnsi" w:hAnsiTheme="majorHAnsi" w:cs="Arial"/>
          <w:sz w:val="22"/>
          <w:szCs w:val="22"/>
          <w:lang w:val="en-US"/>
        </w:rPr>
        <w:t xml:space="preserve">It is also important </w:t>
      </w:r>
      <w:r w:rsidR="00200985">
        <w:rPr>
          <w:rFonts w:asciiTheme="majorHAnsi" w:hAnsiTheme="majorHAnsi" w:cs="Arial"/>
          <w:sz w:val="22"/>
          <w:szCs w:val="22"/>
          <w:lang w:val="en-US"/>
        </w:rPr>
        <w:t xml:space="preserve">that services understand how </w:t>
      </w:r>
      <w:r w:rsidR="001B77D4" w:rsidRPr="001B77D4">
        <w:rPr>
          <w:rFonts w:asciiTheme="majorHAnsi" w:hAnsiTheme="majorHAnsi" w:cs="Arial"/>
          <w:sz w:val="22"/>
          <w:szCs w:val="22"/>
          <w:lang w:val="en-US"/>
        </w:rPr>
        <w:t>t</w:t>
      </w:r>
      <w:r w:rsidRPr="001B77D4">
        <w:rPr>
          <w:rFonts w:asciiTheme="majorHAnsi" w:hAnsiTheme="majorHAnsi" w:cs="Arial"/>
          <w:sz w:val="22"/>
          <w:szCs w:val="22"/>
          <w:lang w:val="en-US"/>
        </w:rPr>
        <w:t xml:space="preserve">hese risks </w:t>
      </w:r>
      <w:r w:rsidR="00200985">
        <w:rPr>
          <w:rFonts w:asciiTheme="majorHAnsi" w:hAnsiTheme="majorHAnsi" w:cs="Arial"/>
          <w:sz w:val="22"/>
          <w:szCs w:val="22"/>
          <w:lang w:val="en-US"/>
        </w:rPr>
        <w:t xml:space="preserve">are </w:t>
      </w:r>
      <w:r w:rsidRPr="001B77D4">
        <w:rPr>
          <w:rFonts w:asciiTheme="majorHAnsi" w:hAnsiTheme="majorHAnsi" w:cs="Arial"/>
          <w:sz w:val="22"/>
          <w:szCs w:val="22"/>
          <w:lang w:val="en-US"/>
        </w:rPr>
        <w:t xml:space="preserve">specific to individual circumstances. </w:t>
      </w:r>
    </w:p>
    <w:p w14:paraId="1DC1255C" w14:textId="77777777" w:rsidR="008F6EBB" w:rsidRPr="00E94541" w:rsidRDefault="008F6EBB" w:rsidP="00012A91">
      <w:pPr>
        <w:jc w:val="both"/>
        <w:rPr>
          <w:rFonts w:asciiTheme="majorHAnsi" w:hAnsiTheme="majorHAnsi" w:cs="Arial"/>
          <w:sz w:val="22"/>
          <w:szCs w:val="22"/>
          <w:lang w:val="en-US"/>
        </w:rPr>
      </w:pPr>
    </w:p>
    <w:p w14:paraId="262A6464" w14:textId="780B6D12" w:rsidR="008F6EBB" w:rsidRPr="00564914" w:rsidRDefault="00D001D1" w:rsidP="00012A91">
      <w:pPr>
        <w:jc w:val="both"/>
        <w:rPr>
          <w:rFonts w:asciiTheme="majorHAnsi" w:hAnsiTheme="majorHAnsi" w:cs="Arial"/>
          <w:color w:val="FF0000"/>
          <w:sz w:val="22"/>
          <w:szCs w:val="22"/>
          <w:lang w:val="en-US"/>
        </w:rPr>
      </w:pPr>
      <w:r>
        <w:rPr>
          <w:rFonts w:asciiTheme="majorHAnsi" w:hAnsiTheme="majorHAnsi" w:cs="Arial"/>
          <w:sz w:val="22"/>
          <w:szCs w:val="22"/>
          <w:lang w:val="en-US"/>
        </w:rPr>
        <w:t>S</w:t>
      </w:r>
      <w:r w:rsidR="001B77D4" w:rsidRPr="001B77D4">
        <w:rPr>
          <w:rFonts w:asciiTheme="majorHAnsi" w:hAnsiTheme="majorHAnsi" w:cs="Arial"/>
          <w:sz w:val="22"/>
          <w:szCs w:val="22"/>
          <w:lang w:val="en-US"/>
        </w:rPr>
        <w:t xml:space="preserve">pecialist women’s services </w:t>
      </w:r>
      <w:r>
        <w:rPr>
          <w:rFonts w:asciiTheme="majorHAnsi" w:hAnsiTheme="majorHAnsi" w:cs="Arial"/>
          <w:sz w:val="22"/>
          <w:szCs w:val="22"/>
          <w:lang w:val="en-US"/>
        </w:rPr>
        <w:t xml:space="preserve">put women’s safety at the centre of their practices through </w:t>
      </w:r>
      <w:r w:rsidR="001B77D4" w:rsidRPr="001B77D4">
        <w:rPr>
          <w:rFonts w:asciiTheme="majorHAnsi" w:hAnsiTheme="majorHAnsi" w:cs="Arial"/>
          <w:sz w:val="22"/>
          <w:szCs w:val="22"/>
          <w:lang w:val="en-US"/>
        </w:rPr>
        <w:t>a</w:t>
      </w:r>
      <w:r w:rsidR="00BB560E">
        <w:rPr>
          <w:rFonts w:asciiTheme="majorHAnsi" w:hAnsiTheme="majorHAnsi" w:cs="Arial"/>
          <w:sz w:val="22"/>
          <w:szCs w:val="22"/>
          <w:lang w:val="en-US"/>
        </w:rPr>
        <w:t xml:space="preserve"> </w:t>
      </w:r>
      <w:r w:rsidR="008F6EBB" w:rsidRPr="001B77D4">
        <w:rPr>
          <w:rFonts w:asciiTheme="majorHAnsi" w:hAnsiTheme="majorHAnsi" w:cs="Arial"/>
          <w:sz w:val="22"/>
          <w:szCs w:val="22"/>
          <w:lang w:val="en-US"/>
        </w:rPr>
        <w:t>continuous process of ongoing risk assessment, safety planning and risk management</w:t>
      </w:r>
      <w:r w:rsidR="008F6EBB" w:rsidRPr="00925153">
        <w:rPr>
          <w:rFonts w:asciiTheme="majorHAnsi" w:hAnsiTheme="majorHAnsi" w:cs="Arial"/>
          <w:color w:val="FF0000"/>
          <w:sz w:val="22"/>
          <w:szCs w:val="22"/>
          <w:lang w:val="en-US"/>
        </w:rPr>
        <w:t>.</w:t>
      </w:r>
      <w:r w:rsidR="008F6EBB" w:rsidRPr="00925153">
        <w:rPr>
          <w:rFonts w:asciiTheme="majorHAnsi" w:hAnsiTheme="majorHAnsi" w:cs="Arial"/>
          <w:color w:val="FF0000"/>
          <w:sz w:val="22"/>
          <w:szCs w:val="22"/>
        </w:rPr>
        <w:t xml:space="preserve"> </w:t>
      </w:r>
      <w:r w:rsidR="008F6EBB" w:rsidRPr="00E94541">
        <w:rPr>
          <w:rFonts w:asciiTheme="majorHAnsi" w:hAnsiTheme="majorHAnsi" w:cs="Arial"/>
          <w:sz w:val="22"/>
          <w:szCs w:val="22"/>
          <w:lang w:val="en-AU" w:eastAsia="en-US"/>
        </w:rPr>
        <w:t xml:space="preserve">Best practice risk assessment and management </w:t>
      </w:r>
      <w:r>
        <w:rPr>
          <w:rFonts w:asciiTheme="majorHAnsi" w:hAnsiTheme="majorHAnsi" w:cs="Arial"/>
          <w:sz w:val="22"/>
          <w:szCs w:val="22"/>
          <w:lang w:val="en-AU" w:eastAsia="en-US"/>
        </w:rPr>
        <w:t xml:space="preserve">requires </w:t>
      </w:r>
      <w:r w:rsidR="008F6EBB" w:rsidRPr="00E94541">
        <w:rPr>
          <w:rFonts w:asciiTheme="majorHAnsi" w:hAnsiTheme="majorHAnsi" w:cs="Arial"/>
          <w:sz w:val="22"/>
          <w:szCs w:val="22"/>
          <w:lang w:val="en-AU" w:eastAsia="en-US"/>
        </w:rPr>
        <w:t>consistent and coordinated approaches within and between social, health</w:t>
      </w:r>
      <w:r>
        <w:rPr>
          <w:rFonts w:asciiTheme="majorHAnsi" w:hAnsiTheme="majorHAnsi" w:cs="Arial"/>
          <w:sz w:val="22"/>
          <w:szCs w:val="22"/>
          <w:lang w:val="en-AU" w:eastAsia="en-US"/>
        </w:rPr>
        <w:t xml:space="preserve">, </w:t>
      </w:r>
      <w:r w:rsidR="008F6EBB" w:rsidRPr="00E94541">
        <w:rPr>
          <w:rFonts w:asciiTheme="majorHAnsi" w:hAnsiTheme="majorHAnsi" w:cs="Arial"/>
          <w:sz w:val="22"/>
          <w:szCs w:val="22"/>
          <w:lang w:val="en-AU" w:eastAsia="en-US"/>
        </w:rPr>
        <w:t>police and justice sectors. For example,</w:t>
      </w:r>
      <w:r w:rsidR="001B77D4">
        <w:rPr>
          <w:rFonts w:asciiTheme="majorHAnsi" w:hAnsiTheme="majorHAnsi" w:cs="Arial"/>
          <w:sz w:val="22"/>
          <w:szCs w:val="22"/>
          <w:lang w:val="en-AU" w:eastAsia="en-US"/>
        </w:rPr>
        <w:t xml:space="preserve"> in the context of women </w:t>
      </w:r>
      <w:r>
        <w:rPr>
          <w:rFonts w:asciiTheme="majorHAnsi" w:hAnsiTheme="majorHAnsi" w:cs="Arial"/>
          <w:sz w:val="22"/>
          <w:szCs w:val="22"/>
          <w:lang w:val="en-AU" w:eastAsia="en-US"/>
        </w:rPr>
        <w:t xml:space="preserve">at risk of </w:t>
      </w:r>
      <w:r w:rsidR="001B77D4">
        <w:rPr>
          <w:rFonts w:asciiTheme="majorHAnsi" w:hAnsiTheme="majorHAnsi" w:cs="Arial"/>
          <w:sz w:val="22"/>
          <w:szCs w:val="22"/>
          <w:lang w:val="en-AU" w:eastAsia="en-US"/>
        </w:rPr>
        <w:t>homeless</w:t>
      </w:r>
      <w:r>
        <w:rPr>
          <w:rFonts w:asciiTheme="majorHAnsi" w:hAnsiTheme="majorHAnsi" w:cs="Arial"/>
          <w:sz w:val="22"/>
          <w:szCs w:val="22"/>
          <w:lang w:val="en-AU" w:eastAsia="en-US"/>
        </w:rPr>
        <w:t>ness</w:t>
      </w:r>
      <w:r w:rsidR="008F6EBB" w:rsidRPr="00E94541">
        <w:rPr>
          <w:rStyle w:val="FootnoteReference"/>
          <w:rFonts w:asciiTheme="majorHAnsi" w:hAnsiTheme="majorHAnsi" w:cs="Arial"/>
          <w:sz w:val="22"/>
          <w:szCs w:val="22"/>
          <w:lang w:val="en-US"/>
        </w:rPr>
        <w:footnoteReference w:id="9"/>
      </w:r>
      <w:r w:rsidR="001B77D4">
        <w:rPr>
          <w:rFonts w:asciiTheme="majorHAnsi" w:hAnsiTheme="majorHAnsi" w:cs="Arial"/>
          <w:sz w:val="22"/>
          <w:szCs w:val="22"/>
          <w:lang w:val="en-US"/>
        </w:rPr>
        <w:t>,</w:t>
      </w:r>
      <w:r w:rsidR="008F6EBB" w:rsidRPr="00E94541">
        <w:rPr>
          <w:rFonts w:asciiTheme="majorHAnsi" w:hAnsiTheme="majorHAnsi" w:cs="Arial"/>
          <w:sz w:val="22"/>
          <w:szCs w:val="22"/>
          <w:lang w:val="en-US"/>
        </w:rPr>
        <w:t xml:space="preserve"> </w:t>
      </w:r>
      <w:r w:rsidR="001B77D4">
        <w:rPr>
          <w:rFonts w:asciiTheme="majorHAnsi" w:hAnsiTheme="majorHAnsi" w:cs="Arial"/>
          <w:sz w:val="22"/>
          <w:szCs w:val="22"/>
          <w:lang w:val="en-US"/>
        </w:rPr>
        <w:t>i</w:t>
      </w:r>
      <w:r w:rsidR="008F6EBB" w:rsidRPr="00E94541">
        <w:rPr>
          <w:rFonts w:asciiTheme="majorHAnsi" w:hAnsiTheme="majorHAnsi" w:cs="Arial"/>
          <w:sz w:val="22"/>
          <w:szCs w:val="22"/>
          <w:lang w:val="en-US"/>
        </w:rPr>
        <w:t xml:space="preserve">t is crucial that </w:t>
      </w:r>
      <w:r w:rsidR="001B77D4">
        <w:rPr>
          <w:rFonts w:asciiTheme="majorHAnsi" w:hAnsiTheme="majorHAnsi" w:cs="Arial"/>
          <w:sz w:val="22"/>
          <w:szCs w:val="22"/>
          <w:lang w:val="en-US"/>
        </w:rPr>
        <w:t xml:space="preserve">they </w:t>
      </w:r>
      <w:r w:rsidR="008F6EBB" w:rsidRPr="00E94541">
        <w:rPr>
          <w:rFonts w:asciiTheme="majorHAnsi" w:hAnsiTheme="majorHAnsi" w:cs="Arial"/>
          <w:sz w:val="22"/>
          <w:szCs w:val="22"/>
        </w:rPr>
        <w:t>have access to immediate and secure emergency and short-term accommodation, and that there are also systems to support women to remain at home if it is safe to do so. Services addressing accommodation and housing needs must also prioritise the safety and confidentiality o</w:t>
      </w:r>
      <w:r>
        <w:rPr>
          <w:rFonts w:asciiTheme="majorHAnsi" w:hAnsiTheme="majorHAnsi" w:cs="Arial"/>
          <w:sz w:val="22"/>
          <w:szCs w:val="22"/>
        </w:rPr>
        <w:t>f</w:t>
      </w:r>
      <w:r w:rsidR="008F6EBB" w:rsidRPr="00E94541">
        <w:rPr>
          <w:rFonts w:asciiTheme="majorHAnsi" w:hAnsiTheme="majorHAnsi" w:cs="Arial"/>
          <w:sz w:val="22"/>
          <w:szCs w:val="22"/>
        </w:rPr>
        <w:t xml:space="preserve"> women </w:t>
      </w:r>
      <w:r w:rsidR="008F6EBB" w:rsidRPr="00E94541">
        <w:rPr>
          <w:rFonts w:asciiTheme="majorHAnsi" w:hAnsiTheme="majorHAnsi" w:cs="Arial"/>
          <w:sz w:val="22"/>
          <w:szCs w:val="22"/>
        </w:rPr>
        <w:lastRenderedPageBreak/>
        <w:t xml:space="preserve">and children, be gender-responsive, trauma-informed, accessible and appropriate, and be driven by principles of empowerment. </w:t>
      </w:r>
    </w:p>
    <w:p w14:paraId="743F0CBA" w14:textId="483DCD22" w:rsidR="008F6EBB" w:rsidRPr="00375E66" w:rsidRDefault="008F6EBB" w:rsidP="00375E66">
      <w:pPr>
        <w:pStyle w:val="Heading2"/>
        <w:numPr>
          <w:ilvl w:val="0"/>
          <w:numId w:val="6"/>
        </w:numPr>
        <w:rPr>
          <w:color w:val="7030A0"/>
        </w:rPr>
      </w:pPr>
      <w:r w:rsidRPr="00375E66">
        <w:rPr>
          <w:color w:val="7030A0"/>
        </w:rPr>
        <w:t>Perpetrator accountability</w:t>
      </w:r>
    </w:p>
    <w:p w14:paraId="24BB6727" w14:textId="1781D6B9" w:rsidR="008F6EBB" w:rsidRPr="00E94541" w:rsidRDefault="00D001D1" w:rsidP="00012A91">
      <w:pPr>
        <w:jc w:val="both"/>
        <w:rPr>
          <w:rFonts w:asciiTheme="majorHAnsi" w:hAnsiTheme="majorHAnsi" w:cs="Arial"/>
          <w:sz w:val="22"/>
          <w:szCs w:val="22"/>
        </w:rPr>
      </w:pPr>
      <w:r>
        <w:rPr>
          <w:rFonts w:asciiTheme="majorHAnsi" w:hAnsiTheme="majorHAnsi" w:cs="Arial"/>
          <w:sz w:val="22"/>
          <w:szCs w:val="22"/>
        </w:rPr>
        <w:t xml:space="preserve">To end violence against women, all </w:t>
      </w:r>
      <w:r w:rsidR="008F6EBB" w:rsidRPr="00E94541">
        <w:rPr>
          <w:rFonts w:asciiTheme="majorHAnsi" w:hAnsiTheme="majorHAnsi" w:cs="Arial"/>
          <w:sz w:val="22"/>
          <w:szCs w:val="22"/>
        </w:rPr>
        <w:t>services</w:t>
      </w:r>
      <w:r>
        <w:rPr>
          <w:rFonts w:asciiTheme="majorHAnsi" w:hAnsiTheme="majorHAnsi" w:cs="Arial"/>
          <w:sz w:val="22"/>
          <w:szCs w:val="22"/>
        </w:rPr>
        <w:t xml:space="preserve"> involved in preventing and responding to this </w:t>
      </w:r>
      <w:r w:rsidR="003662BE">
        <w:rPr>
          <w:rFonts w:asciiTheme="majorHAnsi" w:hAnsiTheme="majorHAnsi" w:cs="Arial"/>
          <w:sz w:val="22"/>
          <w:szCs w:val="22"/>
        </w:rPr>
        <w:t>violence must</w:t>
      </w:r>
      <w:r>
        <w:rPr>
          <w:rFonts w:asciiTheme="majorHAnsi" w:hAnsiTheme="majorHAnsi" w:cs="Arial"/>
          <w:sz w:val="22"/>
          <w:szCs w:val="22"/>
        </w:rPr>
        <w:t xml:space="preserve"> contribute to </w:t>
      </w:r>
      <w:r w:rsidR="008F6EBB" w:rsidRPr="00E94541">
        <w:rPr>
          <w:rFonts w:asciiTheme="majorHAnsi" w:hAnsiTheme="majorHAnsi" w:cs="Arial"/>
          <w:sz w:val="22"/>
          <w:szCs w:val="22"/>
        </w:rPr>
        <w:t xml:space="preserve">perpetrator </w:t>
      </w:r>
      <w:r w:rsidR="003662BE">
        <w:rPr>
          <w:rFonts w:asciiTheme="majorHAnsi" w:hAnsiTheme="majorHAnsi" w:cs="Arial"/>
          <w:sz w:val="22"/>
          <w:szCs w:val="22"/>
        </w:rPr>
        <w:t>accountability.</w:t>
      </w:r>
      <w:r w:rsidR="008F6EBB" w:rsidRPr="00E94541">
        <w:rPr>
          <w:rFonts w:asciiTheme="majorHAnsi" w:hAnsiTheme="majorHAnsi" w:cs="Arial"/>
          <w:sz w:val="22"/>
          <w:szCs w:val="22"/>
        </w:rPr>
        <w:t xml:space="preserve"> </w:t>
      </w:r>
      <w:r>
        <w:rPr>
          <w:rFonts w:asciiTheme="majorHAnsi" w:hAnsiTheme="majorHAnsi" w:cs="Arial"/>
          <w:sz w:val="22"/>
          <w:szCs w:val="22"/>
          <w:lang w:val="en-US"/>
        </w:rPr>
        <w:t>For services supporting women who have had viol</w:t>
      </w:r>
      <w:r w:rsidR="00477E89">
        <w:rPr>
          <w:rFonts w:asciiTheme="majorHAnsi" w:hAnsiTheme="majorHAnsi" w:cs="Arial"/>
          <w:sz w:val="22"/>
          <w:szCs w:val="22"/>
          <w:lang w:val="en-US"/>
        </w:rPr>
        <w:t xml:space="preserve">ence inflicted upon them, </w:t>
      </w:r>
      <w:r w:rsidR="008F6EBB" w:rsidRPr="00E94541">
        <w:rPr>
          <w:rFonts w:asciiTheme="majorHAnsi" w:hAnsiTheme="majorHAnsi" w:cs="Arial"/>
          <w:sz w:val="22"/>
          <w:szCs w:val="22"/>
          <w:lang w:val="en-US"/>
        </w:rPr>
        <w:t xml:space="preserve">this means that services should be </w:t>
      </w:r>
      <w:r w:rsidR="008F6EBB" w:rsidRPr="00E94541">
        <w:rPr>
          <w:rFonts w:asciiTheme="majorHAnsi" w:hAnsiTheme="majorHAnsi" w:cs="Arial"/>
          <w:sz w:val="22"/>
          <w:szCs w:val="22"/>
        </w:rPr>
        <w:t xml:space="preserve">delivered in a manner that validates </w:t>
      </w:r>
      <w:r w:rsidR="00477E89">
        <w:rPr>
          <w:rFonts w:asciiTheme="majorHAnsi" w:hAnsiTheme="majorHAnsi" w:cs="Arial"/>
          <w:sz w:val="22"/>
          <w:szCs w:val="22"/>
        </w:rPr>
        <w:t xml:space="preserve">clients’ </w:t>
      </w:r>
      <w:r w:rsidR="008F6EBB" w:rsidRPr="00E94541">
        <w:rPr>
          <w:rFonts w:asciiTheme="majorHAnsi" w:hAnsiTheme="majorHAnsi" w:cs="Arial"/>
          <w:sz w:val="22"/>
          <w:szCs w:val="22"/>
        </w:rPr>
        <w:t xml:space="preserve">experiences of violence, ensuring their needs and choices are paramount, while </w:t>
      </w:r>
      <w:r w:rsidR="00477E89">
        <w:rPr>
          <w:rFonts w:asciiTheme="majorHAnsi" w:hAnsiTheme="majorHAnsi" w:cs="Arial"/>
          <w:sz w:val="22"/>
          <w:szCs w:val="22"/>
        </w:rPr>
        <w:t xml:space="preserve">the </w:t>
      </w:r>
      <w:r w:rsidR="008F6EBB" w:rsidRPr="00E94541">
        <w:rPr>
          <w:rFonts w:asciiTheme="majorHAnsi" w:hAnsiTheme="majorHAnsi" w:cs="Arial"/>
          <w:sz w:val="22"/>
          <w:szCs w:val="22"/>
        </w:rPr>
        <w:t>violence is not condoned, tolerated</w:t>
      </w:r>
      <w:r w:rsidR="00477E89">
        <w:rPr>
          <w:rFonts w:asciiTheme="majorHAnsi" w:hAnsiTheme="majorHAnsi" w:cs="Arial"/>
          <w:sz w:val="22"/>
          <w:szCs w:val="22"/>
        </w:rPr>
        <w:t>, excused, minimised</w:t>
      </w:r>
      <w:r w:rsidR="008F6EBB" w:rsidRPr="00E94541">
        <w:rPr>
          <w:rFonts w:asciiTheme="majorHAnsi" w:hAnsiTheme="majorHAnsi" w:cs="Arial"/>
          <w:sz w:val="22"/>
          <w:szCs w:val="22"/>
        </w:rPr>
        <w:t xml:space="preserve"> or perpetuated in any way.</w:t>
      </w:r>
      <w:r w:rsidR="008F6EBB">
        <w:rPr>
          <w:rStyle w:val="FootnoteReference"/>
          <w:rFonts w:asciiTheme="majorHAnsi" w:hAnsiTheme="majorHAnsi" w:cs="Arial"/>
          <w:sz w:val="22"/>
          <w:szCs w:val="22"/>
        </w:rPr>
        <w:footnoteReference w:id="10"/>
      </w:r>
      <w:r w:rsidR="008F6EBB" w:rsidRPr="00E94541">
        <w:rPr>
          <w:rFonts w:asciiTheme="majorHAnsi" w:hAnsiTheme="majorHAnsi" w:cs="Arial"/>
          <w:sz w:val="22"/>
          <w:szCs w:val="22"/>
        </w:rPr>
        <w:t xml:space="preserve"> </w:t>
      </w:r>
    </w:p>
    <w:p w14:paraId="420B2C0E" w14:textId="77777777" w:rsidR="008F6EBB" w:rsidRPr="00E94541" w:rsidRDefault="008F6EBB" w:rsidP="00012A91">
      <w:pPr>
        <w:jc w:val="both"/>
        <w:rPr>
          <w:rFonts w:asciiTheme="majorHAnsi" w:hAnsiTheme="majorHAnsi" w:cs="Arial"/>
          <w:sz w:val="22"/>
          <w:szCs w:val="22"/>
        </w:rPr>
      </w:pPr>
    </w:p>
    <w:p w14:paraId="4E45E77D" w14:textId="59E243AE" w:rsidR="008F6EBB" w:rsidRPr="001C089D" w:rsidRDefault="00477E89" w:rsidP="00012A91">
      <w:pPr>
        <w:jc w:val="both"/>
        <w:rPr>
          <w:rFonts w:asciiTheme="majorHAnsi" w:hAnsiTheme="majorHAnsi" w:cs="Arial"/>
          <w:color w:val="000000" w:themeColor="text1"/>
          <w:sz w:val="22"/>
          <w:szCs w:val="22"/>
        </w:rPr>
      </w:pPr>
      <w:r w:rsidRPr="001C089D">
        <w:rPr>
          <w:rFonts w:asciiTheme="majorHAnsi" w:hAnsiTheme="majorHAnsi" w:cs="Arial"/>
          <w:color w:val="000000" w:themeColor="text1"/>
          <w:sz w:val="22"/>
          <w:szCs w:val="22"/>
        </w:rPr>
        <w:t xml:space="preserve">Services </w:t>
      </w:r>
      <w:r w:rsidR="008F6EBB" w:rsidRPr="001C089D">
        <w:rPr>
          <w:rFonts w:asciiTheme="majorHAnsi" w:hAnsiTheme="majorHAnsi" w:cs="Arial"/>
          <w:color w:val="000000" w:themeColor="text1"/>
          <w:sz w:val="22"/>
          <w:szCs w:val="22"/>
        </w:rPr>
        <w:t xml:space="preserve">also </w:t>
      </w:r>
      <w:r w:rsidRPr="001C089D">
        <w:rPr>
          <w:rFonts w:asciiTheme="majorHAnsi" w:hAnsiTheme="majorHAnsi" w:cs="Arial"/>
          <w:color w:val="000000" w:themeColor="text1"/>
          <w:sz w:val="22"/>
          <w:szCs w:val="22"/>
        </w:rPr>
        <w:t xml:space="preserve">play an important role in </w:t>
      </w:r>
      <w:r w:rsidR="008F6EBB" w:rsidRPr="001C089D">
        <w:rPr>
          <w:rFonts w:asciiTheme="majorHAnsi" w:hAnsiTheme="majorHAnsi" w:cs="Arial"/>
          <w:color w:val="000000" w:themeColor="text1"/>
          <w:sz w:val="22"/>
          <w:szCs w:val="22"/>
        </w:rPr>
        <w:t>support</w:t>
      </w:r>
      <w:r w:rsidRPr="001C089D">
        <w:rPr>
          <w:rFonts w:asciiTheme="majorHAnsi" w:hAnsiTheme="majorHAnsi" w:cs="Arial"/>
          <w:color w:val="000000" w:themeColor="text1"/>
          <w:sz w:val="22"/>
          <w:szCs w:val="22"/>
        </w:rPr>
        <w:t>ing</w:t>
      </w:r>
      <w:r w:rsidR="008F6EBB" w:rsidRPr="001C089D">
        <w:rPr>
          <w:rFonts w:asciiTheme="majorHAnsi" w:hAnsiTheme="majorHAnsi" w:cs="Arial"/>
          <w:color w:val="000000" w:themeColor="text1"/>
          <w:sz w:val="22"/>
          <w:szCs w:val="22"/>
        </w:rPr>
        <w:t xml:space="preserve"> and facilitat</w:t>
      </w:r>
      <w:r w:rsidRPr="001C089D">
        <w:rPr>
          <w:rFonts w:asciiTheme="majorHAnsi" w:hAnsiTheme="majorHAnsi" w:cs="Arial"/>
          <w:color w:val="000000" w:themeColor="text1"/>
          <w:sz w:val="22"/>
          <w:szCs w:val="22"/>
        </w:rPr>
        <w:t>ing</w:t>
      </w:r>
      <w:r w:rsidR="008F6EBB" w:rsidRPr="001C089D">
        <w:rPr>
          <w:rFonts w:asciiTheme="majorHAnsi" w:hAnsiTheme="majorHAnsi" w:cs="Arial"/>
          <w:color w:val="000000" w:themeColor="text1"/>
          <w:sz w:val="22"/>
          <w:szCs w:val="22"/>
        </w:rPr>
        <w:t xml:space="preserve"> the </w:t>
      </w:r>
      <w:r w:rsidR="00517880">
        <w:rPr>
          <w:rFonts w:asciiTheme="majorHAnsi" w:hAnsiTheme="majorHAnsi" w:cs="Arial"/>
          <w:color w:val="000000" w:themeColor="text1"/>
          <w:sz w:val="22"/>
          <w:szCs w:val="22"/>
        </w:rPr>
        <w:t>survivor / victim’s</w:t>
      </w:r>
      <w:r w:rsidR="008F6EBB" w:rsidRPr="001C089D">
        <w:rPr>
          <w:rFonts w:asciiTheme="majorHAnsi" w:hAnsiTheme="majorHAnsi" w:cs="Arial"/>
          <w:color w:val="000000" w:themeColor="text1"/>
          <w:sz w:val="22"/>
          <w:szCs w:val="22"/>
        </w:rPr>
        <w:t xml:space="preserve"> </w:t>
      </w:r>
      <w:r w:rsidRPr="001C089D">
        <w:rPr>
          <w:rFonts w:asciiTheme="majorHAnsi" w:hAnsiTheme="majorHAnsi" w:cs="Arial"/>
          <w:color w:val="000000" w:themeColor="text1"/>
          <w:sz w:val="22"/>
          <w:szCs w:val="22"/>
        </w:rPr>
        <w:t xml:space="preserve">interactions </w:t>
      </w:r>
      <w:r w:rsidR="008F6EBB" w:rsidRPr="001C089D">
        <w:rPr>
          <w:rFonts w:asciiTheme="majorHAnsi" w:hAnsiTheme="majorHAnsi" w:cs="Arial"/>
          <w:color w:val="000000" w:themeColor="text1"/>
          <w:sz w:val="22"/>
          <w:szCs w:val="22"/>
        </w:rPr>
        <w:t xml:space="preserve">with all </w:t>
      </w:r>
      <w:r w:rsidRPr="001C089D">
        <w:rPr>
          <w:rFonts w:asciiTheme="majorHAnsi" w:hAnsiTheme="majorHAnsi" w:cs="Arial"/>
          <w:color w:val="000000" w:themeColor="text1"/>
          <w:sz w:val="22"/>
          <w:szCs w:val="22"/>
        </w:rPr>
        <w:t xml:space="preserve">relevant </w:t>
      </w:r>
      <w:r w:rsidR="008F6EBB" w:rsidRPr="001C089D">
        <w:rPr>
          <w:rFonts w:asciiTheme="majorHAnsi" w:hAnsiTheme="majorHAnsi" w:cs="Arial"/>
          <w:color w:val="000000" w:themeColor="text1"/>
          <w:sz w:val="22"/>
          <w:szCs w:val="22"/>
        </w:rPr>
        <w:t xml:space="preserve">systems including the justice </w:t>
      </w:r>
      <w:r w:rsidRPr="001C089D">
        <w:rPr>
          <w:rFonts w:asciiTheme="majorHAnsi" w:hAnsiTheme="majorHAnsi" w:cs="Arial"/>
          <w:color w:val="000000" w:themeColor="text1"/>
          <w:sz w:val="22"/>
          <w:szCs w:val="22"/>
        </w:rPr>
        <w:t>system</w:t>
      </w:r>
      <w:r w:rsidR="008F6EBB" w:rsidRPr="001C089D">
        <w:rPr>
          <w:rFonts w:asciiTheme="majorHAnsi" w:hAnsiTheme="majorHAnsi" w:cs="Arial"/>
          <w:color w:val="000000" w:themeColor="text1"/>
          <w:sz w:val="22"/>
          <w:szCs w:val="22"/>
        </w:rPr>
        <w:t>, promot</w:t>
      </w:r>
      <w:r w:rsidRPr="001C089D">
        <w:rPr>
          <w:rFonts w:asciiTheme="majorHAnsi" w:hAnsiTheme="majorHAnsi" w:cs="Arial"/>
          <w:color w:val="000000" w:themeColor="text1"/>
          <w:sz w:val="22"/>
          <w:szCs w:val="22"/>
        </w:rPr>
        <w:t>ing</w:t>
      </w:r>
      <w:r w:rsidR="008F6EBB" w:rsidRPr="001C089D">
        <w:rPr>
          <w:rFonts w:asciiTheme="majorHAnsi" w:hAnsiTheme="majorHAnsi" w:cs="Arial"/>
          <w:color w:val="000000" w:themeColor="text1"/>
          <w:sz w:val="22"/>
          <w:szCs w:val="22"/>
        </w:rPr>
        <w:t xml:space="preserve"> her capacity </w:t>
      </w:r>
      <w:r w:rsidR="0074106F" w:rsidRPr="001C089D">
        <w:rPr>
          <w:rFonts w:asciiTheme="majorHAnsi" w:hAnsiTheme="majorHAnsi" w:cs="Arial"/>
          <w:color w:val="000000" w:themeColor="text1"/>
          <w:sz w:val="22"/>
          <w:szCs w:val="22"/>
        </w:rPr>
        <w:t>to exercise</w:t>
      </w:r>
      <w:r w:rsidR="008F6EBB" w:rsidRPr="001C089D">
        <w:rPr>
          <w:rFonts w:asciiTheme="majorHAnsi" w:hAnsiTheme="majorHAnsi" w:cs="Arial"/>
          <w:color w:val="000000" w:themeColor="text1"/>
          <w:sz w:val="22"/>
          <w:szCs w:val="22"/>
        </w:rPr>
        <w:t xml:space="preserve"> her agency, </w:t>
      </w:r>
      <w:r w:rsidRPr="001C089D">
        <w:rPr>
          <w:rFonts w:asciiTheme="majorHAnsi" w:hAnsiTheme="majorHAnsi" w:cs="Arial"/>
          <w:color w:val="000000" w:themeColor="text1"/>
          <w:sz w:val="22"/>
          <w:szCs w:val="22"/>
        </w:rPr>
        <w:t xml:space="preserve">and working towards a situation in which </w:t>
      </w:r>
      <w:r w:rsidR="008F6EBB" w:rsidRPr="001C089D">
        <w:rPr>
          <w:rFonts w:asciiTheme="majorHAnsi" w:hAnsiTheme="majorHAnsi" w:cs="Arial"/>
          <w:color w:val="000000" w:themeColor="text1"/>
          <w:sz w:val="22"/>
          <w:szCs w:val="22"/>
        </w:rPr>
        <w:t xml:space="preserve">the burden of seeking justice is </w:t>
      </w:r>
      <w:r w:rsidRPr="001C089D">
        <w:rPr>
          <w:rFonts w:asciiTheme="majorHAnsi" w:hAnsiTheme="majorHAnsi" w:cs="Arial"/>
          <w:color w:val="000000" w:themeColor="text1"/>
          <w:sz w:val="22"/>
          <w:szCs w:val="22"/>
        </w:rPr>
        <w:t xml:space="preserve">borne by the state and not </w:t>
      </w:r>
      <w:r w:rsidR="008F6EBB" w:rsidRPr="001C089D">
        <w:rPr>
          <w:rFonts w:asciiTheme="majorHAnsi" w:hAnsiTheme="majorHAnsi" w:cs="Arial"/>
          <w:color w:val="000000" w:themeColor="text1"/>
          <w:sz w:val="22"/>
          <w:szCs w:val="22"/>
        </w:rPr>
        <w:t>the survivor /victim.</w:t>
      </w:r>
      <w:r w:rsidR="008F6EBB" w:rsidRPr="001C089D">
        <w:rPr>
          <w:rStyle w:val="FootnoteReference"/>
          <w:rFonts w:asciiTheme="majorHAnsi" w:hAnsiTheme="majorHAnsi" w:cs="Arial"/>
          <w:color w:val="000000" w:themeColor="text1"/>
          <w:sz w:val="22"/>
          <w:szCs w:val="22"/>
        </w:rPr>
        <w:footnoteReference w:id="11"/>
      </w:r>
    </w:p>
    <w:p w14:paraId="56ABB006" w14:textId="00390D75" w:rsidR="00BD6C84" w:rsidRPr="00375E66" w:rsidRDefault="00564914" w:rsidP="00375E66">
      <w:pPr>
        <w:pStyle w:val="Heading2"/>
        <w:numPr>
          <w:ilvl w:val="0"/>
          <w:numId w:val="6"/>
        </w:numPr>
        <w:rPr>
          <w:color w:val="7030A0"/>
        </w:rPr>
      </w:pPr>
      <w:r>
        <w:rPr>
          <w:color w:val="7030A0"/>
        </w:rPr>
        <w:t>Accessible</w:t>
      </w:r>
      <w:r w:rsidR="00477E89">
        <w:rPr>
          <w:color w:val="7030A0"/>
        </w:rPr>
        <w:t xml:space="preserve"> </w:t>
      </w:r>
      <w:r w:rsidR="00BD6C84" w:rsidRPr="00375E66">
        <w:rPr>
          <w:color w:val="7030A0"/>
        </w:rPr>
        <w:t>Culturally</w:t>
      </w:r>
      <w:r w:rsidR="00477E89">
        <w:rPr>
          <w:color w:val="7030A0"/>
        </w:rPr>
        <w:t>-</w:t>
      </w:r>
      <w:r w:rsidR="00BD6C84" w:rsidRPr="00375E66">
        <w:rPr>
          <w:color w:val="7030A0"/>
        </w:rPr>
        <w:t xml:space="preserve">Appropriate and Sensitive Services </w:t>
      </w:r>
    </w:p>
    <w:p w14:paraId="46B09293" w14:textId="2CFDAF3B" w:rsidR="004B12A2" w:rsidRDefault="00BD6C84" w:rsidP="00A0433A">
      <w:pPr>
        <w:jc w:val="both"/>
        <w:rPr>
          <w:rFonts w:asciiTheme="majorHAnsi" w:hAnsiTheme="majorHAnsi" w:cs="Arial"/>
          <w:color w:val="000000" w:themeColor="text1"/>
          <w:sz w:val="22"/>
          <w:szCs w:val="22"/>
        </w:rPr>
      </w:pPr>
      <w:r w:rsidRPr="00A0433A">
        <w:rPr>
          <w:rFonts w:asciiTheme="majorHAnsi" w:hAnsiTheme="majorHAnsi" w:cs="Arial"/>
          <w:color w:val="000000" w:themeColor="text1"/>
          <w:sz w:val="22"/>
          <w:szCs w:val="22"/>
        </w:rPr>
        <w:t xml:space="preserve">To ensure accessibility and responsiveness </w:t>
      </w:r>
      <w:r w:rsidR="003662BE" w:rsidRPr="00A0433A">
        <w:rPr>
          <w:rFonts w:asciiTheme="majorHAnsi" w:hAnsiTheme="majorHAnsi" w:cs="Arial"/>
          <w:color w:val="000000" w:themeColor="text1"/>
          <w:sz w:val="22"/>
          <w:szCs w:val="22"/>
        </w:rPr>
        <w:t>to individual</w:t>
      </w:r>
      <w:r w:rsidRPr="00A0433A">
        <w:rPr>
          <w:rFonts w:asciiTheme="majorHAnsi" w:hAnsiTheme="majorHAnsi" w:cs="Arial"/>
          <w:color w:val="000000" w:themeColor="text1"/>
          <w:sz w:val="22"/>
          <w:szCs w:val="22"/>
        </w:rPr>
        <w:t xml:space="preserve"> circumstances and life experiences, specialist services must take into account and appropriately respond to survivors / victims who face multiple and intersecting forms of discrimination</w:t>
      </w:r>
      <w:r w:rsidR="00477E89" w:rsidRPr="00A0433A">
        <w:rPr>
          <w:rFonts w:asciiTheme="majorHAnsi" w:hAnsiTheme="majorHAnsi" w:cs="Arial"/>
          <w:color w:val="000000" w:themeColor="text1"/>
          <w:sz w:val="22"/>
          <w:szCs w:val="22"/>
        </w:rPr>
        <w:t>,</w:t>
      </w:r>
      <w:r w:rsidRPr="00A0433A">
        <w:rPr>
          <w:rFonts w:asciiTheme="majorHAnsi" w:hAnsiTheme="majorHAnsi" w:cs="Arial"/>
          <w:color w:val="000000" w:themeColor="text1"/>
          <w:sz w:val="22"/>
          <w:szCs w:val="22"/>
        </w:rPr>
        <w:t xml:space="preserve"> </w:t>
      </w:r>
      <w:r w:rsidR="00477E89" w:rsidRPr="00A0433A">
        <w:rPr>
          <w:rFonts w:asciiTheme="majorHAnsi" w:hAnsiTheme="majorHAnsi" w:cs="Arial"/>
          <w:color w:val="000000" w:themeColor="text1"/>
          <w:sz w:val="22"/>
          <w:szCs w:val="22"/>
        </w:rPr>
        <w:t xml:space="preserve">including discrimination based on gender, </w:t>
      </w:r>
      <w:r w:rsidRPr="00A0433A">
        <w:rPr>
          <w:rFonts w:asciiTheme="majorHAnsi" w:hAnsiTheme="majorHAnsi" w:cs="Arial"/>
          <w:color w:val="000000" w:themeColor="text1"/>
          <w:sz w:val="22"/>
          <w:szCs w:val="22"/>
        </w:rPr>
        <w:t>age, culture, disability, ethnicity, sexual orientation, marital status, occupation, race, religion, or social status</w:t>
      </w:r>
      <w:r w:rsidR="00477E89" w:rsidRPr="00A0433A">
        <w:rPr>
          <w:rFonts w:asciiTheme="majorHAnsi" w:hAnsiTheme="majorHAnsi" w:cs="Arial"/>
          <w:color w:val="000000" w:themeColor="text1"/>
          <w:sz w:val="22"/>
          <w:szCs w:val="22"/>
        </w:rPr>
        <w:t>.</w:t>
      </w:r>
      <w:r w:rsidRPr="00A0433A">
        <w:rPr>
          <w:rFonts w:asciiTheme="majorHAnsi" w:hAnsiTheme="majorHAnsi" w:cs="Arial"/>
          <w:color w:val="000000" w:themeColor="text1"/>
          <w:sz w:val="22"/>
          <w:szCs w:val="22"/>
        </w:rPr>
        <w:t xml:space="preserve"> </w:t>
      </w:r>
      <w:r w:rsidR="00477E89" w:rsidRPr="00A0433A">
        <w:rPr>
          <w:rFonts w:asciiTheme="majorHAnsi" w:hAnsiTheme="majorHAnsi" w:cs="Arial"/>
          <w:color w:val="000000" w:themeColor="text1"/>
          <w:sz w:val="22"/>
          <w:szCs w:val="22"/>
        </w:rPr>
        <w:t>A properly accessible service system would include ‘</w:t>
      </w:r>
      <w:r w:rsidR="00EE45E8" w:rsidRPr="00A0433A">
        <w:rPr>
          <w:rFonts w:asciiTheme="majorHAnsi" w:hAnsiTheme="majorHAnsi" w:cs="Arial"/>
          <w:color w:val="000000" w:themeColor="text1"/>
          <w:sz w:val="22"/>
          <w:szCs w:val="22"/>
        </w:rPr>
        <w:t>mainstream</w:t>
      </w:r>
      <w:r w:rsidR="00477E89" w:rsidRPr="00A0433A">
        <w:rPr>
          <w:rFonts w:asciiTheme="majorHAnsi" w:hAnsiTheme="majorHAnsi" w:cs="Arial"/>
          <w:color w:val="000000" w:themeColor="text1"/>
          <w:sz w:val="22"/>
          <w:szCs w:val="22"/>
        </w:rPr>
        <w:t xml:space="preserve">’ women’s services that are fully competent to support people </w:t>
      </w:r>
      <w:r w:rsidR="000D725D" w:rsidRPr="00A0433A">
        <w:rPr>
          <w:rFonts w:asciiTheme="majorHAnsi" w:hAnsiTheme="majorHAnsi" w:cs="Arial"/>
          <w:color w:val="000000" w:themeColor="text1"/>
          <w:sz w:val="22"/>
          <w:szCs w:val="22"/>
        </w:rPr>
        <w:t xml:space="preserve">with a wide range of </w:t>
      </w:r>
      <w:r w:rsidR="00477E89" w:rsidRPr="00A0433A">
        <w:rPr>
          <w:rFonts w:asciiTheme="majorHAnsi" w:hAnsiTheme="majorHAnsi" w:cs="Arial"/>
          <w:color w:val="000000" w:themeColor="text1"/>
          <w:sz w:val="22"/>
          <w:szCs w:val="22"/>
        </w:rPr>
        <w:t xml:space="preserve">circumstances and backgrounds, together with </w:t>
      </w:r>
      <w:r w:rsidR="000D725D" w:rsidRPr="00A0433A">
        <w:rPr>
          <w:rFonts w:asciiTheme="majorHAnsi" w:hAnsiTheme="majorHAnsi" w:cs="Arial"/>
          <w:color w:val="000000" w:themeColor="text1"/>
          <w:sz w:val="22"/>
          <w:szCs w:val="22"/>
        </w:rPr>
        <w:t xml:space="preserve">numerous and well-resourced </w:t>
      </w:r>
      <w:r w:rsidR="00477E89" w:rsidRPr="00A0433A">
        <w:rPr>
          <w:rFonts w:asciiTheme="majorHAnsi" w:hAnsiTheme="majorHAnsi" w:cs="Arial"/>
          <w:color w:val="000000" w:themeColor="text1"/>
          <w:sz w:val="22"/>
          <w:szCs w:val="22"/>
        </w:rPr>
        <w:t xml:space="preserve">specialist services that are </w:t>
      </w:r>
      <w:r w:rsidR="000D725D" w:rsidRPr="00A0433A">
        <w:rPr>
          <w:rFonts w:asciiTheme="majorHAnsi" w:hAnsiTheme="majorHAnsi" w:cs="Arial"/>
          <w:color w:val="000000" w:themeColor="text1"/>
          <w:sz w:val="22"/>
          <w:szCs w:val="22"/>
        </w:rPr>
        <w:t xml:space="preserve">specifically </w:t>
      </w:r>
      <w:r w:rsidR="00477E89" w:rsidRPr="00A0433A">
        <w:rPr>
          <w:rFonts w:asciiTheme="majorHAnsi" w:hAnsiTheme="majorHAnsi" w:cs="Arial"/>
          <w:color w:val="000000" w:themeColor="text1"/>
          <w:sz w:val="22"/>
          <w:szCs w:val="22"/>
        </w:rPr>
        <w:t xml:space="preserve">devoted to </w:t>
      </w:r>
      <w:r w:rsidR="000D725D" w:rsidRPr="00A0433A">
        <w:rPr>
          <w:rFonts w:asciiTheme="majorHAnsi" w:hAnsiTheme="majorHAnsi" w:cs="Arial"/>
          <w:color w:val="000000" w:themeColor="text1"/>
          <w:sz w:val="22"/>
          <w:szCs w:val="22"/>
        </w:rPr>
        <w:t>supporting people with shared experiences and characteristics, such as women with disability, or Aboriginal and Torres Strait Islander women. While this system does not yet exist, services and their representative organisations recognise an obligation to work towards it both internally, through competence training, accountability and capacity-building, and externally, through sector development and by advocating for more resources to be allocated to services specifically devoted to people who are particularly marginalised.</w:t>
      </w:r>
      <w:r w:rsidR="004B12A2" w:rsidRPr="00A0433A">
        <w:rPr>
          <w:rFonts w:asciiTheme="majorHAnsi" w:hAnsiTheme="majorHAnsi" w:cs="Arial"/>
          <w:color w:val="000000" w:themeColor="text1"/>
          <w:sz w:val="22"/>
          <w:szCs w:val="22"/>
        </w:rPr>
        <w:t xml:space="preserve"> </w:t>
      </w:r>
      <w:r w:rsidR="00FD604E">
        <w:rPr>
          <w:rFonts w:asciiTheme="majorHAnsi" w:hAnsiTheme="majorHAnsi" w:cs="Arial"/>
          <w:color w:val="000000" w:themeColor="text1"/>
          <w:sz w:val="22"/>
          <w:szCs w:val="22"/>
        </w:rPr>
        <w:t xml:space="preserve">For instance, </w:t>
      </w:r>
      <w:r w:rsidR="004B12A2" w:rsidRPr="00A0433A">
        <w:rPr>
          <w:rFonts w:asciiTheme="majorHAnsi" w:hAnsiTheme="majorHAnsi" w:cs="Arial"/>
          <w:color w:val="000000" w:themeColor="text1"/>
          <w:sz w:val="22"/>
          <w:szCs w:val="22"/>
        </w:rPr>
        <w:t>ANROWS</w:t>
      </w:r>
      <w:r w:rsidR="004B12A2" w:rsidRPr="00A0433A">
        <w:rPr>
          <w:rFonts w:asciiTheme="minorHAnsi" w:hAnsiTheme="minorHAnsi" w:cstheme="minorHAnsi"/>
          <w:color w:val="000000" w:themeColor="text1"/>
          <w:vertAlign w:val="superscript"/>
        </w:rPr>
        <w:footnoteReference w:id="12"/>
      </w:r>
      <w:r w:rsidR="004B12A2" w:rsidRPr="00A0433A">
        <w:rPr>
          <w:rFonts w:asciiTheme="minorHAnsi" w:hAnsiTheme="minorHAnsi" w:cstheme="minorHAnsi"/>
          <w:color w:val="000000" w:themeColor="text1"/>
          <w:sz w:val="22"/>
          <w:szCs w:val="22"/>
          <w:vertAlign w:val="superscript"/>
        </w:rPr>
        <w:t xml:space="preserve"> </w:t>
      </w:r>
      <w:r w:rsidR="004B12A2" w:rsidRPr="00A0433A">
        <w:rPr>
          <w:rFonts w:asciiTheme="majorHAnsi" w:hAnsiTheme="majorHAnsi" w:cs="Arial"/>
          <w:color w:val="000000" w:themeColor="text1"/>
          <w:sz w:val="22"/>
          <w:szCs w:val="22"/>
        </w:rPr>
        <w:t xml:space="preserve">reports </w:t>
      </w:r>
      <w:r w:rsidR="004B12A2">
        <w:rPr>
          <w:rFonts w:asciiTheme="majorHAnsi" w:hAnsiTheme="majorHAnsi" w:cs="Arial"/>
          <w:color w:val="000000" w:themeColor="text1"/>
          <w:sz w:val="22"/>
          <w:szCs w:val="22"/>
        </w:rPr>
        <w:t xml:space="preserve">that it is important to </w:t>
      </w:r>
      <w:r w:rsidR="00EA5DF1">
        <w:rPr>
          <w:rFonts w:asciiTheme="majorHAnsi" w:hAnsiTheme="majorHAnsi" w:cs="Arial"/>
          <w:color w:val="000000" w:themeColor="text1"/>
          <w:sz w:val="22"/>
          <w:szCs w:val="22"/>
        </w:rPr>
        <w:t>c</w:t>
      </w:r>
      <w:r w:rsidR="00EA5DF1" w:rsidRPr="004B12A2">
        <w:rPr>
          <w:rFonts w:asciiTheme="majorHAnsi" w:hAnsiTheme="majorHAnsi" w:cs="Arial"/>
          <w:color w:val="000000" w:themeColor="text1"/>
          <w:sz w:val="22"/>
          <w:szCs w:val="22"/>
        </w:rPr>
        <w:t>ultivate</w:t>
      </w:r>
      <w:r w:rsidR="004B12A2" w:rsidRPr="00A0433A">
        <w:rPr>
          <w:rFonts w:asciiTheme="majorHAnsi" w:hAnsiTheme="majorHAnsi" w:cs="Arial"/>
          <w:color w:val="000000" w:themeColor="text1"/>
          <w:sz w:val="22"/>
          <w:szCs w:val="22"/>
        </w:rPr>
        <w:t xml:space="preserve"> stronger ties between specialist </w:t>
      </w:r>
      <w:r w:rsidR="004B12A2">
        <w:rPr>
          <w:rFonts w:asciiTheme="majorHAnsi" w:hAnsiTheme="majorHAnsi" w:cs="Arial"/>
          <w:color w:val="000000" w:themeColor="text1"/>
          <w:sz w:val="22"/>
          <w:szCs w:val="22"/>
        </w:rPr>
        <w:t xml:space="preserve">women’s </w:t>
      </w:r>
      <w:r w:rsidR="004B12A2" w:rsidRPr="00A0433A">
        <w:rPr>
          <w:rFonts w:asciiTheme="majorHAnsi" w:hAnsiTheme="majorHAnsi" w:cs="Arial"/>
          <w:color w:val="000000" w:themeColor="text1"/>
          <w:sz w:val="22"/>
          <w:szCs w:val="22"/>
        </w:rPr>
        <w:t>services and local Aboriginal organisations and leaders</w:t>
      </w:r>
      <w:r w:rsidR="00FD604E" w:rsidRPr="00342159">
        <w:rPr>
          <w:rFonts w:asciiTheme="majorHAnsi" w:hAnsiTheme="majorHAnsi" w:cs="Arial"/>
          <w:color w:val="000000" w:themeColor="text1"/>
          <w:sz w:val="22"/>
          <w:szCs w:val="22"/>
        </w:rPr>
        <w:t xml:space="preserve"> in order to fully meet the needs of Aboriginal and Torres Strait Islander women. </w:t>
      </w:r>
    </w:p>
    <w:p w14:paraId="1D7152BF" w14:textId="65213572" w:rsidR="00EA5DF1" w:rsidRDefault="00EA5DF1" w:rsidP="00A0433A">
      <w:pPr>
        <w:jc w:val="both"/>
        <w:rPr>
          <w:rFonts w:asciiTheme="majorHAnsi" w:hAnsiTheme="majorHAnsi" w:cs="Arial"/>
          <w:color w:val="000000" w:themeColor="text1"/>
          <w:sz w:val="22"/>
          <w:szCs w:val="22"/>
        </w:rPr>
      </w:pPr>
    </w:p>
    <w:p w14:paraId="460C545E" w14:textId="77777777" w:rsidR="00734469" w:rsidRDefault="00734469" w:rsidP="00A0433A">
      <w:pPr>
        <w:jc w:val="both"/>
        <w:rPr>
          <w:rFonts w:asciiTheme="majorHAnsi" w:hAnsiTheme="majorHAnsi" w:cs="Arial"/>
          <w:color w:val="000000" w:themeColor="text1"/>
          <w:sz w:val="22"/>
          <w:szCs w:val="22"/>
        </w:rPr>
      </w:pPr>
    </w:p>
    <w:p w14:paraId="20054A19" w14:textId="57C9A27E" w:rsidR="00734469" w:rsidRPr="00A0433A" w:rsidRDefault="00655083" w:rsidP="00B70F4B">
      <w:pPr>
        <w:jc w:val="both"/>
        <w:rPr>
          <w:rFonts w:asciiTheme="majorHAnsi" w:hAnsiTheme="majorHAnsi" w:cs="Arial"/>
          <w:color w:val="000000" w:themeColor="text1"/>
          <w:sz w:val="22"/>
          <w:szCs w:val="22"/>
        </w:rPr>
      </w:pPr>
      <w:r w:rsidRPr="00A0433A">
        <w:rPr>
          <w:rFonts w:asciiTheme="majorHAnsi" w:hAnsiTheme="majorHAnsi" w:cs="Arial"/>
          <w:color w:val="000000" w:themeColor="text1"/>
          <w:sz w:val="22"/>
          <w:szCs w:val="22"/>
        </w:rPr>
        <w:t xml:space="preserve">The unique role of specialist women’s services </w:t>
      </w:r>
      <w:r w:rsidR="00734469">
        <w:rPr>
          <w:rFonts w:asciiTheme="majorHAnsi" w:hAnsiTheme="majorHAnsi" w:cs="Arial"/>
          <w:color w:val="000000" w:themeColor="text1"/>
          <w:sz w:val="22"/>
          <w:szCs w:val="22"/>
        </w:rPr>
        <w:t xml:space="preserve">lies in enabling </w:t>
      </w:r>
      <w:r w:rsidR="00AA6391" w:rsidRPr="00A0433A">
        <w:rPr>
          <w:rFonts w:asciiTheme="majorHAnsi" w:hAnsiTheme="majorHAnsi" w:cs="Arial"/>
          <w:color w:val="000000" w:themeColor="text1"/>
          <w:sz w:val="22"/>
          <w:szCs w:val="22"/>
        </w:rPr>
        <w:t>better long</w:t>
      </w:r>
      <w:r w:rsidR="00A0433A">
        <w:rPr>
          <w:rFonts w:asciiTheme="majorHAnsi" w:hAnsiTheme="majorHAnsi" w:cs="Arial"/>
          <w:color w:val="000000" w:themeColor="text1"/>
          <w:sz w:val="22"/>
          <w:szCs w:val="22"/>
        </w:rPr>
        <w:t>-</w:t>
      </w:r>
      <w:r w:rsidR="00AA6391" w:rsidRPr="00A0433A">
        <w:rPr>
          <w:rFonts w:asciiTheme="majorHAnsi" w:hAnsiTheme="majorHAnsi" w:cs="Arial"/>
          <w:color w:val="000000" w:themeColor="text1"/>
          <w:sz w:val="22"/>
          <w:szCs w:val="22"/>
        </w:rPr>
        <w:t xml:space="preserve"> and short-term outcomes for women and children who have lived</w:t>
      </w:r>
      <w:r w:rsidR="00734469" w:rsidRPr="00B70F4B">
        <w:rPr>
          <w:rFonts w:asciiTheme="majorHAnsi" w:hAnsiTheme="majorHAnsi" w:cs="Arial"/>
          <w:color w:val="000000" w:themeColor="text1"/>
          <w:sz w:val="22"/>
          <w:szCs w:val="22"/>
        </w:rPr>
        <w:t xml:space="preserve"> with violence</w:t>
      </w:r>
      <w:r w:rsidR="00734469">
        <w:rPr>
          <w:rFonts w:asciiTheme="majorHAnsi" w:hAnsiTheme="majorHAnsi" w:cs="Arial"/>
          <w:color w:val="000000" w:themeColor="text1"/>
          <w:sz w:val="22"/>
          <w:szCs w:val="22"/>
        </w:rPr>
        <w:t xml:space="preserve">. In practice this means helping women to recognise patterns of coercion and control, advocating for a woman as </w:t>
      </w:r>
      <w:r w:rsidR="00734469" w:rsidRPr="00A0433A">
        <w:rPr>
          <w:rFonts w:asciiTheme="majorHAnsi" w:hAnsiTheme="majorHAnsi" w:cs="Arial"/>
          <w:color w:val="000000" w:themeColor="text1"/>
          <w:sz w:val="22"/>
          <w:szCs w:val="22"/>
        </w:rPr>
        <w:t>she navigates the complex legal and service systems</w:t>
      </w:r>
      <w:r w:rsidR="00734469">
        <w:rPr>
          <w:rFonts w:asciiTheme="majorHAnsi" w:hAnsiTheme="majorHAnsi" w:cs="Arial"/>
          <w:color w:val="000000" w:themeColor="text1"/>
          <w:sz w:val="22"/>
          <w:szCs w:val="22"/>
        </w:rPr>
        <w:t xml:space="preserve"> and mitigating possible negative assumption</w:t>
      </w:r>
      <w:r w:rsidR="00A0433A">
        <w:rPr>
          <w:rFonts w:asciiTheme="majorHAnsi" w:hAnsiTheme="majorHAnsi" w:cs="Arial"/>
          <w:color w:val="000000" w:themeColor="text1"/>
          <w:sz w:val="22"/>
          <w:szCs w:val="22"/>
        </w:rPr>
        <w:t>s</w:t>
      </w:r>
      <w:r w:rsidR="00734469">
        <w:rPr>
          <w:rFonts w:asciiTheme="majorHAnsi" w:hAnsiTheme="majorHAnsi" w:cs="Arial"/>
          <w:color w:val="000000" w:themeColor="text1"/>
          <w:sz w:val="22"/>
          <w:szCs w:val="22"/>
        </w:rPr>
        <w:t xml:space="preserve"> others may have about gender equality and violence against women. Specialist women’s services in supporting women treat their safety as a paramount principle</w:t>
      </w:r>
      <w:r w:rsidR="00734469" w:rsidRPr="00A0433A">
        <w:rPr>
          <w:rFonts w:asciiTheme="majorHAnsi" w:hAnsiTheme="majorHAnsi"/>
          <w:color w:val="000000" w:themeColor="text1"/>
          <w:sz w:val="22"/>
          <w:szCs w:val="22"/>
          <w:vertAlign w:val="superscript"/>
        </w:rPr>
        <w:footnoteReference w:id="13"/>
      </w:r>
      <w:r w:rsidR="00734469" w:rsidRPr="00B70F4B">
        <w:rPr>
          <w:rFonts w:asciiTheme="majorHAnsi" w:hAnsiTheme="majorHAnsi" w:cs="Arial"/>
          <w:color w:val="000000" w:themeColor="text1"/>
          <w:sz w:val="22"/>
          <w:szCs w:val="22"/>
        </w:rPr>
        <w:t xml:space="preserve">. </w:t>
      </w:r>
      <w:r w:rsidR="00A0433A">
        <w:rPr>
          <w:rFonts w:asciiTheme="majorHAnsi" w:hAnsiTheme="majorHAnsi" w:cs="Arial"/>
          <w:color w:val="000000" w:themeColor="text1"/>
          <w:sz w:val="22"/>
          <w:szCs w:val="22"/>
        </w:rPr>
        <w:t xml:space="preserve">Operating </w:t>
      </w:r>
      <w:r w:rsidR="00734469" w:rsidRPr="00A0433A">
        <w:rPr>
          <w:rFonts w:asciiTheme="majorHAnsi" w:hAnsiTheme="majorHAnsi" w:cs="Arial"/>
          <w:color w:val="000000" w:themeColor="text1"/>
          <w:sz w:val="22"/>
          <w:szCs w:val="22"/>
        </w:rPr>
        <w:t>from a client-centred, trauma-</w:t>
      </w:r>
      <w:r w:rsidR="00A0433A">
        <w:rPr>
          <w:rFonts w:asciiTheme="majorHAnsi" w:hAnsiTheme="majorHAnsi" w:cs="Arial"/>
          <w:color w:val="000000" w:themeColor="text1"/>
          <w:sz w:val="22"/>
          <w:szCs w:val="22"/>
        </w:rPr>
        <w:t>informed</w:t>
      </w:r>
      <w:r w:rsidR="00734469" w:rsidRPr="00A0433A">
        <w:rPr>
          <w:rFonts w:asciiTheme="majorHAnsi" w:hAnsiTheme="majorHAnsi" w:cs="Arial"/>
          <w:color w:val="000000" w:themeColor="text1"/>
          <w:sz w:val="22"/>
          <w:szCs w:val="22"/>
        </w:rPr>
        <w:t>, empowering framework</w:t>
      </w:r>
      <w:r w:rsidR="00734469" w:rsidRPr="00A0433A">
        <w:rPr>
          <w:rFonts w:asciiTheme="majorHAnsi" w:hAnsiTheme="majorHAnsi"/>
          <w:color w:val="000000" w:themeColor="text1"/>
          <w:sz w:val="22"/>
          <w:szCs w:val="22"/>
          <w:vertAlign w:val="superscript"/>
        </w:rPr>
        <w:footnoteReference w:id="14"/>
      </w:r>
      <w:r w:rsidR="00001B18">
        <w:rPr>
          <w:rFonts w:asciiTheme="majorHAnsi" w:hAnsiTheme="majorHAnsi" w:cs="Arial"/>
          <w:color w:val="000000" w:themeColor="text1"/>
          <w:sz w:val="22"/>
          <w:szCs w:val="22"/>
        </w:rPr>
        <w:t>,</w:t>
      </w:r>
      <w:r w:rsidR="00734469" w:rsidRPr="00A0433A">
        <w:rPr>
          <w:rFonts w:asciiTheme="majorHAnsi" w:hAnsiTheme="majorHAnsi" w:cs="Arial"/>
          <w:color w:val="000000" w:themeColor="text1"/>
          <w:sz w:val="22"/>
          <w:szCs w:val="22"/>
        </w:rPr>
        <w:t xml:space="preserve"> </w:t>
      </w:r>
      <w:r w:rsidR="00734469">
        <w:rPr>
          <w:rFonts w:asciiTheme="majorHAnsi" w:hAnsiTheme="majorHAnsi" w:cs="Arial"/>
          <w:color w:val="000000" w:themeColor="text1"/>
          <w:sz w:val="22"/>
          <w:szCs w:val="22"/>
        </w:rPr>
        <w:t xml:space="preserve">specialist women’s services </w:t>
      </w:r>
      <w:r w:rsidR="00734469" w:rsidRPr="00B70F4B">
        <w:rPr>
          <w:rFonts w:asciiTheme="majorHAnsi" w:hAnsiTheme="majorHAnsi" w:cs="Arial"/>
          <w:color w:val="000000" w:themeColor="text1"/>
          <w:sz w:val="22"/>
          <w:szCs w:val="22"/>
        </w:rPr>
        <w:t>work</w:t>
      </w:r>
      <w:r w:rsidR="00734469" w:rsidRPr="00A0433A">
        <w:rPr>
          <w:rFonts w:asciiTheme="majorHAnsi" w:hAnsiTheme="majorHAnsi" w:cs="Arial"/>
          <w:color w:val="000000" w:themeColor="text1"/>
          <w:sz w:val="22"/>
          <w:szCs w:val="22"/>
        </w:rPr>
        <w:t xml:space="preserve"> towards greater gender equality</w:t>
      </w:r>
      <w:r w:rsidR="00A0433A">
        <w:rPr>
          <w:rFonts w:asciiTheme="majorHAnsi" w:hAnsiTheme="majorHAnsi" w:cs="Arial"/>
          <w:color w:val="000000" w:themeColor="text1"/>
          <w:sz w:val="22"/>
          <w:szCs w:val="22"/>
        </w:rPr>
        <w:t xml:space="preserve"> while</w:t>
      </w:r>
      <w:r w:rsidR="00734469" w:rsidRPr="00A0433A">
        <w:rPr>
          <w:rFonts w:asciiTheme="majorHAnsi" w:hAnsiTheme="majorHAnsi" w:cs="Arial"/>
          <w:color w:val="000000" w:themeColor="text1"/>
          <w:sz w:val="22"/>
          <w:szCs w:val="22"/>
        </w:rPr>
        <w:t xml:space="preserve"> recognising the complexity of intersectionality and that women are best qualified to decide </w:t>
      </w:r>
      <w:r w:rsidR="00A0433A">
        <w:rPr>
          <w:rFonts w:asciiTheme="majorHAnsi" w:hAnsiTheme="majorHAnsi" w:cs="Arial"/>
          <w:color w:val="000000" w:themeColor="text1"/>
          <w:sz w:val="22"/>
          <w:szCs w:val="22"/>
        </w:rPr>
        <w:t xml:space="preserve">on </w:t>
      </w:r>
      <w:r w:rsidR="00734469" w:rsidRPr="00A0433A">
        <w:rPr>
          <w:rFonts w:asciiTheme="majorHAnsi" w:hAnsiTheme="majorHAnsi" w:cs="Arial"/>
          <w:color w:val="000000" w:themeColor="text1"/>
          <w:sz w:val="22"/>
          <w:szCs w:val="22"/>
        </w:rPr>
        <w:t xml:space="preserve">their </w:t>
      </w:r>
      <w:r w:rsidR="00A0433A">
        <w:rPr>
          <w:rFonts w:asciiTheme="majorHAnsi" w:hAnsiTheme="majorHAnsi" w:cs="Arial"/>
          <w:color w:val="000000" w:themeColor="text1"/>
          <w:sz w:val="22"/>
          <w:szCs w:val="22"/>
        </w:rPr>
        <w:t xml:space="preserve">own </w:t>
      </w:r>
      <w:r w:rsidR="00734469" w:rsidRPr="00A0433A">
        <w:rPr>
          <w:rFonts w:asciiTheme="majorHAnsi" w:hAnsiTheme="majorHAnsi" w:cs="Arial"/>
          <w:color w:val="000000" w:themeColor="text1"/>
          <w:sz w:val="22"/>
          <w:szCs w:val="22"/>
        </w:rPr>
        <w:t>pathway</w:t>
      </w:r>
      <w:r w:rsidR="00A0433A">
        <w:rPr>
          <w:rFonts w:asciiTheme="majorHAnsi" w:hAnsiTheme="majorHAnsi" w:cs="Arial"/>
          <w:color w:val="000000" w:themeColor="text1"/>
          <w:sz w:val="22"/>
          <w:szCs w:val="22"/>
        </w:rPr>
        <w:t>s</w:t>
      </w:r>
      <w:r w:rsidR="00734469" w:rsidRPr="00A0433A">
        <w:rPr>
          <w:rFonts w:asciiTheme="majorHAnsi" w:hAnsiTheme="majorHAnsi" w:cs="Arial"/>
          <w:color w:val="000000" w:themeColor="text1"/>
          <w:sz w:val="22"/>
          <w:szCs w:val="22"/>
        </w:rPr>
        <w:t xml:space="preserve"> to recovery from violence and trauma.</w:t>
      </w:r>
      <w:r w:rsidR="00734469" w:rsidRPr="00A0433A">
        <w:rPr>
          <w:rFonts w:asciiTheme="majorHAnsi" w:hAnsiTheme="majorHAnsi"/>
          <w:color w:val="000000" w:themeColor="text1"/>
          <w:sz w:val="22"/>
          <w:szCs w:val="22"/>
          <w:vertAlign w:val="superscript"/>
        </w:rPr>
        <w:footnoteReference w:id="15"/>
      </w:r>
      <w:bookmarkStart w:id="0" w:name="_GoBack"/>
      <w:bookmarkEnd w:id="0"/>
    </w:p>
    <w:p w14:paraId="138CC9A6" w14:textId="107C290B" w:rsidR="00BD6C84" w:rsidRPr="00E94541" w:rsidRDefault="00BD6C84" w:rsidP="00BD6C84">
      <w:pPr>
        <w:jc w:val="both"/>
        <w:rPr>
          <w:rFonts w:asciiTheme="majorHAnsi" w:hAnsiTheme="majorHAnsi" w:cs="Arial"/>
          <w:sz w:val="22"/>
          <w:szCs w:val="22"/>
          <w:lang w:val="en-AU" w:eastAsia="en-US"/>
        </w:rPr>
      </w:pPr>
    </w:p>
    <w:p w14:paraId="1B209543" w14:textId="77777777" w:rsidR="00BD6C84" w:rsidRPr="00E94541" w:rsidRDefault="00BD6C84" w:rsidP="00BD6C84">
      <w:pPr>
        <w:jc w:val="both"/>
        <w:rPr>
          <w:rFonts w:asciiTheme="majorHAnsi" w:hAnsiTheme="majorHAnsi" w:cs="Arial"/>
          <w:sz w:val="22"/>
          <w:szCs w:val="22"/>
          <w:lang w:val="en-AU" w:eastAsia="en-US"/>
        </w:rPr>
      </w:pPr>
    </w:p>
    <w:p w14:paraId="4C0AE868" w14:textId="7C89A710" w:rsidR="00BD6C84" w:rsidRPr="008F6EBB" w:rsidRDefault="00BD6C84" w:rsidP="00BD6C84">
      <w:pPr>
        <w:jc w:val="both"/>
        <w:rPr>
          <w:rFonts w:asciiTheme="majorHAnsi" w:hAnsiTheme="majorHAnsi" w:cs="Arial"/>
          <w:sz w:val="22"/>
          <w:szCs w:val="22"/>
          <w:lang w:val="en-AU" w:eastAsia="en-US"/>
        </w:rPr>
      </w:pPr>
    </w:p>
    <w:p w14:paraId="2E4A4D68" w14:textId="77777777" w:rsidR="00BD6C84" w:rsidRPr="00E94541" w:rsidRDefault="00BD6C84" w:rsidP="00012A91">
      <w:pPr>
        <w:jc w:val="both"/>
        <w:rPr>
          <w:rFonts w:asciiTheme="majorHAnsi" w:hAnsiTheme="majorHAnsi" w:cs="Arial"/>
          <w:sz w:val="22"/>
          <w:szCs w:val="22"/>
        </w:rPr>
      </w:pPr>
    </w:p>
    <w:p w14:paraId="66E93F34" w14:textId="77777777" w:rsidR="00E94541" w:rsidRPr="00A41275" w:rsidRDefault="00E94541" w:rsidP="00012A91">
      <w:pPr>
        <w:jc w:val="both"/>
        <w:rPr>
          <w:rFonts w:ascii="Calibri" w:hAnsi="Calibri"/>
          <w:sz w:val="22"/>
          <w:szCs w:val="22"/>
        </w:rPr>
      </w:pPr>
    </w:p>
    <w:sectPr w:rsidR="00E94541" w:rsidRPr="00A41275" w:rsidSect="00564914">
      <w:footerReference w:type="default" r:id="rId8"/>
      <w:footnotePr>
        <w:pos w:val="beneathText"/>
      </w:footnotePr>
      <w:type w:val="continuous"/>
      <w:pgSz w:w="11900" w:h="16840" w:code="9"/>
      <w:pgMar w:top="720" w:right="720" w:bottom="568" w:left="720" w:header="709" w:footer="1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CB6A2" w14:textId="77777777" w:rsidR="00A103C6" w:rsidRDefault="00A103C6" w:rsidP="002748D0">
      <w:r>
        <w:separator/>
      </w:r>
    </w:p>
  </w:endnote>
  <w:endnote w:type="continuationSeparator" w:id="0">
    <w:p w14:paraId="1FB3D28A" w14:textId="77777777" w:rsidR="00A103C6" w:rsidRDefault="00A103C6" w:rsidP="00274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D9004" w14:textId="20104914" w:rsidR="00564914" w:rsidRPr="00564914" w:rsidRDefault="00564914">
    <w:pPr>
      <w:tabs>
        <w:tab w:val="center" w:pos="4550"/>
        <w:tab w:val="left" w:pos="5818"/>
      </w:tabs>
      <w:ind w:right="260"/>
      <w:jc w:val="right"/>
      <w:rPr>
        <w:rFonts w:asciiTheme="minorHAnsi" w:hAnsiTheme="minorHAnsi" w:cstheme="minorHAnsi"/>
        <w:color w:val="222A35" w:themeColor="text2" w:themeShade="80"/>
        <w:sz w:val="18"/>
        <w:szCs w:val="18"/>
      </w:rPr>
    </w:pPr>
    <w:r w:rsidRPr="00564914">
      <w:rPr>
        <w:rFonts w:asciiTheme="minorHAnsi" w:hAnsiTheme="minorHAnsi" w:cstheme="minorHAnsi"/>
        <w:color w:val="8496B0" w:themeColor="text2" w:themeTint="99"/>
        <w:spacing w:val="60"/>
        <w:sz w:val="18"/>
        <w:szCs w:val="18"/>
      </w:rPr>
      <w:t>Page</w:t>
    </w:r>
    <w:r w:rsidRPr="00564914">
      <w:rPr>
        <w:rFonts w:asciiTheme="minorHAnsi" w:hAnsiTheme="minorHAnsi" w:cstheme="minorHAnsi"/>
        <w:color w:val="8496B0" w:themeColor="text2" w:themeTint="99"/>
        <w:sz w:val="18"/>
        <w:szCs w:val="18"/>
      </w:rPr>
      <w:t xml:space="preserve"> </w:t>
    </w:r>
    <w:r w:rsidRPr="00564914">
      <w:rPr>
        <w:rFonts w:asciiTheme="minorHAnsi" w:hAnsiTheme="minorHAnsi" w:cstheme="minorHAnsi"/>
        <w:color w:val="323E4F" w:themeColor="text2" w:themeShade="BF"/>
        <w:sz w:val="18"/>
        <w:szCs w:val="18"/>
      </w:rPr>
      <w:fldChar w:fldCharType="begin"/>
    </w:r>
    <w:r w:rsidRPr="00564914">
      <w:rPr>
        <w:rFonts w:asciiTheme="minorHAnsi" w:hAnsiTheme="minorHAnsi" w:cstheme="minorHAnsi"/>
        <w:color w:val="323E4F" w:themeColor="text2" w:themeShade="BF"/>
        <w:sz w:val="18"/>
        <w:szCs w:val="18"/>
      </w:rPr>
      <w:instrText xml:space="preserve"> PAGE   \* MERGEFORMAT </w:instrText>
    </w:r>
    <w:r w:rsidRPr="00564914">
      <w:rPr>
        <w:rFonts w:asciiTheme="minorHAnsi" w:hAnsiTheme="minorHAnsi" w:cstheme="minorHAnsi"/>
        <w:color w:val="323E4F" w:themeColor="text2" w:themeShade="BF"/>
        <w:sz w:val="18"/>
        <w:szCs w:val="18"/>
      </w:rPr>
      <w:fldChar w:fldCharType="separate"/>
    </w:r>
    <w:r w:rsidR="00E94D4E">
      <w:rPr>
        <w:rFonts w:asciiTheme="minorHAnsi" w:hAnsiTheme="minorHAnsi" w:cstheme="minorHAnsi"/>
        <w:noProof/>
        <w:color w:val="323E4F" w:themeColor="text2" w:themeShade="BF"/>
        <w:sz w:val="18"/>
        <w:szCs w:val="18"/>
      </w:rPr>
      <w:t>1</w:t>
    </w:r>
    <w:r w:rsidRPr="00564914">
      <w:rPr>
        <w:rFonts w:asciiTheme="minorHAnsi" w:hAnsiTheme="minorHAnsi" w:cstheme="minorHAnsi"/>
        <w:color w:val="323E4F" w:themeColor="text2" w:themeShade="BF"/>
        <w:sz w:val="18"/>
        <w:szCs w:val="18"/>
      </w:rPr>
      <w:fldChar w:fldCharType="end"/>
    </w:r>
    <w:r w:rsidRPr="00564914">
      <w:rPr>
        <w:rFonts w:asciiTheme="minorHAnsi" w:hAnsiTheme="minorHAnsi" w:cstheme="minorHAnsi"/>
        <w:color w:val="323E4F" w:themeColor="text2" w:themeShade="BF"/>
        <w:sz w:val="18"/>
        <w:szCs w:val="18"/>
      </w:rPr>
      <w:t xml:space="preserve"> | </w:t>
    </w:r>
    <w:r w:rsidRPr="00564914">
      <w:rPr>
        <w:rFonts w:asciiTheme="minorHAnsi" w:hAnsiTheme="minorHAnsi" w:cstheme="minorHAnsi"/>
        <w:color w:val="323E4F" w:themeColor="text2" w:themeShade="BF"/>
        <w:sz w:val="18"/>
        <w:szCs w:val="18"/>
      </w:rPr>
      <w:fldChar w:fldCharType="begin"/>
    </w:r>
    <w:r w:rsidRPr="00564914">
      <w:rPr>
        <w:rFonts w:asciiTheme="minorHAnsi" w:hAnsiTheme="minorHAnsi" w:cstheme="minorHAnsi"/>
        <w:color w:val="323E4F" w:themeColor="text2" w:themeShade="BF"/>
        <w:sz w:val="18"/>
        <w:szCs w:val="18"/>
      </w:rPr>
      <w:instrText xml:space="preserve"> NUMPAGES  \* Arabic  \* MERGEFORMAT </w:instrText>
    </w:r>
    <w:r w:rsidRPr="00564914">
      <w:rPr>
        <w:rFonts w:asciiTheme="minorHAnsi" w:hAnsiTheme="minorHAnsi" w:cstheme="minorHAnsi"/>
        <w:color w:val="323E4F" w:themeColor="text2" w:themeShade="BF"/>
        <w:sz w:val="18"/>
        <w:szCs w:val="18"/>
      </w:rPr>
      <w:fldChar w:fldCharType="separate"/>
    </w:r>
    <w:r w:rsidR="00E94D4E">
      <w:rPr>
        <w:rFonts w:asciiTheme="minorHAnsi" w:hAnsiTheme="minorHAnsi" w:cstheme="minorHAnsi"/>
        <w:noProof/>
        <w:color w:val="323E4F" w:themeColor="text2" w:themeShade="BF"/>
        <w:sz w:val="18"/>
        <w:szCs w:val="18"/>
      </w:rPr>
      <w:t>3</w:t>
    </w:r>
    <w:r w:rsidRPr="00564914">
      <w:rPr>
        <w:rFonts w:asciiTheme="minorHAnsi" w:hAnsiTheme="minorHAnsi" w:cstheme="minorHAnsi"/>
        <w:color w:val="323E4F" w:themeColor="text2" w:themeShade="BF"/>
        <w:sz w:val="18"/>
        <w:szCs w:val="18"/>
      </w:rPr>
      <w:fldChar w:fldCharType="end"/>
    </w:r>
  </w:p>
  <w:p w14:paraId="595E06D8" w14:textId="77777777" w:rsidR="00012A91" w:rsidRDefault="00012A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C8AEDE" w14:textId="77777777" w:rsidR="00A103C6" w:rsidRDefault="00A103C6" w:rsidP="002748D0">
      <w:r>
        <w:separator/>
      </w:r>
    </w:p>
  </w:footnote>
  <w:footnote w:type="continuationSeparator" w:id="0">
    <w:p w14:paraId="39F05ED9" w14:textId="77777777" w:rsidR="00A103C6" w:rsidRDefault="00A103C6" w:rsidP="002748D0">
      <w:r>
        <w:continuationSeparator/>
      </w:r>
    </w:p>
  </w:footnote>
  <w:footnote w:id="1">
    <w:p w14:paraId="3E6B812B" w14:textId="3429F561" w:rsidR="00EA5DF1" w:rsidRPr="00EA5DF1" w:rsidRDefault="00EA5DF1" w:rsidP="00EA5DF1">
      <w:pPr>
        <w:pStyle w:val="FootnoteText"/>
      </w:pPr>
      <w:r w:rsidRPr="00A0433A">
        <w:footnoteRef/>
      </w:r>
      <w:r w:rsidRPr="00A0433A">
        <w:rPr>
          <w:vertAlign w:val="superscript"/>
        </w:rPr>
        <w:t xml:space="preserve"> </w:t>
      </w:r>
      <w:r w:rsidRPr="00EA5DF1">
        <w:t xml:space="preserve">AWAVA 2016:  </w:t>
      </w:r>
      <w:r w:rsidRPr="00A0433A">
        <w:t>The role of specialist women’s services in Australia’s response to violence against women and their children</w:t>
      </w:r>
      <w:r>
        <w:t xml:space="preserve"> </w:t>
      </w:r>
      <w:r w:rsidRPr="00EA5DF1">
        <w:t>http://awava.org.au/2016/04/07/research/role-specialist-womens-services-australias-response-violence-women-children</w:t>
      </w:r>
    </w:p>
  </w:footnote>
  <w:footnote w:id="2">
    <w:p w14:paraId="02D8C1EB" w14:textId="77777777" w:rsidR="00912CFA" w:rsidRPr="00153F2A" w:rsidRDefault="00912CFA" w:rsidP="00912CFA">
      <w:pPr>
        <w:pStyle w:val="FootnoteText"/>
      </w:pPr>
      <w:r w:rsidRPr="00A0433A">
        <w:footnoteRef/>
      </w:r>
      <w:r w:rsidRPr="00A0433A">
        <w:rPr>
          <w:vertAlign w:val="superscript"/>
        </w:rPr>
        <w:t xml:space="preserve"> </w:t>
      </w:r>
      <w:r w:rsidRPr="002727E7">
        <w:t xml:space="preserve">National Association of Services Against Sexual Violence (2015) </w:t>
      </w:r>
      <w:r w:rsidRPr="003D6F13">
        <w:t>Standards of Practice Manual for Services Against Sexual Violence</w:t>
      </w:r>
      <w:r w:rsidRPr="002727E7">
        <w:t xml:space="preserve">, 2nd Edition, </w:t>
      </w:r>
      <w:hyperlink r:id="rId1" w:history="1">
        <w:r w:rsidRPr="003D6F13">
          <w:t>http://www.nasasv.org.au/PDFs/NASASV_Standards_2nd_Edition_2015.pdf</w:t>
        </w:r>
      </w:hyperlink>
      <w:r w:rsidRPr="00153F2A">
        <w:t xml:space="preserve"> </w:t>
      </w:r>
    </w:p>
  </w:footnote>
  <w:footnote w:id="3">
    <w:p w14:paraId="6F08E2DE" w14:textId="32CDB144" w:rsidR="00517880" w:rsidRPr="00A0433A" w:rsidRDefault="00517880" w:rsidP="00517880">
      <w:pPr>
        <w:pStyle w:val="FootnoteText"/>
        <w:rPr>
          <w:lang w:val="en-US"/>
        </w:rPr>
      </w:pPr>
      <w:r>
        <w:rPr>
          <w:rStyle w:val="FootnoteReference"/>
        </w:rPr>
        <w:footnoteRef/>
      </w:r>
      <w:r>
        <w:t xml:space="preserve"> </w:t>
      </w:r>
      <w:r w:rsidRPr="00A0433A">
        <w:rPr>
          <w:rFonts w:cs="Minion Pro"/>
          <w:color w:val="000000"/>
        </w:rPr>
        <w:t xml:space="preserve">Andrew, M. (2013). The institutional harvest: women’s services and women’s policy agencies. Maddison, S., and Sawer, M. (eds.) (2013). </w:t>
      </w:r>
      <w:r w:rsidRPr="00A0433A">
        <w:rPr>
          <w:rFonts w:cs="Minion Pro"/>
          <w:i/>
          <w:iCs/>
          <w:color w:val="000000"/>
        </w:rPr>
        <w:t xml:space="preserve">The Women’s Movement in Protest, Institutions and the Internet </w:t>
      </w:r>
      <w:r w:rsidRPr="00A0433A">
        <w:rPr>
          <w:rFonts w:cs="Minion Pro"/>
          <w:color w:val="000000"/>
        </w:rPr>
        <w:t>(pp. 87-104). New York, NY: Routledge.</w:t>
      </w:r>
    </w:p>
  </w:footnote>
  <w:footnote w:id="4">
    <w:p w14:paraId="5E7A20EC" w14:textId="59C2E098" w:rsidR="00517880" w:rsidRPr="00A0433A" w:rsidRDefault="00517880">
      <w:pPr>
        <w:pStyle w:val="FootnoteText"/>
        <w:rPr>
          <w:lang w:val="en-US"/>
        </w:rPr>
      </w:pPr>
      <w:r>
        <w:rPr>
          <w:rStyle w:val="FootnoteReference"/>
        </w:rPr>
        <w:footnoteRef/>
      </w:r>
      <w:r>
        <w:t xml:space="preserve"> </w:t>
      </w:r>
      <w:r w:rsidRPr="00641A28">
        <w:t>ANROWS 2017: Women’s specialist domestic and family violence services: Their responses and practices with and for Aboriginal women: Key findings and future directions</w:t>
      </w:r>
      <w:r w:rsidR="00E661CD">
        <w:t>.</w:t>
      </w:r>
    </w:p>
  </w:footnote>
  <w:footnote w:id="5">
    <w:p w14:paraId="0F492DE3" w14:textId="10A7D410" w:rsidR="008F6EBB" w:rsidRPr="00BD6C84" w:rsidRDefault="008F6EBB" w:rsidP="00360DAE">
      <w:pPr>
        <w:rPr>
          <w:rFonts w:asciiTheme="minorHAnsi" w:hAnsiTheme="minorHAnsi" w:cstheme="minorHAnsi"/>
          <w:b/>
          <w:noProof/>
          <w:sz w:val="18"/>
          <w:szCs w:val="18"/>
        </w:rPr>
      </w:pPr>
      <w:r w:rsidRPr="00360DAE">
        <w:rPr>
          <w:rStyle w:val="FootnoteReference"/>
          <w:rFonts w:asciiTheme="majorHAnsi" w:hAnsiTheme="majorHAnsi"/>
          <w:sz w:val="22"/>
          <w:szCs w:val="22"/>
        </w:rPr>
        <w:footnoteRef/>
      </w:r>
      <w:r w:rsidRPr="00360DAE">
        <w:rPr>
          <w:rFonts w:asciiTheme="majorHAnsi" w:hAnsiTheme="majorHAnsi"/>
          <w:sz w:val="22"/>
          <w:szCs w:val="22"/>
        </w:rPr>
        <w:t xml:space="preserve"> </w:t>
      </w:r>
      <w:r w:rsidRPr="00BD6C84">
        <w:rPr>
          <w:rFonts w:asciiTheme="minorHAnsi" w:hAnsiTheme="minorHAnsi" w:cstheme="minorHAnsi"/>
          <w:sz w:val="18"/>
          <w:szCs w:val="18"/>
        </w:rPr>
        <w:t xml:space="preserve">UNWOMEN 2016: Essential Services Package for Women and Girls Subject to Violence: Core Elements and Quality Guidelines </w:t>
      </w:r>
    </w:p>
  </w:footnote>
  <w:footnote w:id="6">
    <w:p w14:paraId="42041790" w14:textId="0DE8FCDC" w:rsidR="008F6EBB" w:rsidRPr="00912CFA" w:rsidRDefault="008F6EBB" w:rsidP="008C57E5">
      <w:pPr>
        <w:pStyle w:val="FootnoteText"/>
        <w:rPr>
          <w:lang w:val="en-US"/>
        </w:rPr>
      </w:pPr>
      <w:r w:rsidRPr="00BD6C84">
        <w:rPr>
          <w:rStyle w:val="FootnoteReference"/>
        </w:rPr>
        <w:footnoteRef/>
      </w:r>
      <w:r w:rsidRPr="00912CFA">
        <w:t xml:space="preserve"> </w:t>
      </w:r>
      <w:r w:rsidR="00564914">
        <w:t>Ibid.</w:t>
      </w:r>
    </w:p>
  </w:footnote>
  <w:footnote w:id="7">
    <w:p w14:paraId="7FBFB188" w14:textId="0FC0AD8A" w:rsidR="00564914" w:rsidRPr="00912CFA" w:rsidRDefault="00564914" w:rsidP="00564914">
      <w:pPr>
        <w:pStyle w:val="FootnoteText"/>
        <w:rPr>
          <w:lang w:val="en-US"/>
        </w:rPr>
      </w:pPr>
      <w:r w:rsidRPr="00BD6C84">
        <w:rPr>
          <w:rStyle w:val="FootnoteReference"/>
        </w:rPr>
        <w:footnoteRef/>
      </w:r>
      <w:r w:rsidRPr="00912CFA">
        <w:t xml:space="preserve"> Allen, N., Larsen, S., Trotter, J,&amp; Sullivan, C. M. (2012). Exploring the Core Service Delivery Processes of an evidence-based community advocacy program for women with abusive partners. Journal of Community Psychology,14(1),</w:t>
      </w:r>
      <w:r w:rsidR="00923BFF">
        <w:t xml:space="preserve"> </w:t>
      </w:r>
      <w:r w:rsidRPr="00912CFA">
        <w:t>1-18.</w:t>
      </w:r>
    </w:p>
  </w:footnote>
  <w:footnote w:id="8">
    <w:p w14:paraId="38E5FC08" w14:textId="77777777" w:rsidR="008F6EBB" w:rsidRPr="00360DAE" w:rsidRDefault="008F6EBB" w:rsidP="00BD6C84">
      <w:pPr>
        <w:pStyle w:val="FootnoteText"/>
        <w:rPr>
          <w:lang w:val="en-US"/>
        </w:rPr>
      </w:pPr>
      <w:r w:rsidRPr="00BD6C84">
        <w:rPr>
          <w:rStyle w:val="FootnoteReference"/>
        </w:rPr>
        <w:footnoteRef/>
      </w:r>
      <w:r w:rsidRPr="00912CFA">
        <w:t xml:space="preserve"> </w:t>
      </w:r>
      <w:r w:rsidRPr="00912CFA">
        <w:rPr>
          <w:shd w:val="clear" w:color="auto" w:fill="FFFFFF"/>
        </w:rPr>
        <w:t>Zweig, J.M. &amp; Burt, M.R. (2007). Predicting women's perceptions of domestic violence and sexual assault agency helpfulness: What matters to program clients? </w:t>
      </w:r>
      <w:r w:rsidRPr="00912CFA">
        <w:rPr>
          <w:i/>
          <w:iCs/>
          <w:shd w:val="clear" w:color="auto" w:fill="FFFFFF"/>
        </w:rPr>
        <w:t>Violence against Women, 13</w:t>
      </w:r>
      <w:r w:rsidRPr="00BD6C84">
        <w:rPr>
          <w:shd w:val="clear" w:color="auto" w:fill="FFFFFF"/>
        </w:rPr>
        <w:t>, 1149-1178</w:t>
      </w:r>
    </w:p>
  </w:footnote>
  <w:footnote w:id="9">
    <w:p w14:paraId="1AD8AFF6" w14:textId="0CDFAAAA" w:rsidR="008F6EBB" w:rsidRPr="00360DAE" w:rsidRDefault="008F6EBB" w:rsidP="00BD6C84">
      <w:pPr>
        <w:pStyle w:val="FootnoteText"/>
        <w:rPr>
          <w:lang w:val="en-US"/>
        </w:rPr>
      </w:pPr>
      <w:r w:rsidRPr="00360DAE">
        <w:rPr>
          <w:rStyle w:val="FootnoteReference"/>
          <w:rFonts w:asciiTheme="majorHAnsi" w:hAnsiTheme="majorHAnsi" w:cs="Arial"/>
          <w:sz w:val="22"/>
          <w:szCs w:val="22"/>
        </w:rPr>
        <w:footnoteRef/>
      </w:r>
      <w:r w:rsidRPr="00360DAE">
        <w:t xml:space="preserve"> Tually, D., Faulkner, D., Cutler, C., Slatter, M. (2008), Women, Domestic and Family Violence and Homelessness, Commonwealth of Australia </w:t>
      </w:r>
    </w:p>
  </w:footnote>
  <w:footnote w:id="10">
    <w:p w14:paraId="1F578D54" w14:textId="55D7C4B6" w:rsidR="008F6EBB" w:rsidRPr="00360DAE" w:rsidRDefault="008F6EBB" w:rsidP="004B12A2">
      <w:pPr>
        <w:pStyle w:val="FootnoteText"/>
      </w:pPr>
      <w:r w:rsidRPr="00360DAE">
        <w:rPr>
          <w:rStyle w:val="FootnoteReference"/>
          <w:rFonts w:asciiTheme="majorHAnsi" w:hAnsiTheme="majorHAnsi"/>
          <w:sz w:val="22"/>
          <w:szCs w:val="22"/>
        </w:rPr>
        <w:footnoteRef/>
      </w:r>
      <w:r w:rsidRPr="00360DAE">
        <w:t xml:space="preserve"> UNWOMEN 2016: Essential Services Package for Women and Girls Subject to Violence: Core Elements and Quality Guidelines</w:t>
      </w:r>
    </w:p>
  </w:footnote>
  <w:footnote w:id="11">
    <w:p w14:paraId="478A82A8" w14:textId="518273E6" w:rsidR="008F6EBB" w:rsidRPr="00360DAE" w:rsidRDefault="008F6EBB" w:rsidP="004B12A2">
      <w:pPr>
        <w:pStyle w:val="FootnoteText"/>
      </w:pPr>
      <w:r w:rsidRPr="00360DAE">
        <w:rPr>
          <w:rStyle w:val="FootnoteReference"/>
          <w:rFonts w:asciiTheme="majorHAnsi" w:hAnsiTheme="majorHAnsi"/>
          <w:sz w:val="22"/>
          <w:szCs w:val="22"/>
        </w:rPr>
        <w:footnoteRef/>
      </w:r>
      <w:r w:rsidRPr="00360DAE">
        <w:t xml:space="preserve"> UNWOMEN 2016: Essential Services Package for Women and Girls Subject to Violence: Core Elements and Quality Guidelines</w:t>
      </w:r>
    </w:p>
  </w:footnote>
  <w:footnote w:id="12">
    <w:p w14:paraId="622AAB4F" w14:textId="6ED7B3D7" w:rsidR="004B12A2" w:rsidRPr="00A0433A" w:rsidRDefault="004B12A2" w:rsidP="00A0433A">
      <w:pPr>
        <w:pStyle w:val="Heading1"/>
        <w:shd w:val="clear" w:color="auto" w:fill="FFFFFF"/>
        <w:spacing w:before="0"/>
        <w:rPr>
          <w:color w:val="000000"/>
          <w:lang w:eastAsia="en-AU"/>
        </w:rPr>
      </w:pPr>
      <w:r w:rsidRPr="00A0433A">
        <w:rPr>
          <w:rStyle w:val="FootnoteReference"/>
          <w:rFonts w:asciiTheme="minorHAnsi" w:hAnsiTheme="minorHAnsi" w:cstheme="minorHAnsi"/>
          <w:sz w:val="18"/>
          <w:szCs w:val="18"/>
        </w:rPr>
        <w:footnoteRef/>
      </w:r>
      <w:r w:rsidRPr="00A0433A">
        <w:rPr>
          <w:rFonts w:asciiTheme="minorHAnsi" w:hAnsiTheme="minorHAnsi" w:cstheme="minorHAnsi"/>
          <w:sz w:val="18"/>
          <w:szCs w:val="18"/>
        </w:rPr>
        <w:t xml:space="preserve"> </w:t>
      </w:r>
      <w:r w:rsidRPr="004B12A2">
        <w:rPr>
          <w:rFonts w:asciiTheme="minorHAnsi" w:eastAsia="Times New Roman" w:hAnsiTheme="minorHAnsi" w:cstheme="minorHAnsi"/>
          <w:color w:val="auto"/>
          <w:sz w:val="18"/>
          <w:szCs w:val="18"/>
        </w:rPr>
        <w:t xml:space="preserve">ANROWS 2017: </w:t>
      </w:r>
      <w:r w:rsidRPr="00A0433A">
        <w:rPr>
          <w:rFonts w:asciiTheme="minorHAnsi" w:eastAsia="Times New Roman" w:hAnsiTheme="minorHAnsi" w:cstheme="minorHAnsi"/>
          <w:color w:val="auto"/>
          <w:sz w:val="18"/>
          <w:szCs w:val="18"/>
        </w:rPr>
        <w:t xml:space="preserve">Women’s specialist domestic and family violence services: Their responses and practices with and for Aboriginal women: Key findings and future directions. </w:t>
      </w:r>
    </w:p>
  </w:footnote>
  <w:footnote w:id="13">
    <w:p w14:paraId="1E373068" w14:textId="77777777" w:rsidR="00734469" w:rsidRDefault="00734469" w:rsidP="00734469">
      <w:pPr>
        <w:pStyle w:val="FootnoteText"/>
      </w:pPr>
      <w:r>
        <w:rPr>
          <w:rStyle w:val="FootnoteReference"/>
        </w:rPr>
        <w:footnoteRef/>
      </w:r>
      <w:r>
        <w:t xml:space="preserve"> Victorian Government Department of Human Services (2012) </w:t>
      </w:r>
      <w:r w:rsidRPr="003C2549">
        <w:t>Family Violence Risk Assessment and Risk Management Framework and Practice Guides 1-3, Edition 2</w:t>
      </w:r>
      <w:r>
        <w:t xml:space="preserve"> </w:t>
      </w:r>
      <w:hyperlink r:id="rId2" w:history="1">
        <w:r w:rsidRPr="002B55F7">
          <w:rPr>
            <w:rStyle w:val="Hyperlink"/>
          </w:rPr>
          <w:t>http://www.dhs.vic.gov.au/__data/assets/pdf_file/0010/718858/1_family_violence_risk-assessment_risk_management_framework_manual_010612.PDF</w:t>
        </w:r>
      </w:hyperlink>
      <w:r>
        <w:t xml:space="preserve">; </w:t>
      </w:r>
      <w:r w:rsidRPr="00153F2A">
        <w:t xml:space="preserve">Domestic Violence Victoria (2006) </w:t>
      </w:r>
      <w:r w:rsidRPr="00153F2A">
        <w:rPr>
          <w:i/>
        </w:rPr>
        <w:t>Code of Practice for Specialist Family Violence Services for Women and Children: Enhancing the safety of women and children in Victoria</w:t>
      </w:r>
      <w:r w:rsidRPr="00153F2A">
        <w:t xml:space="preserve">, </w:t>
      </w:r>
      <w:hyperlink r:id="rId3" w:history="1">
        <w:r w:rsidRPr="00153F2A">
          <w:rPr>
            <w:rStyle w:val="Hyperlink"/>
          </w:rPr>
          <w:t>http://www.dhs.vic.gov.au/__data/assets/pdf_file/0003/580908/code-of-practice-domestic-violence-vic-2006.pdf</w:t>
        </w:r>
      </w:hyperlink>
    </w:p>
  </w:footnote>
  <w:footnote w:id="14">
    <w:p w14:paraId="4648BB94" w14:textId="77777777" w:rsidR="00734469" w:rsidRDefault="00734469" w:rsidP="00734469">
      <w:pPr>
        <w:pStyle w:val="FootnoteText"/>
      </w:pPr>
      <w:r>
        <w:rPr>
          <w:rStyle w:val="FootnoteReference"/>
        </w:rPr>
        <w:footnoteRef/>
      </w:r>
      <w:r>
        <w:t xml:space="preserve"> </w:t>
      </w:r>
      <w:r w:rsidRPr="001B6E4A">
        <w:t>Allen, N., Larsen, S.</w:t>
      </w:r>
      <w:r>
        <w:t>, Trotter, J. and Sullivan, C. M. (2012)</w:t>
      </w:r>
      <w:r w:rsidRPr="001B6E4A">
        <w:t xml:space="preserve"> </w:t>
      </w:r>
      <w:r>
        <w:t>‘</w:t>
      </w:r>
      <w:r w:rsidRPr="001B6E4A">
        <w:t xml:space="preserve">Exploring the Core Service Delivery Processes of an evidence-based community advocacy program </w:t>
      </w:r>
      <w:r>
        <w:t>for women with abusive partners’,</w:t>
      </w:r>
      <w:r w:rsidRPr="001B6E4A">
        <w:t xml:space="preserve"> </w:t>
      </w:r>
      <w:r w:rsidRPr="0073511E">
        <w:rPr>
          <w:i/>
        </w:rPr>
        <w:t>Journal of Community Psychology</w:t>
      </w:r>
      <w:r>
        <w:t xml:space="preserve"> 14(1), 1-18.</w:t>
      </w:r>
    </w:p>
  </w:footnote>
  <w:footnote w:id="15">
    <w:p w14:paraId="6F5106A3" w14:textId="77777777" w:rsidR="00734469" w:rsidRPr="00153F2A" w:rsidRDefault="00734469" w:rsidP="00734469">
      <w:pPr>
        <w:pStyle w:val="FootnoteText"/>
      </w:pPr>
      <w:r w:rsidRPr="00153F2A">
        <w:rPr>
          <w:rStyle w:val="FootnoteReference"/>
        </w:rPr>
        <w:footnoteRef/>
      </w:r>
      <w:r w:rsidRPr="00153F2A">
        <w:t xml:space="preserve"> </w:t>
      </w:r>
      <w:r w:rsidRPr="0073511E">
        <w:rPr>
          <w:rFonts w:cs="Arial"/>
        </w:rPr>
        <w:t>Z</w:t>
      </w:r>
      <w:r>
        <w:rPr>
          <w:rFonts w:cs="Arial"/>
        </w:rPr>
        <w:t>weig, J.M. and Burt, M.R. (2007) ‘</w:t>
      </w:r>
      <w:r w:rsidRPr="0073511E">
        <w:rPr>
          <w:rFonts w:cs="Arial"/>
        </w:rPr>
        <w:t>Predicting women's perceptions of domestic violence and sexual assault agency helpfulness: What matters to program clients?</w:t>
      </w:r>
      <w:r>
        <w:rPr>
          <w:rFonts w:cs="Arial"/>
        </w:rPr>
        <w:t>’</w:t>
      </w:r>
      <w:r w:rsidRPr="0073511E">
        <w:rPr>
          <w:rFonts w:cs="Arial"/>
        </w:rPr>
        <w:t> </w:t>
      </w:r>
      <w:r w:rsidRPr="0073511E">
        <w:rPr>
          <w:rFonts w:cs="Arial"/>
          <w:i/>
        </w:rPr>
        <w:t>Violence against Women</w:t>
      </w:r>
      <w:r w:rsidRPr="0073511E">
        <w:rPr>
          <w:rFonts w:cs="Arial"/>
        </w:rPr>
        <w:t>, 13, 1149-1178</w:t>
      </w:r>
      <w:r>
        <w:rPr>
          <w:rFonts w:cs="Arial"/>
        </w:rPr>
        <w:t xml:space="preserve">; </w:t>
      </w:r>
      <w:r w:rsidRPr="00153F2A">
        <w:t xml:space="preserve">Council of Europe, </w:t>
      </w:r>
      <w:r w:rsidRPr="00153F2A">
        <w:rPr>
          <w:i/>
        </w:rPr>
        <w:t>Combating violence against women: minimum standards for support services</w:t>
      </w:r>
      <w:r w:rsidRPr="00153F2A">
        <w:t xml:space="preserve"> (2008) </w:t>
      </w:r>
      <w:hyperlink r:id="rId4" w:history="1">
        <w:r w:rsidRPr="00153F2A">
          <w:rPr>
            <w:rStyle w:val="Hyperlink"/>
          </w:rPr>
          <w:t>http://www.coe.int/t/dg2/equality/domesticviolencecampaign/Source/EG-VAW-CONF(2007)Study%20rev.en.pdf</w:t>
        </w:r>
      </w:hyperlink>
      <w:r w:rsidRPr="00153F2A">
        <w:t xml:space="preserve"> See also existing Australian standards documents (notes 40 to 43).</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7DEA"/>
    <w:multiLevelType w:val="hybridMultilevel"/>
    <w:tmpl w:val="9C34E21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2A7B752F"/>
    <w:multiLevelType w:val="multilevel"/>
    <w:tmpl w:val="CB10C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EC37D6"/>
    <w:multiLevelType w:val="hybridMultilevel"/>
    <w:tmpl w:val="9DF6936A"/>
    <w:lvl w:ilvl="0" w:tplc="08090001">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5D4E5B"/>
    <w:multiLevelType w:val="multilevel"/>
    <w:tmpl w:val="5C5E1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544E90"/>
    <w:multiLevelType w:val="hybridMultilevel"/>
    <w:tmpl w:val="9CC6E5C0"/>
    <w:lvl w:ilvl="0" w:tplc="FFCE1B3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3B81A00"/>
    <w:multiLevelType w:val="hybridMultilevel"/>
    <w:tmpl w:val="50A4F9F0"/>
    <w:lvl w:ilvl="0" w:tplc="F6AA79CC">
      <w:start w:val="9"/>
      <w:numFmt w:val="bullet"/>
      <w:lvlText w:val="-"/>
      <w:lvlJc w:val="left"/>
      <w:pPr>
        <w:ind w:left="2520" w:hanging="360"/>
      </w:pPr>
      <w:rPr>
        <w:rFonts w:ascii="Calibri" w:eastAsiaTheme="minorHAnsi" w:hAnsi="Calibri" w:cstheme="minorBidi" w:hint="default"/>
        <w:sz w:val="22"/>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6" w15:restartNumberingAfterBreak="0">
    <w:nsid w:val="7C465C60"/>
    <w:multiLevelType w:val="multilevel"/>
    <w:tmpl w:val="26562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2"/>
  </w:num>
  <w:num w:numId="4">
    <w:abstractNumId w:val="0"/>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BC3"/>
    <w:rsid w:val="00001B18"/>
    <w:rsid w:val="00003467"/>
    <w:rsid w:val="0000356B"/>
    <w:rsid w:val="00003702"/>
    <w:rsid w:val="00004ED9"/>
    <w:rsid w:val="00005487"/>
    <w:rsid w:val="00006694"/>
    <w:rsid w:val="00006C04"/>
    <w:rsid w:val="00007063"/>
    <w:rsid w:val="00010CBE"/>
    <w:rsid w:val="00010D85"/>
    <w:rsid w:val="00011243"/>
    <w:rsid w:val="00012A91"/>
    <w:rsid w:val="000136AA"/>
    <w:rsid w:val="00013C7D"/>
    <w:rsid w:val="00016F60"/>
    <w:rsid w:val="00016FB3"/>
    <w:rsid w:val="000173B8"/>
    <w:rsid w:val="00017B69"/>
    <w:rsid w:val="00022599"/>
    <w:rsid w:val="000236A5"/>
    <w:rsid w:val="00023E1B"/>
    <w:rsid w:val="00025A68"/>
    <w:rsid w:val="00026DCF"/>
    <w:rsid w:val="000278B1"/>
    <w:rsid w:val="00030834"/>
    <w:rsid w:val="00030B81"/>
    <w:rsid w:val="00031B5B"/>
    <w:rsid w:val="0003317E"/>
    <w:rsid w:val="000337E4"/>
    <w:rsid w:val="0003418F"/>
    <w:rsid w:val="00034AD2"/>
    <w:rsid w:val="00041576"/>
    <w:rsid w:val="000416A9"/>
    <w:rsid w:val="00041A8C"/>
    <w:rsid w:val="00043BDE"/>
    <w:rsid w:val="000443CA"/>
    <w:rsid w:val="00044FEB"/>
    <w:rsid w:val="00046F3A"/>
    <w:rsid w:val="00047A77"/>
    <w:rsid w:val="0005021C"/>
    <w:rsid w:val="00051613"/>
    <w:rsid w:val="00051EED"/>
    <w:rsid w:val="000526C8"/>
    <w:rsid w:val="0005334D"/>
    <w:rsid w:val="00054023"/>
    <w:rsid w:val="00054D6D"/>
    <w:rsid w:val="00055C91"/>
    <w:rsid w:val="00057149"/>
    <w:rsid w:val="000634D4"/>
    <w:rsid w:val="0006368D"/>
    <w:rsid w:val="00063889"/>
    <w:rsid w:val="0006455C"/>
    <w:rsid w:val="00065866"/>
    <w:rsid w:val="00065896"/>
    <w:rsid w:val="00065901"/>
    <w:rsid w:val="00066368"/>
    <w:rsid w:val="00067023"/>
    <w:rsid w:val="00067541"/>
    <w:rsid w:val="00067BC8"/>
    <w:rsid w:val="0007102B"/>
    <w:rsid w:val="000734C9"/>
    <w:rsid w:val="0007496E"/>
    <w:rsid w:val="000754D8"/>
    <w:rsid w:val="0007631E"/>
    <w:rsid w:val="00077901"/>
    <w:rsid w:val="00080517"/>
    <w:rsid w:val="0008109F"/>
    <w:rsid w:val="00081121"/>
    <w:rsid w:val="00081882"/>
    <w:rsid w:val="0008285A"/>
    <w:rsid w:val="00084580"/>
    <w:rsid w:val="00086227"/>
    <w:rsid w:val="00090016"/>
    <w:rsid w:val="00090D54"/>
    <w:rsid w:val="000918BF"/>
    <w:rsid w:val="00091E31"/>
    <w:rsid w:val="00094B17"/>
    <w:rsid w:val="00095C99"/>
    <w:rsid w:val="00096A29"/>
    <w:rsid w:val="00096E47"/>
    <w:rsid w:val="000A08CB"/>
    <w:rsid w:val="000A0A81"/>
    <w:rsid w:val="000A1367"/>
    <w:rsid w:val="000A1685"/>
    <w:rsid w:val="000A53A2"/>
    <w:rsid w:val="000A5B0D"/>
    <w:rsid w:val="000A6274"/>
    <w:rsid w:val="000B1D30"/>
    <w:rsid w:val="000B47E6"/>
    <w:rsid w:val="000B5444"/>
    <w:rsid w:val="000B56E5"/>
    <w:rsid w:val="000B58AD"/>
    <w:rsid w:val="000B6345"/>
    <w:rsid w:val="000B75A5"/>
    <w:rsid w:val="000C004A"/>
    <w:rsid w:val="000C2994"/>
    <w:rsid w:val="000C393A"/>
    <w:rsid w:val="000C44F6"/>
    <w:rsid w:val="000C5C1F"/>
    <w:rsid w:val="000C5DF8"/>
    <w:rsid w:val="000C600E"/>
    <w:rsid w:val="000C7940"/>
    <w:rsid w:val="000D09CD"/>
    <w:rsid w:val="000D2964"/>
    <w:rsid w:val="000D31A7"/>
    <w:rsid w:val="000D3F14"/>
    <w:rsid w:val="000D725D"/>
    <w:rsid w:val="000D7CCC"/>
    <w:rsid w:val="000E0155"/>
    <w:rsid w:val="000E1B05"/>
    <w:rsid w:val="000E2C15"/>
    <w:rsid w:val="000E2C79"/>
    <w:rsid w:val="000E5915"/>
    <w:rsid w:val="000E627C"/>
    <w:rsid w:val="000E677A"/>
    <w:rsid w:val="000F0400"/>
    <w:rsid w:val="000F151D"/>
    <w:rsid w:val="000F3F65"/>
    <w:rsid w:val="000F45C8"/>
    <w:rsid w:val="000F47A2"/>
    <w:rsid w:val="000F6620"/>
    <w:rsid w:val="000F7DC1"/>
    <w:rsid w:val="0010020B"/>
    <w:rsid w:val="0010022A"/>
    <w:rsid w:val="00100B67"/>
    <w:rsid w:val="00100C6E"/>
    <w:rsid w:val="0010162D"/>
    <w:rsid w:val="00103850"/>
    <w:rsid w:val="001039B9"/>
    <w:rsid w:val="00104620"/>
    <w:rsid w:val="0010475A"/>
    <w:rsid w:val="001047C8"/>
    <w:rsid w:val="00104C1B"/>
    <w:rsid w:val="00104ED2"/>
    <w:rsid w:val="00105741"/>
    <w:rsid w:val="001057D4"/>
    <w:rsid w:val="00105F4B"/>
    <w:rsid w:val="001061ED"/>
    <w:rsid w:val="00107518"/>
    <w:rsid w:val="00110379"/>
    <w:rsid w:val="00110437"/>
    <w:rsid w:val="00113668"/>
    <w:rsid w:val="001147B7"/>
    <w:rsid w:val="00115BC4"/>
    <w:rsid w:val="00120E33"/>
    <w:rsid w:val="00121CE8"/>
    <w:rsid w:val="00121FE9"/>
    <w:rsid w:val="00126018"/>
    <w:rsid w:val="00126045"/>
    <w:rsid w:val="00126D7F"/>
    <w:rsid w:val="00127D64"/>
    <w:rsid w:val="00127E45"/>
    <w:rsid w:val="00127E60"/>
    <w:rsid w:val="00131196"/>
    <w:rsid w:val="001377E6"/>
    <w:rsid w:val="00142EF0"/>
    <w:rsid w:val="00143E8C"/>
    <w:rsid w:val="00145C16"/>
    <w:rsid w:val="00146322"/>
    <w:rsid w:val="00150497"/>
    <w:rsid w:val="00150BA8"/>
    <w:rsid w:val="00150E14"/>
    <w:rsid w:val="00151A12"/>
    <w:rsid w:val="00152107"/>
    <w:rsid w:val="0015383C"/>
    <w:rsid w:val="0015389F"/>
    <w:rsid w:val="00160357"/>
    <w:rsid w:val="00160C81"/>
    <w:rsid w:val="00163882"/>
    <w:rsid w:val="0016497F"/>
    <w:rsid w:val="00166830"/>
    <w:rsid w:val="00166C66"/>
    <w:rsid w:val="00167ADF"/>
    <w:rsid w:val="0017019A"/>
    <w:rsid w:val="00171084"/>
    <w:rsid w:val="001728E7"/>
    <w:rsid w:val="0017395C"/>
    <w:rsid w:val="00174C1F"/>
    <w:rsid w:val="00174E7D"/>
    <w:rsid w:val="00175648"/>
    <w:rsid w:val="00175A57"/>
    <w:rsid w:val="00175B09"/>
    <w:rsid w:val="00176529"/>
    <w:rsid w:val="00176BE4"/>
    <w:rsid w:val="00176D6A"/>
    <w:rsid w:val="001774DB"/>
    <w:rsid w:val="00177BA1"/>
    <w:rsid w:val="00180934"/>
    <w:rsid w:val="00180A88"/>
    <w:rsid w:val="00181655"/>
    <w:rsid w:val="00181FB3"/>
    <w:rsid w:val="00183BFE"/>
    <w:rsid w:val="00184437"/>
    <w:rsid w:val="00184D97"/>
    <w:rsid w:val="0018602D"/>
    <w:rsid w:val="001875FD"/>
    <w:rsid w:val="00190512"/>
    <w:rsid w:val="00191F4F"/>
    <w:rsid w:val="001926E3"/>
    <w:rsid w:val="001956F3"/>
    <w:rsid w:val="00195A49"/>
    <w:rsid w:val="00195AE5"/>
    <w:rsid w:val="0019710F"/>
    <w:rsid w:val="00197BF8"/>
    <w:rsid w:val="00197E01"/>
    <w:rsid w:val="001A0E4D"/>
    <w:rsid w:val="001A460F"/>
    <w:rsid w:val="001A4BEA"/>
    <w:rsid w:val="001A577C"/>
    <w:rsid w:val="001A6B2A"/>
    <w:rsid w:val="001A7130"/>
    <w:rsid w:val="001A721B"/>
    <w:rsid w:val="001A7645"/>
    <w:rsid w:val="001B1510"/>
    <w:rsid w:val="001B3E7D"/>
    <w:rsid w:val="001B43EA"/>
    <w:rsid w:val="001B4460"/>
    <w:rsid w:val="001B4840"/>
    <w:rsid w:val="001B55B7"/>
    <w:rsid w:val="001B6FDA"/>
    <w:rsid w:val="001B77D4"/>
    <w:rsid w:val="001B7E90"/>
    <w:rsid w:val="001C0839"/>
    <w:rsid w:val="001C089D"/>
    <w:rsid w:val="001C1DCC"/>
    <w:rsid w:val="001C2129"/>
    <w:rsid w:val="001C2263"/>
    <w:rsid w:val="001C5F0D"/>
    <w:rsid w:val="001C771A"/>
    <w:rsid w:val="001D0C2F"/>
    <w:rsid w:val="001D1315"/>
    <w:rsid w:val="001D1475"/>
    <w:rsid w:val="001D2579"/>
    <w:rsid w:val="001D25B1"/>
    <w:rsid w:val="001D2941"/>
    <w:rsid w:val="001D3F44"/>
    <w:rsid w:val="001D50C9"/>
    <w:rsid w:val="001D597C"/>
    <w:rsid w:val="001D6743"/>
    <w:rsid w:val="001D7F5E"/>
    <w:rsid w:val="001E156D"/>
    <w:rsid w:val="001E2708"/>
    <w:rsid w:val="001E2A34"/>
    <w:rsid w:val="001E407D"/>
    <w:rsid w:val="001E4545"/>
    <w:rsid w:val="001E45BD"/>
    <w:rsid w:val="001E7C25"/>
    <w:rsid w:val="001F0FF6"/>
    <w:rsid w:val="001F13E1"/>
    <w:rsid w:val="001F2C5F"/>
    <w:rsid w:val="001F2DEE"/>
    <w:rsid w:val="001F3B6E"/>
    <w:rsid w:val="001F5BEA"/>
    <w:rsid w:val="001F6438"/>
    <w:rsid w:val="002004D2"/>
    <w:rsid w:val="00200985"/>
    <w:rsid w:val="00200B9C"/>
    <w:rsid w:val="00200C94"/>
    <w:rsid w:val="00203009"/>
    <w:rsid w:val="00203307"/>
    <w:rsid w:val="002033E8"/>
    <w:rsid w:val="002109F2"/>
    <w:rsid w:val="00211473"/>
    <w:rsid w:val="00211BCE"/>
    <w:rsid w:val="00212AA5"/>
    <w:rsid w:val="002149A5"/>
    <w:rsid w:val="00215368"/>
    <w:rsid w:val="00224D64"/>
    <w:rsid w:val="002254EB"/>
    <w:rsid w:val="00225ED9"/>
    <w:rsid w:val="002317DA"/>
    <w:rsid w:val="00231A12"/>
    <w:rsid w:val="00231B40"/>
    <w:rsid w:val="002327C6"/>
    <w:rsid w:val="002332E7"/>
    <w:rsid w:val="00234525"/>
    <w:rsid w:val="00236225"/>
    <w:rsid w:val="002366A1"/>
    <w:rsid w:val="002404C1"/>
    <w:rsid w:val="00240967"/>
    <w:rsid w:val="0024186A"/>
    <w:rsid w:val="00243EF0"/>
    <w:rsid w:val="002451FD"/>
    <w:rsid w:val="002454D4"/>
    <w:rsid w:val="002459D9"/>
    <w:rsid w:val="0025005E"/>
    <w:rsid w:val="00250A11"/>
    <w:rsid w:val="00252B49"/>
    <w:rsid w:val="00252CE8"/>
    <w:rsid w:val="00253989"/>
    <w:rsid w:val="002542AB"/>
    <w:rsid w:val="00255EE8"/>
    <w:rsid w:val="00257535"/>
    <w:rsid w:val="00257DE1"/>
    <w:rsid w:val="00261F2B"/>
    <w:rsid w:val="00262964"/>
    <w:rsid w:val="00262BBB"/>
    <w:rsid w:val="00263A12"/>
    <w:rsid w:val="00264352"/>
    <w:rsid w:val="00265660"/>
    <w:rsid w:val="00266254"/>
    <w:rsid w:val="002727E7"/>
    <w:rsid w:val="00272D8B"/>
    <w:rsid w:val="002748D0"/>
    <w:rsid w:val="00275A1E"/>
    <w:rsid w:val="00276A82"/>
    <w:rsid w:val="00280988"/>
    <w:rsid w:val="00281093"/>
    <w:rsid w:val="002834F4"/>
    <w:rsid w:val="00283849"/>
    <w:rsid w:val="00284BC8"/>
    <w:rsid w:val="0028672E"/>
    <w:rsid w:val="00287224"/>
    <w:rsid w:val="00287D37"/>
    <w:rsid w:val="00290BAA"/>
    <w:rsid w:val="00291320"/>
    <w:rsid w:val="00292D5C"/>
    <w:rsid w:val="0029500B"/>
    <w:rsid w:val="00295210"/>
    <w:rsid w:val="00295516"/>
    <w:rsid w:val="00295D64"/>
    <w:rsid w:val="00295F9F"/>
    <w:rsid w:val="00296012"/>
    <w:rsid w:val="002974B8"/>
    <w:rsid w:val="002975C1"/>
    <w:rsid w:val="002A0582"/>
    <w:rsid w:val="002A0CFE"/>
    <w:rsid w:val="002A2DC8"/>
    <w:rsid w:val="002A3910"/>
    <w:rsid w:val="002A4004"/>
    <w:rsid w:val="002A58EB"/>
    <w:rsid w:val="002A61E7"/>
    <w:rsid w:val="002A7B32"/>
    <w:rsid w:val="002A7F5F"/>
    <w:rsid w:val="002B0974"/>
    <w:rsid w:val="002B10BD"/>
    <w:rsid w:val="002B19FA"/>
    <w:rsid w:val="002B3752"/>
    <w:rsid w:val="002B4136"/>
    <w:rsid w:val="002B562D"/>
    <w:rsid w:val="002B62EB"/>
    <w:rsid w:val="002B6BA1"/>
    <w:rsid w:val="002B723E"/>
    <w:rsid w:val="002C13A5"/>
    <w:rsid w:val="002C2E37"/>
    <w:rsid w:val="002C3405"/>
    <w:rsid w:val="002C3CC2"/>
    <w:rsid w:val="002C4F83"/>
    <w:rsid w:val="002C5261"/>
    <w:rsid w:val="002C6467"/>
    <w:rsid w:val="002C7102"/>
    <w:rsid w:val="002C743B"/>
    <w:rsid w:val="002C7CBD"/>
    <w:rsid w:val="002D0615"/>
    <w:rsid w:val="002D41D0"/>
    <w:rsid w:val="002D51BD"/>
    <w:rsid w:val="002D556F"/>
    <w:rsid w:val="002D593B"/>
    <w:rsid w:val="002D607E"/>
    <w:rsid w:val="002D63FA"/>
    <w:rsid w:val="002E02BA"/>
    <w:rsid w:val="002E0C78"/>
    <w:rsid w:val="002E3829"/>
    <w:rsid w:val="002E3C72"/>
    <w:rsid w:val="002E489E"/>
    <w:rsid w:val="002E70A6"/>
    <w:rsid w:val="002E7DA5"/>
    <w:rsid w:val="002F0435"/>
    <w:rsid w:val="002F0999"/>
    <w:rsid w:val="002F1757"/>
    <w:rsid w:val="002F3F25"/>
    <w:rsid w:val="002F5F51"/>
    <w:rsid w:val="002F72F6"/>
    <w:rsid w:val="00300755"/>
    <w:rsid w:val="003021D9"/>
    <w:rsid w:val="00302C6D"/>
    <w:rsid w:val="00302F03"/>
    <w:rsid w:val="003032FD"/>
    <w:rsid w:val="0030539E"/>
    <w:rsid w:val="00306EE5"/>
    <w:rsid w:val="003078D4"/>
    <w:rsid w:val="003143E2"/>
    <w:rsid w:val="00316472"/>
    <w:rsid w:val="00316AE5"/>
    <w:rsid w:val="00317CA8"/>
    <w:rsid w:val="00322BFD"/>
    <w:rsid w:val="00323582"/>
    <w:rsid w:val="0032414A"/>
    <w:rsid w:val="0032486E"/>
    <w:rsid w:val="003276F7"/>
    <w:rsid w:val="00327BE3"/>
    <w:rsid w:val="00330ECC"/>
    <w:rsid w:val="00331261"/>
    <w:rsid w:val="00332F8F"/>
    <w:rsid w:val="0033427B"/>
    <w:rsid w:val="00335BAF"/>
    <w:rsid w:val="00336C48"/>
    <w:rsid w:val="003370EC"/>
    <w:rsid w:val="00337612"/>
    <w:rsid w:val="00337A37"/>
    <w:rsid w:val="00342159"/>
    <w:rsid w:val="00344E3B"/>
    <w:rsid w:val="00345878"/>
    <w:rsid w:val="00346197"/>
    <w:rsid w:val="00350E21"/>
    <w:rsid w:val="003524FF"/>
    <w:rsid w:val="00353712"/>
    <w:rsid w:val="0035374A"/>
    <w:rsid w:val="00355793"/>
    <w:rsid w:val="003566DD"/>
    <w:rsid w:val="00356FDE"/>
    <w:rsid w:val="003571BB"/>
    <w:rsid w:val="00360383"/>
    <w:rsid w:val="00360DAE"/>
    <w:rsid w:val="00361FE7"/>
    <w:rsid w:val="0036280C"/>
    <w:rsid w:val="0036281A"/>
    <w:rsid w:val="0036333B"/>
    <w:rsid w:val="00365400"/>
    <w:rsid w:val="003662BE"/>
    <w:rsid w:val="003662FC"/>
    <w:rsid w:val="003703AB"/>
    <w:rsid w:val="00370E4F"/>
    <w:rsid w:val="003727C6"/>
    <w:rsid w:val="00373C6B"/>
    <w:rsid w:val="003744A6"/>
    <w:rsid w:val="00374AE6"/>
    <w:rsid w:val="003757AD"/>
    <w:rsid w:val="00375E66"/>
    <w:rsid w:val="003760C7"/>
    <w:rsid w:val="00376459"/>
    <w:rsid w:val="003800AC"/>
    <w:rsid w:val="00381018"/>
    <w:rsid w:val="00382A73"/>
    <w:rsid w:val="003839C7"/>
    <w:rsid w:val="00385230"/>
    <w:rsid w:val="0038551C"/>
    <w:rsid w:val="00385918"/>
    <w:rsid w:val="00386AFF"/>
    <w:rsid w:val="0038722A"/>
    <w:rsid w:val="003875F2"/>
    <w:rsid w:val="00391D70"/>
    <w:rsid w:val="0039206B"/>
    <w:rsid w:val="00393EFF"/>
    <w:rsid w:val="003957C4"/>
    <w:rsid w:val="00395D05"/>
    <w:rsid w:val="003962FC"/>
    <w:rsid w:val="00396CC8"/>
    <w:rsid w:val="003A0215"/>
    <w:rsid w:val="003A23BF"/>
    <w:rsid w:val="003A3299"/>
    <w:rsid w:val="003A579D"/>
    <w:rsid w:val="003A69D5"/>
    <w:rsid w:val="003A6BE0"/>
    <w:rsid w:val="003A6E92"/>
    <w:rsid w:val="003A79CC"/>
    <w:rsid w:val="003A7D4A"/>
    <w:rsid w:val="003B008E"/>
    <w:rsid w:val="003B0D1A"/>
    <w:rsid w:val="003B1347"/>
    <w:rsid w:val="003B228C"/>
    <w:rsid w:val="003B3451"/>
    <w:rsid w:val="003B3A24"/>
    <w:rsid w:val="003B4978"/>
    <w:rsid w:val="003B4A69"/>
    <w:rsid w:val="003B6548"/>
    <w:rsid w:val="003C189D"/>
    <w:rsid w:val="003C1DA3"/>
    <w:rsid w:val="003C2344"/>
    <w:rsid w:val="003C257A"/>
    <w:rsid w:val="003C28F9"/>
    <w:rsid w:val="003C3653"/>
    <w:rsid w:val="003C43A2"/>
    <w:rsid w:val="003C4DF9"/>
    <w:rsid w:val="003C57AF"/>
    <w:rsid w:val="003C6471"/>
    <w:rsid w:val="003C6479"/>
    <w:rsid w:val="003C7243"/>
    <w:rsid w:val="003C74F9"/>
    <w:rsid w:val="003C7713"/>
    <w:rsid w:val="003C7FD4"/>
    <w:rsid w:val="003D0430"/>
    <w:rsid w:val="003D2316"/>
    <w:rsid w:val="003D317E"/>
    <w:rsid w:val="003D4928"/>
    <w:rsid w:val="003D4D81"/>
    <w:rsid w:val="003D5B77"/>
    <w:rsid w:val="003D6B8B"/>
    <w:rsid w:val="003E097E"/>
    <w:rsid w:val="003E2FAE"/>
    <w:rsid w:val="003E34A8"/>
    <w:rsid w:val="003E3898"/>
    <w:rsid w:val="003E3CD9"/>
    <w:rsid w:val="003E4BDC"/>
    <w:rsid w:val="003E58B7"/>
    <w:rsid w:val="003E66A7"/>
    <w:rsid w:val="003E69B8"/>
    <w:rsid w:val="003E6B10"/>
    <w:rsid w:val="003E6FEA"/>
    <w:rsid w:val="003E7E92"/>
    <w:rsid w:val="003F12B5"/>
    <w:rsid w:val="003F20C6"/>
    <w:rsid w:val="003F3640"/>
    <w:rsid w:val="003F3862"/>
    <w:rsid w:val="003F4195"/>
    <w:rsid w:val="003F421B"/>
    <w:rsid w:val="003F55E2"/>
    <w:rsid w:val="003F6F1D"/>
    <w:rsid w:val="003F734E"/>
    <w:rsid w:val="003F7921"/>
    <w:rsid w:val="003F7A81"/>
    <w:rsid w:val="00401015"/>
    <w:rsid w:val="0040206A"/>
    <w:rsid w:val="004035E2"/>
    <w:rsid w:val="00403703"/>
    <w:rsid w:val="0040480C"/>
    <w:rsid w:val="00407FEA"/>
    <w:rsid w:val="00412A39"/>
    <w:rsid w:val="00414051"/>
    <w:rsid w:val="00415831"/>
    <w:rsid w:val="0041774A"/>
    <w:rsid w:val="00420D6C"/>
    <w:rsid w:val="00421A42"/>
    <w:rsid w:val="00422E9F"/>
    <w:rsid w:val="00423E9D"/>
    <w:rsid w:val="0042547C"/>
    <w:rsid w:val="00425790"/>
    <w:rsid w:val="00426315"/>
    <w:rsid w:val="00426CC6"/>
    <w:rsid w:val="004276BB"/>
    <w:rsid w:val="00431AD9"/>
    <w:rsid w:val="00432D8D"/>
    <w:rsid w:val="0043330E"/>
    <w:rsid w:val="00435AE3"/>
    <w:rsid w:val="00441276"/>
    <w:rsid w:val="004419B7"/>
    <w:rsid w:val="00444D0C"/>
    <w:rsid w:val="0045031F"/>
    <w:rsid w:val="00451A1E"/>
    <w:rsid w:val="004528F1"/>
    <w:rsid w:val="00454806"/>
    <w:rsid w:val="004564DC"/>
    <w:rsid w:val="0045767D"/>
    <w:rsid w:val="004603AF"/>
    <w:rsid w:val="00460B82"/>
    <w:rsid w:val="0046151B"/>
    <w:rsid w:val="00462C44"/>
    <w:rsid w:val="004671CD"/>
    <w:rsid w:val="004755EE"/>
    <w:rsid w:val="00477E89"/>
    <w:rsid w:val="0048068C"/>
    <w:rsid w:val="004809AA"/>
    <w:rsid w:val="0048309F"/>
    <w:rsid w:val="00485D07"/>
    <w:rsid w:val="0048647C"/>
    <w:rsid w:val="004866F9"/>
    <w:rsid w:val="00486E48"/>
    <w:rsid w:val="00487314"/>
    <w:rsid w:val="0048764D"/>
    <w:rsid w:val="00490F5D"/>
    <w:rsid w:val="00493B07"/>
    <w:rsid w:val="00493D51"/>
    <w:rsid w:val="004944D4"/>
    <w:rsid w:val="00496B98"/>
    <w:rsid w:val="004A2EE5"/>
    <w:rsid w:val="004A32C7"/>
    <w:rsid w:val="004A3EC7"/>
    <w:rsid w:val="004A59E9"/>
    <w:rsid w:val="004A5AB0"/>
    <w:rsid w:val="004A609A"/>
    <w:rsid w:val="004A64C9"/>
    <w:rsid w:val="004A6A90"/>
    <w:rsid w:val="004A7C2F"/>
    <w:rsid w:val="004A7D59"/>
    <w:rsid w:val="004B0FC3"/>
    <w:rsid w:val="004B12A2"/>
    <w:rsid w:val="004B1404"/>
    <w:rsid w:val="004B1454"/>
    <w:rsid w:val="004B3978"/>
    <w:rsid w:val="004B5F9E"/>
    <w:rsid w:val="004B5FEC"/>
    <w:rsid w:val="004B72A8"/>
    <w:rsid w:val="004B7AB3"/>
    <w:rsid w:val="004C02C9"/>
    <w:rsid w:val="004C0A40"/>
    <w:rsid w:val="004C17F7"/>
    <w:rsid w:val="004C1D96"/>
    <w:rsid w:val="004C20DF"/>
    <w:rsid w:val="004C2616"/>
    <w:rsid w:val="004C5D97"/>
    <w:rsid w:val="004C63A8"/>
    <w:rsid w:val="004C6564"/>
    <w:rsid w:val="004C6AA2"/>
    <w:rsid w:val="004C6EE8"/>
    <w:rsid w:val="004C750C"/>
    <w:rsid w:val="004C76CA"/>
    <w:rsid w:val="004C796E"/>
    <w:rsid w:val="004D0550"/>
    <w:rsid w:val="004D0E12"/>
    <w:rsid w:val="004D22B9"/>
    <w:rsid w:val="004D56F3"/>
    <w:rsid w:val="004D59C3"/>
    <w:rsid w:val="004D5A02"/>
    <w:rsid w:val="004D66E2"/>
    <w:rsid w:val="004D6935"/>
    <w:rsid w:val="004D6F96"/>
    <w:rsid w:val="004D7AD1"/>
    <w:rsid w:val="004E0481"/>
    <w:rsid w:val="004E2263"/>
    <w:rsid w:val="004E373F"/>
    <w:rsid w:val="004E383D"/>
    <w:rsid w:val="004E77D2"/>
    <w:rsid w:val="004F0B1D"/>
    <w:rsid w:val="004F1B86"/>
    <w:rsid w:val="004F1C58"/>
    <w:rsid w:val="004F3309"/>
    <w:rsid w:val="004F4186"/>
    <w:rsid w:val="004F4990"/>
    <w:rsid w:val="004F4BDE"/>
    <w:rsid w:val="004F539A"/>
    <w:rsid w:val="004F555A"/>
    <w:rsid w:val="004F6419"/>
    <w:rsid w:val="004F73FD"/>
    <w:rsid w:val="005002E9"/>
    <w:rsid w:val="00501928"/>
    <w:rsid w:val="0050427C"/>
    <w:rsid w:val="00506D35"/>
    <w:rsid w:val="00510511"/>
    <w:rsid w:val="00511184"/>
    <w:rsid w:val="00512403"/>
    <w:rsid w:val="00512C7B"/>
    <w:rsid w:val="00513B56"/>
    <w:rsid w:val="00515540"/>
    <w:rsid w:val="005161B6"/>
    <w:rsid w:val="00516D6B"/>
    <w:rsid w:val="00517880"/>
    <w:rsid w:val="00517DED"/>
    <w:rsid w:val="00520F4C"/>
    <w:rsid w:val="005220EF"/>
    <w:rsid w:val="00522219"/>
    <w:rsid w:val="00522A4A"/>
    <w:rsid w:val="00522F5C"/>
    <w:rsid w:val="005231B8"/>
    <w:rsid w:val="00524E80"/>
    <w:rsid w:val="00525095"/>
    <w:rsid w:val="005262D6"/>
    <w:rsid w:val="005269E4"/>
    <w:rsid w:val="005306F7"/>
    <w:rsid w:val="00530C16"/>
    <w:rsid w:val="00531E10"/>
    <w:rsid w:val="00532A45"/>
    <w:rsid w:val="005342C8"/>
    <w:rsid w:val="00534DFA"/>
    <w:rsid w:val="00535C8D"/>
    <w:rsid w:val="005369E4"/>
    <w:rsid w:val="00537226"/>
    <w:rsid w:val="005414BA"/>
    <w:rsid w:val="00542C7C"/>
    <w:rsid w:val="0054428F"/>
    <w:rsid w:val="00544769"/>
    <w:rsid w:val="00546DAC"/>
    <w:rsid w:val="00547DEB"/>
    <w:rsid w:val="00550A6E"/>
    <w:rsid w:val="00551A09"/>
    <w:rsid w:val="00555EA1"/>
    <w:rsid w:val="00556EEF"/>
    <w:rsid w:val="00560C72"/>
    <w:rsid w:val="00562882"/>
    <w:rsid w:val="005647BB"/>
    <w:rsid w:val="005648D2"/>
    <w:rsid w:val="00564914"/>
    <w:rsid w:val="005651A2"/>
    <w:rsid w:val="005678C1"/>
    <w:rsid w:val="0057059F"/>
    <w:rsid w:val="00570851"/>
    <w:rsid w:val="00570856"/>
    <w:rsid w:val="00571EFC"/>
    <w:rsid w:val="00573D26"/>
    <w:rsid w:val="00573FD0"/>
    <w:rsid w:val="00574319"/>
    <w:rsid w:val="005756A9"/>
    <w:rsid w:val="00576446"/>
    <w:rsid w:val="00577EE9"/>
    <w:rsid w:val="00581C29"/>
    <w:rsid w:val="00582998"/>
    <w:rsid w:val="0058332B"/>
    <w:rsid w:val="005833FE"/>
    <w:rsid w:val="00584E3E"/>
    <w:rsid w:val="00585435"/>
    <w:rsid w:val="00585714"/>
    <w:rsid w:val="00585972"/>
    <w:rsid w:val="0058658A"/>
    <w:rsid w:val="00586C4B"/>
    <w:rsid w:val="00587113"/>
    <w:rsid w:val="00590420"/>
    <w:rsid w:val="005906E1"/>
    <w:rsid w:val="00590824"/>
    <w:rsid w:val="00590F19"/>
    <w:rsid w:val="005926AF"/>
    <w:rsid w:val="00593ABF"/>
    <w:rsid w:val="00594027"/>
    <w:rsid w:val="005947A3"/>
    <w:rsid w:val="00595E0E"/>
    <w:rsid w:val="00596D3B"/>
    <w:rsid w:val="00596DC5"/>
    <w:rsid w:val="00596EF6"/>
    <w:rsid w:val="00597A90"/>
    <w:rsid w:val="005A0317"/>
    <w:rsid w:val="005A0B0C"/>
    <w:rsid w:val="005A0F4C"/>
    <w:rsid w:val="005A12F6"/>
    <w:rsid w:val="005A1A20"/>
    <w:rsid w:val="005A2D4D"/>
    <w:rsid w:val="005A3024"/>
    <w:rsid w:val="005A3534"/>
    <w:rsid w:val="005A3B6A"/>
    <w:rsid w:val="005A599B"/>
    <w:rsid w:val="005A689C"/>
    <w:rsid w:val="005B0972"/>
    <w:rsid w:val="005B3073"/>
    <w:rsid w:val="005B3414"/>
    <w:rsid w:val="005B442D"/>
    <w:rsid w:val="005B4476"/>
    <w:rsid w:val="005B612C"/>
    <w:rsid w:val="005C3016"/>
    <w:rsid w:val="005C35F5"/>
    <w:rsid w:val="005C3679"/>
    <w:rsid w:val="005C598D"/>
    <w:rsid w:val="005C6E10"/>
    <w:rsid w:val="005C7B4F"/>
    <w:rsid w:val="005D068C"/>
    <w:rsid w:val="005D08E7"/>
    <w:rsid w:val="005D0C08"/>
    <w:rsid w:val="005D1767"/>
    <w:rsid w:val="005D1D63"/>
    <w:rsid w:val="005D1FC6"/>
    <w:rsid w:val="005D3793"/>
    <w:rsid w:val="005D3F7C"/>
    <w:rsid w:val="005D4BAC"/>
    <w:rsid w:val="005D53B3"/>
    <w:rsid w:val="005D58D0"/>
    <w:rsid w:val="005D5A49"/>
    <w:rsid w:val="005D6718"/>
    <w:rsid w:val="005E0DCB"/>
    <w:rsid w:val="005E0E31"/>
    <w:rsid w:val="005E19B3"/>
    <w:rsid w:val="005E39C6"/>
    <w:rsid w:val="005E3F42"/>
    <w:rsid w:val="005E4617"/>
    <w:rsid w:val="005E5CE0"/>
    <w:rsid w:val="005E5D9D"/>
    <w:rsid w:val="005E658A"/>
    <w:rsid w:val="005E7DAD"/>
    <w:rsid w:val="005E7E53"/>
    <w:rsid w:val="005F0640"/>
    <w:rsid w:val="005F40B1"/>
    <w:rsid w:val="005F4445"/>
    <w:rsid w:val="005F6370"/>
    <w:rsid w:val="005F6FC6"/>
    <w:rsid w:val="00600D32"/>
    <w:rsid w:val="0060128C"/>
    <w:rsid w:val="00603DD7"/>
    <w:rsid w:val="0060481E"/>
    <w:rsid w:val="00607681"/>
    <w:rsid w:val="006076FE"/>
    <w:rsid w:val="00607AF1"/>
    <w:rsid w:val="00611BEE"/>
    <w:rsid w:val="0061222B"/>
    <w:rsid w:val="006125E9"/>
    <w:rsid w:val="006128C9"/>
    <w:rsid w:val="00612FE0"/>
    <w:rsid w:val="00615E43"/>
    <w:rsid w:val="006168C8"/>
    <w:rsid w:val="00616D3C"/>
    <w:rsid w:val="00616DAD"/>
    <w:rsid w:val="00616E02"/>
    <w:rsid w:val="006210FE"/>
    <w:rsid w:val="00621795"/>
    <w:rsid w:val="00622274"/>
    <w:rsid w:val="00623568"/>
    <w:rsid w:val="006238D7"/>
    <w:rsid w:val="00624366"/>
    <w:rsid w:val="00625DB6"/>
    <w:rsid w:val="00627DE2"/>
    <w:rsid w:val="00630814"/>
    <w:rsid w:val="00630E8E"/>
    <w:rsid w:val="00632B84"/>
    <w:rsid w:val="006331CB"/>
    <w:rsid w:val="00633940"/>
    <w:rsid w:val="00633BFA"/>
    <w:rsid w:val="006353D7"/>
    <w:rsid w:val="0063581A"/>
    <w:rsid w:val="006361BF"/>
    <w:rsid w:val="00637164"/>
    <w:rsid w:val="0064282E"/>
    <w:rsid w:val="00642B65"/>
    <w:rsid w:val="00643A41"/>
    <w:rsid w:val="0064432F"/>
    <w:rsid w:val="0064600F"/>
    <w:rsid w:val="00646DDC"/>
    <w:rsid w:val="0065035A"/>
    <w:rsid w:val="00652FBF"/>
    <w:rsid w:val="00654B32"/>
    <w:rsid w:val="00655083"/>
    <w:rsid w:val="006556B2"/>
    <w:rsid w:val="00655B43"/>
    <w:rsid w:val="00657A7C"/>
    <w:rsid w:val="0066192C"/>
    <w:rsid w:val="006630DD"/>
    <w:rsid w:val="0066344B"/>
    <w:rsid w:val="00665B49"/>
    <w:rsid w:val="006663DD"/>
    <w:rsid w:val="00666947"/>
    <w:rsid w:val="0066715C"/>
    <w:rsid w:val="00671B97"/>
    <w:rsid w:val="00672BCF"/>
    <w:rsid w:val="00675148"/>
    <w:rsid w:val="00675D3E"/>
    <w:rsid w:val="00676EC5"/>
    <w:rsid w:val="00681287"/>
    <w:rsid w:val="00686A09"/>
    <w:rsid w:val="00687139"/>
    <w:rsid w:val="00687D21"/>
    <w:rsid w:val="00691DA0"/>
    <w:rsid w:val="00693107"/>
    <w:rsid w:val="00694B79"/>
    <w:rsid w:val="00695CD4"/>
    <w:rsid w:val="0069695A"/>
    <w:rsid w:val="00697309"/>
    <w:rsid w:val="006A0017"/>
    <w:rsid w:val="006A0669"/>
    <w:rsid w:val="006A1202"/>
    <w:rsid w:val="006A1F26"/>
    <w:rsid w:val="006A20BB"/>
    <w:rsid w:val="006A3BC2"/>
    <w:rsid w:val="006A42D4"/>
    <w:rsid w:val="006A4E6A"/>
    <w:rsid w:val="006A52A4"/>
    <w:rsid w:val="006A5440"/>
    <w:rsid w:val="006A6973"/>
    <w:rsid w:val="006A6B01"/>
    <w:rsid w:val="006A7160"/>
    <w:rsid w:val="006A7B46"/>
    <w:rsid w:val="006B04A6"/>
    <w:rsid w:val="006B0ACC"/>
    <w:rsid w:val="006B14C9"/>
    <w:rsid w:val="006B14CB"/>
    <w:rsid w:val="006B51D7"/>
    <w:rsid w:val="006B556A"/>
    <w:rsid w:val="006B65C5"/>
    <w:rsid w:val="006B7730"/>
    <w:rsid w:val="006B7CC0"/>
    <w:rsid w:val="006C0B1F"/>
    <w:rsid w:val="006C2999"/>
    <w:rsid w:val="006C3352"/>
    <w:rsid w:val="006C4428"/>
    <w:rsid w:val="006C53A7"/>
    <w:rsid w:val="006C64F3"/>
    <w:rsid w:val="006C7D17"/>
    <w:rsid w:val="006D0896"/>
    <w:rsid w:val="006D0F79"/>
    <w:rsid w:val="006D1401"/>
    <w:rsid w:val="006D2EEC"/>
    <w:rsid w:val="006D33B8"/>
    <w:rsid w:val="006D36D0"/>
    <w:rsid w:val="006D4089"/>
    <w:rsid w:val="006D45D5"/>
    <w:rsid w:val="006D4E6D"/>
    <w:rsid w:val="006D4EBF"/>
    <w:rsid w:val="006D6B6D"/>
    <w:rsid w:val="006D7424"/>
    <w:rsid w:val="006D7DE9"/>
    <w:rsid w:val="006D7E65"/>
    <w:rsid w:val="006E10EA"/>
    <w:rsid w:val="006E2533"/>
    <w:rsid w:val="006E35C8"/>
    <w:rsid w:val="006E42BE"/>
    <w:rsid w:val="006E4BE7"/>
    <w:rsid w:val="006E611E"/>
    <w:rsid w:val="006F0ADA"/>
    <w:rsid w:val="006F257C"/>
    <w:rsid w:val="00700BFE"/>
    <w:rsid w:val="0070327B"/>
    <w:rsid w:val="00704298"/>
    <w:rsid w:val="007062FA"/>
    <w:rsid w:val="00706EAD"/>
    <w:rsid w:val="00713354"/>
    <w:rsid w:val="00713DD4"/>
    <w:rsid w:val="007146ED"/>
    <w:rsid w:val="0072028F"/>
    <w:rsid w:val="00720699"/>
    <w:rsid w:val="00721B6E"/>
    <w:rsid w:val="00723301"/>
    <w:rsid w:val="00724D3B"/>
    <w:rsid w:val="00725D59"/>
    <w:rsid w:val="007269ED"/>
    <w:rsid w:val="00727917"/>
    <w:rsid w:val="00733BDB"/>
    <w:rsid w:val="00734469"/>
    <w:rsid w:val="00734C08"/>
    <w:rsid w:val="00734DD6"/>
    <w:rsid w:val="00736221"/>
    <w:rsid w:val="00736D6C"/>
    <w:rsid w:val="00737C4C"/>
    <w:rsid w:val="0074078A"/>
    <w:rsid w:val="0074080E"/>
    <w:rsid w:val="00740A31"/>
    <w:rsid w:val="0074106F"/>
    <w:rsid w:val="00741996"/>
    <w:rsid w:val="00742D81"/>
    <w:rsid w:val="007430F3"/>
    <w:rsid w:val="00743833"/>
    <w:rsid w:val="00743A13"/>
    <w:rsid w:val="00744DA5"/>
    <w:rsid w:val="00746305"/>
    <w:rsid w:val="007469D1"/>
    <w:rsid w:val="00746C56"/>
    <w:rsid w:val="00747E18"/>
    <w:rsid w:val="00751491"/>
    <w:rsid w:val="00757119"/>
    <w:rsid w:val="00757C64"/>
    <w:rsid w:val="00760374"/>
    <w:rsid w:val="00761A37"/>
    <w:rsid w:val="00762E23"/>
    <w:rsid w:val="00763548"/>
    <w:rsid w:val="00763C07"/>
    <w:rsid w:val="007643C1"/>
    <w:rsid w:val="00766B2D"/>
    <w:rsid w:val="007672A4"/>
    <w:rsid w:val="00770176"/>
    <w:rsid w:val="00770961"/>
    <w:rsid w:val="00770FCA"/>
    <w:rsid w:val="007713CC"/>
    <w:rsid w:val="00771AA8"/>
    <w:rsid w:val="00772614"/>
    <w:rsid w:val="007741B1"/>
    <w:rsid w:val="007753E5"/>
    <w:rsid w:val="00776532"/>
    <w:rsid w:val="00780E10"/>
    <w:rsid w:val="00781154"/>
    <w:rsid w:val="00781180"/>
    <w:rsid w:val="007825E8"/>
    <w:rsid w:val="0078487A"/>
    <w:rsid w:val="00786109"/>
    <w:rsid w:val="007872F1"/>
    <w:rsid w:val="00787FB9"/>
    <w:rsid w:val="00790951"/>
    <w:rsid w:val="00790A9A"/>
    <w:rsid w:val="00791713"/>
    <w:rsid w:val="00792315"/>
    <w:rsid w:val="00792BB7"/>
    <w:rsid w:val="007934E2"/>
    <w:rsid w:val="00793B5E"/>
    <w:rsid w:val="00794A08"/>
    <w:rsid w:val="00794BE7"/>
    <w:rsid w:val="007954F6"/>
    <w:rsid w:val="00797560"/>
    <w:rsid w:val="00797807"/>
    <w:rsid w:val="007A043C"/>
    <w:rsid w:val="007A139F"/>
    <w:rsid w:val="007A3501"/>
    <w:rsid w:val="007A585E"/>
    <w:rsid w:val="007A5BEB"/>
    <w:rsid w:val="007A6A23"/>
    <w:rsid w:val="007A70E8"/>
    <w:rsid w:val="007A7C1D"/>
    <w:rsid w:val="007B089F"/>
    <w:rsid w:val="007B43B5"/>
    <w:rsid w:val="007B4789"/>
    <w:rsid w:val="007B4A39"/>
    <w:rsid w:val="007B6C40"/>
    <w:rsid w:val="007C03CB"/>
    <w:rsid w:val="007C04B0"/>
    <w:rsid w:val="007C2117"/>
    <w:rsid w:val="007C26B5"/>
    <w:rsid w:val="007C2C2A"/>
    <w:rsid w:val="007C38F9"/>
    <w:rsid w:val="007C3929"/>
    <w:rsid w:val="007C4430"/>
    <w:rsid w:val="007C544D"/>
    <w:rsid w:val="007C7067"/>
    <w:rsid w:val="007C71C4"/>
    <w:rsid w:val="007C7898"/>
    <w:rsid w:val="007C7EA5"/>
    <w:rsid w:val="007D12C5"/>
    <w:rsid w:val="007D208D"/>
    <w:rsid w:val="007D274F"/>
    <w:rsid w:val="007D3317"/>
    <w:rsid w:val="007D73CA"/>
    <w:rsid w:val="007D7454"/>
    <w:rsid w:val="007D7D5E"/>
    <w:rsid w:val="007E1065"/>
    <w:rsid w:val="007E12EF"/>
    <w:rsid w:val="007E216F"/>
    <w:rsid w:val="007E2301"/>
    <w:rsid w:val="007E30CB"/>
    <w:rsid w:val="007E49F7"/>
    <w:rsid w:val="007E4C1C"/>
    <w:rsid w:val="007E4C88"/>
    <w:rsid w:val="007E5C23"/>
    <w:rsid w:val="007E7963"/>
    <w:rsid w:val="007F36B1"/>
    <w:rsid w:val="007F3C11"/>
    <w:rsid w:val="007F4A20"/>
    <w:rsid w:val="007F51B3"/>
    <w:rsid w:val="007F653A"/>
    <w:rsid w:val="007F65C0"/>
    <w:rsid w:val="007F7387"/>
    <w:rsid w:val="007F7430"/>
    <w:rsid w:val="007F771A"/>
    <w:rsid w:val="0080098D"/>
    <w:rsid w:val="00800E25"/>
    <w:rsid w:val="00801F24"/>
    <w:rsid w:val="008021CB"/>
    <w:rsid w:val="0080281B"/>
    <w:rsid w:val="00802C9B"/>
    <w:rsid w:val="00804049"/>
    <w:rsid w:val="008054A7"/>
    <w:rsid w:val="00805E50"/>
    <w:rsid w:val="00806691"/>
    <w:rsid w:val="00806F73"/>
    <w:rsid w:val="00807D4A"/>
    <w:rsid w:val="00807F20"/>
    <w:rsid w:val="008149E6"/>
    <w:rsid w:val="00815B2A"/>
    <w:rsid w:val="00815B77"/>
    <w:rsid w:val="00817035"/>
    <w:rsid w:val="008175EF"/>
    <w:rsid w:val="00821283"/>
    <w:rsid w:val="00821BB8"/>
    <w:rsid w:val="00822876"/>
    <w:rsid w:val="0082351E"/>
    <w:rsid w:val="0082363B"/>
    <w:rsid w:val="008250FF"/>
    <w:rsid w:val="0082576B"/>
    <w:rsid w:val="0082611D"/>
    <w:rsid w:val="008271BA"/>
    <w:rsid w:val="008302E0"/>
    <w:rsid w:val="00831A42"/>
    <w:rsid w:val="008322A3"/>
    <w:rsid w:val="008323DA"/>
    <w:rsid w:val="008323E8"/>
    <w:rsid w:val="00832819"/>
    <w:rsid w:val="00833C19"/>
    <w:rsid w:val="00834072"/>
    <w:rsid w:val="00834AC3"/>
    <w:rsid w:val="00835731"/>
    <w:rsid w:val="008361F4"/>
    <w:rsid w:val="008377D6"/>
    <w:rsid w:val="00840891"/>
    <w:rsid w:val="008424C2"/>
    <w:rsid w:val="00843A6A"/>
    <w:rsid w:val="00846A98"/>
    <w:rsid w:val="008476E6"/>
    <w:rsid w:val="0085143B"/>
    <w:rsid w:val="00851C2E"/>
    <w:rsid w:val="00852F12"/>
    <w:rsid w:val="008533F9"/>
    <w:rsid w:val="008549C5"/>
    <w:rsid w:val="00854ED4"/>
    <w:rsid w:val="00855D85"/>
    <w:rsid w:val="00857295"/>
    <w:rsid w:val="0086148A"/>
    <w:rsid w:val="00861E64"/>
    <w:rsid w:val="00863141"/>
    <w:rsid w:val="00863AA3"/>
    <w:rsid w:val="008653EB"/>
    <w:rsid w:val="00865DC9"/>
    <w:rsid w:val="00866370"/>
    <w:rsid w:val="008667AF"/>
    <w:rsid w:val="00870C30"/>
    <w:rsid w:val="008715CF"/>
    <w:rsid w:val="00874831"/>
    <w:rsid w:val="00875250"/>
    <w:rsid w:val="0087568C"/>
    <w:rsid w:val="008757D9"/>
    <w:rsid w:val="00880D23"/>
    <w:rsid w:val="00881296"/>
    <w:rsid w:val="00882FDE"/>
    <w:rsid w:val="00883D45"/>
    <w:rsid w:val="00885C13"/>
    <w:rsid w:val="008872A0"/>
    <w:rsid w:val="008873AA"/>
    <w:rsid w:val="00891561"/>
    <w:rsid w:val="0089279C"/>
    <w:rsid w:val="00895495"/>
    <w:rsid w:val="00896957"/>
    <w:rsid w:val="00896F69"/>
    <w:rsid w:val="008A119D"/>
    <w:rsid w:val="008A1AE7"/>
    <w:rsid w:val="008A42E8"/>
    <w:rsid w:val="008A43ED"/>
    <w:rsid w:val="008A565A"/>
    <w:rsid w:val="008A642A"/>
    <w:rsid w:val="008A69A0"/>
    <w:rsid w:val="008A6FCF"/>
    <w:rsid w:val="008B0180"/>
    <w:rsid w:val="008B2565"/>
    <w:rsid w:val="008B32FD"/>
    <w:rsid w:val="008B3545"/>
    <w:rsid w:val="008B3714"/>
    <w:rsid w:val="008B3F89"/>
    <w:rsid w:val="008B45F2"/>
    <w:rsid w:val="008B4D11"/>
    <w:rsid w:val="008B775A"/>
    <w:rsid w:val="008C0855"/>
    <w:rsid w:val="008C16DC"/>
    <w:rsid w:val="008C1CDE"/>
    <w:rsid w:val="008C4FAC"/>
    <w:rsid w:val="008C52ED"/>
    <w:rsid w:val="008C53D1"/>
    <w:rsid w:val="008C5668"/>
    <w:rsid w:val="008C5769"/>
    <w:rsid w:val="008C57E5"/>
    <w:rsid w:val="008C59A7"/>
    <w:rsid w:val="008C7C9F"/>
    <w:rsid w:val="008D05DF"/>
    <w:rsid w:val="008D21C3"/>
    <w:rsid w:val="008D2220"/>
    <w:rsid w:val="008D2E5C"/>
    <w:rsid w:val="008D3CF0"/>
    <w:rsid w:val="008D3DE0"/>
    <w:rsid w:val="008D490A"/>
    <w:rsid w:val="008D5D78"/>
    <w:rsid w:val="008D6C5D"/>
    <w:rsid w:val="008E5F7E"/>
    <w:rsid w:val="008F13D4"/>
    <w:rsid w:val="008F1D88"/>
    <w:rsid w:val="008F23F6"/>
    <w:rsid w:val="008F286B"/>
    <w:rsid w:val="008F4EAB"/>
    <w:rsid w:val="008F53BE"/>
    <w:rsid w:val="008F5689"/>
    <w:rsid w:val="008F6C2D"/>
    <w:rsid w:val="008F6EBB"/>
    <w:rsid w:val="009009E5"/>
    <w:rsid w:val="0090538E"/>
    <w:rsid w:val="00905F2A"/>
    <w:rsid w:val="00907089"/>
    <w:rsid w:val="009072E0"/>
    <w:rsid w:val="00907433"/>
    <w:rsid w:val="009102CE"/>
    <w:rsid w:val="0091197E"/>
    <w:rsid w:val="00912CFA"/>
    <w:rsid w:val="00916F64"/>
    <w:rsid w:val="00917C02"/>
    <w:rsid w:val="00917D17"/>
    <w:rsid w:val="00922298"/>
    <w:rsid w:val="009227DD"/>
    <w:rsid w:val="00922D76"/>
    <w:rsid w:val="00923BFF"/>
    <w:rsid w:val="00923EF2"/>
    <w:rsid w:val="00924312"/>
    <w:rsid w:val="0092473E"/>
    <w:rsid w:val="00925153"/>
    <w:rsid w:val="00925EDA"/>
    <w:rsid w:val="009277EC"/>
    <w:rsid w:val="0093041C"/>
    <w:rsid w:val="00930B10"/>
    <w:rsid w:val="00931326"/>
    <w:rsid w:val="00932972"/>
    <w:rsid w:val="00933B10"/>
    <w:rsid w:val="00934FBB"/>
    <w:rsid w:val="00934FCA"/>
    <w:rsid w:val="00936B97"/>
    <w:rsid w:val="0094000C"/>
    <w:rsid w:val="0094156B"/>
    <w:rsid w:val="00941588"/>
    <w:rsid w:val="009436B7"/>
    <w:rsid w:val="00945B1E"/>
    <w:rsid w:val="00946733"/>
    <w:rsid w:val="00947A10"/>
    <w:rsid w:val="00952884"/>
    <w:rsid w:val="00954029"/>
    <w:rsid w:val="00954E45"/>
    <w:rsid w:val="00955384"/>
    <w:rsid w:val="009572AE"/>
    <w:rsid w:val="009573EE"/>
    <w:rsid w:val="00957510"/>
    <w:rsid w:val="00960EE4"/>
    <w:rsid w:val="0096130D"/>
    <w:rsid w:val="00961CD7"/>
    <w:rsid w:val="009626DE"/>
    <w:rsid w:val="00962743"/>
    <w:rsid w:val="009633A8"/>
    <w:rsid w:val="00963E61"/>
    <w:rsid w:val="00964D1C"/>
    <w:rsid w:val="00966020"/>
    <w:rsid w:val="00966D67"/>
    <w:rsid w:val="00967CE1"/>
    <w:rsid w:val="009708B1"/>
    <w:rsid w:val="00970953"/>
    <w:rsid w:val="00971075"/>
    <w:rsid w:val="009731E7"/>
    <w:rsid w:val="00974822"/>
    <w:rsid w:val="00976780"/>
    <w:rsid w:val="009778D4"/>
    <w:rsid w:val="0098112B"/>
    <w:rsid w:val="00981A3E"/>
    <w:rsid w:val="00982344"/>
    <w:rsid w:val="00982745"/>
    <w:rsid w:val="00983C5F"/>
    <w:rsid w:val="0098400E"/>
    <w:rsid w:val="00985167"/>
    <w:rsid w:val="009864CD"/>
    <w:rsid w:val="009879F1"/>
    <w:rsid w:val="009904A0"/>
    <w:rsid w:val="00991567"/>
    <w:rsid w:val="00991B25"/>
    <w:rsid w:val="00991E51"/>
    <w:rsid w:val="009921F4"/>
    <w:rsid w:val="0099345C"/>
    <w:rsid w:val="00993F4B"/>
    <w:rsid w:val="00997E0A"/>
    <w:rsid w:val="009A07FB"/>
    <w:rsid w:val="009A5CFC"/>
    <w:rsid w:val="009A6F6B"/>
    <w:rsid w:val="009A6FB5"/>
    <w:rsid w:val="009B0BD9"/>
    <w:rsid w:val="009B3288"/>
    <w:rsid w:val="009B3DEE"/>
    <w:rsid w:val="009B53CF"/>
    <w:rsid w:val="009B57EB"/>
    <w:rsid w:val="009B7AB7"/>
    <w:rsid w:val="009C0760"/>
    <w:rsid w:val="009C0ABD"/>
    <w:rsid w:val="009C2753"/>
    <w:rsid w:val="009C5599"/>
    <w:rsid w:val="009C595D"/>
    <w:rsid w:val="009C5E54"/>
    <w:rsid w:val="009C6635"/>
    <w:rsid w:val="009C733F"/>
    <w:rsid w:val="009C7369"/>
    <w:rsid w:val="009D1486"/>
    <w:rsid w:val="009D2D16"/>
    <w:rsid w:val="009D34BA"/>
    <w:rsid w:val="009D44E4"/>
    <w:rsid w:val="009D5F2A"/>
    <w:rsid w:val="009D6383"/>
    <w:rsid w:val="009E0179"/>
    <w:rsid w:val="009E138F"/>
    <w:rsid w:val="009E2A9F"/>
    <w:rsid w:val="009E34AC"/>
    <w:rsid w:val="009E353E"/>
    <w:rsid w:val="009E3E86"/>
    <w:rsid w:val="009E40A8"/>
    <w:rsid w:val="009E4730"/>
    <w:rsid w:val="009E483E"/>
    <w:rsid w:val="009E60E8"/>
    <w:rsid w:val="009F0396"/>
    <w:rsid w:val="009F0F62"/>
    <w:rsid w:val="009F3489"/>
    <w:rsid w:val="009F3A1F"/>
    <w:rsid w:val="009F4C95"/>
    <w:rsid w:val="009F5486"/>
    <w:rsid w:val="009F6A17"/>
    <w:rsid w:val="009F777C"/>
    <w:rsid w:val="009F7807"/>
    <w:rsid w:val="00A018F4"/>
    <w:rsid w:val="00A0244F"/>
    <w:rsid w:val="00A02A01"/>
    <w:rsid w:val="00A02C10"/>
    <w:rsid w:val="00A0375F"/>
    <w:rsid w:val="00A03BFB"/>
    <w:rsid w:val="00A0433A"/>
    <w:rsid w:val="00A05248"/>
    <w:rsid w:val="00A055B1"/>
    <w:rsid w:val="00A06060"/>
    <w:rsid w:val="00A103C6"/>
    <w:rsid w:val="00A11C3E"/>
    <w:rsid w:val="00A11DCE"/>
    <w:rsid w:val="00A12415"/>
    <w:rsid w:val="00A1286A"/>
    <w:rsid w:val="00A14A1B"/>
    <w:rsid w:val="00A15EEF"/>
    <w:rsid w:val="00A162AE"/>
    <w:rsid w:val="00A16F43"/>
    <w:rsid w:val="00A20A20"/>
    <w:rsid w:val="00A219A7"/>
    <w:rsid w:val="00A2231A"/>
    <w:rsid w:val="00A248CE"/>
    <w:rsid w:val="00A2538B"/>
    <w:rsid w:val="00A334C5"/>
    <w:rsid w:val="00A3403C"/>
    <w:rsid w:val="00A36547"/>
    <w:rsid w:val="00A376A2"/>
    <w:rsid w:val="00A41275"/>
    <w:rsid w:val="00A41327"/>
    <w:rsid w:val="00A42113"/>
    <w:rsid w:val="00A4270B"/>
    <w:rsid w:val="00A43067"/>
    <w:rsid w:val="00A43542"/>
    <w:rsid w:val="00A43942"/>
    <w:rsid w:val="00A43F57"/>
    <w:rsid w:val="00A4407B"/>
    <w:rsid w:val="00A4580F"/>
    <w:rsid w:val="00A45F00"/>
    <w:rsid w:val="00A461B6"/>
    <w:rsid w:val="00A46555"/>
    <w:rsid w:val="00A47268"/>
    <w:rsid w:val="00A47773"/>
    <w:rsid w:val="00A51CB6"/>
    <w:rsid w:val="00A53538"/>
    <w:rsid w:val="00A53C4A"/>
    <w:rsid w:val="00A5446D"/>
    <w:rsid w:val="00A54A0F"/>
    <w:rsid w:val="00A5643E"/>
    <w:rsid w:val="00A5692C"/>
    <w:rsid w:val="00A60190"/>
    <w:rsid w:val="00A605E7"/>
    <w:rsid w:val="00A607D3"/>
    <w:rsid w:val="00A60AFB"/>
    <w:rsid w:val="00A664E1"/>
    <w:rsid w:val="00A674CF"/>
    <w:rsid w:val="00A70BC9"/>
    <w:rsid w:val="00A726BB"/>
    <w:rsid w:val="00A73753"/>
    <w:rsid w:val="00A77F27"/>
    <w:rsid w:val="00A81654"/>
    <w:rsid w:val="00A83595"/>
    <w:rsid w:val="00A835EE"/>
    <w:rsid w:val="00A83E2B"/>
    <w:rsid w:val="00A8503A"/>
    <w:rsid w:val="00A8555A"/>
    <w:rsid w:val="00A85F87"/>
    <w:rsid w:val="00A86398"/>
    <w:rsid w:val="00A87EB8"/>
    <w:rsid w:val="00A90C58"/>
    <w:rsid w:val="00A9253D"/>
    <w:rsid w:val="00A92614"/>
    <w:rsid w:val="00A93D5B"/>
    <w:rsid w:val="00A94389"/>
    <w:rsid w:val="00A94E2F"/>
    <w:rsid w:val="00A956B4"/>
    <w:rsid w:val="00A9764E"/>
    <w:rsid w:val="00AA19DB"/>
    <w:rsid w:val="00AA27B0"/>
    <w:rsid w:val="00AA2876"/>
    <w:rsid w:val="00AA2DF2"/>
    <w:rsid w:val="00AA5905"/>
    <w:rsid w:val="00AA6391"/>
    <w:rsid w:val="00AB137E"/>
    <w:rsid w:val="00AB1E25"/>
    <w:rsid w:val="00AB2DFC"/>
    <w:rsid w:val="00AB4576"/>
    <w:rsid w:val="00AB4590"/>
    <w:rsid w:val="00AB5402"/>
    <w:rsid w:val="00AB7741"/>
    <w:rsid w:val="00AC00D2"/>
    <w:rsid w:val="00AC1BDC"/>
    <w:rsid w:val="00AC2131"/>
    <w:rsid w:val="00AC2DAB"/>
    <w:rsid w:val="00AC2F45"/>
    <w:rsid w:val="00AC3C60"/>
    <w:rsid w:val="00AC4266"/>
    <w:rsid w:val="00AC4BEF"/>
    <w:rsid w:val="00AC4CE6"/>
    <w:rsid w:val="00AC5DB7"/>
    <w:rsid w:val="00AC5FA3"/>
    <w:rsid w:val="00AC7063"/>
    <w:rsid w:val="00AD315D"/>
    <w:rsid w:val="00AD3841"/>
    <w:rsid w:val="00AD49DE"/>
    <w:rsid w:val="00AD6287"/>
    <w:rsid w:val="00AD65F9"/>
    <w:rsid w:val="00AD6883"/>
    <w:rsid w:val="00AD6F38"/>
    <w:rsid w:val="00AD71FE"/>
    <w:rsid w:val="00AD77BF"/>
    <w:rsid w:val="00AD7C83"/>
    <w:rsid w:val="00AE0307"/>
    <w:rsid w:val="00AE2221"/>
    <w:rsid w:val="00AE224A"/>
    <w:rsid w:val="00AE2C0C"/>
    <w:rsid w:val="00AE30BC"/>
    <w:rsid w:val="00AE36E9"/>
    <w:rsid w:val="00AE46F9"/>
    <w:rsid w:val="00AE4F74"/>
    <w:rsid w:val="00AE78EA"/>
    <w:rsid w:val="00AF15D1"/>
    <w:rsid w:val="00AF2D2F"/>
    <w:rsid w:val="00AF37BF"/>
    <w:rsid w:val="00AF5C20"/>
    <w:rsid w:val="00AF5C59"/>
    <w:rsid w:val="00AF75B7"/>
    <w:rsid w:val="00AF76F4"/>
    <w:rsid w:val="00AF7D50"/>
    <w:rsid w:val="00B00B44"/>
    <w:rsid w:val="00B02136"/>
    <w:rsid w:val="00B03DFE"/>
    <w:rsid w:val="00B03E8C"/>
    <w:rsid w:val="00B04F39"/>
    <w:rsid w:val="00B11A2D"/>
    <w:rsid w:val="00B12F92"/>
    <w:rsid w:val="00B13CEB"/>
    <w:rsid w:val="00B140F8"/>
    <w:rsid w:val="00B141D6"/>
    <w:rsid w:val="00B14D6C"/>
    <w:rsid w:val="00B16B31"/>
    <w:rsid w:val="00B17782"/>
    <w:rsid w:val="00B20E1D"/>
    <w:rsid w:val="00B21C52"/>
    <w:rsid w:val="00B22528"/>
    <w:rsid w:val="00B237E9"/>
    <w:rsid w:val="00B23A23"/>
    <w:rsid w:val="00B240FE"/>
    <w:rsid w:val="00B24B9B"/>
    <w:rsid w:val="00B250C5"/>
    <w:rsid w:val="00B256FD"/>
    <w:rsid w:val="00B25B6F"/>
    <w:rsid w:val="00B26FC7"/>
    <w:rsid w:val="00B270F6"/>
    <w:rsid w:val="00B272C6"/>
    <w:rsid w:val="00B30C36"/>
    <w:rsid w:val="00B32393"/>
    <w:rsid w:val="00B35366"/>
    <w:rsid w:val="00B36797"/>
    <w:rsid w:val="00B36D05"/>
    <w:rsid w:val="00B378E3"/>
    <w:rsid w:val="00B40801"/>
    <w:rsid w:val="00B4352E"/>
    <w:rsid w:val="00B43BBF"/>
    <w:rsid w:val="00B43E1B"/>
    <w:rsid w:val="00B44A9F"/>
    <w:rsid w:val="00B452A2"/>
    <w:rsid w:val="00B45B99"/>
    <w:rsid w:val="00B4619B"/>
    <w:rsid w:val="00B470AB"/>
    <w:rsid w:val="00B513C1"/>
    <w:rsid w:val="00B52D0D"/>
    <w:rsid w:val="00B53E80"/>
    <w:rsid w:val="00B54076"/>
    <w:rsid w:val="00B569A6"/>
    <w:rsid w:val="00B618A0"/>
    <w:rsid w:val="00B62757"/>
    <w:rsid w:val="00B64513"/>
    <w:rsid w:val="00B655AD"/>
    <w:rsid w:val="00B66F87"/>
    <w:rsid w:val="00B66FB4"/>
    <w:rsid w:val="00B67B2D"/>
    <w:rsid w:val="00B70962"/>
    <w:rsid w:val="00B70E6A"/>
    <w:rsid w:val="00B70F4B"/>
    <w:rsid w:val="00B717BB"/>
    <w:rsid w:val="00B71A86"/>
    <w:rsid w:val="00B72213"/>
    <w:rsid w:val="00B722A2"/>
    <w:rsid w:val="00B72E0F"/>
    <w:rsid w:val="00B73C95"/>
    <w:rsid w:val="00B742BF"/>
    <w:rsid w:val="00B76F0D"/>
    <w:rsid w:val="00B77735"/>
    <w:rsid w:val="00B77CA8"/>
    <w:rsid w:val="00B80E2E"/>
    <w:rsid w:val="00B8132D"/>
    <w:rsid w:val="00B81ABD"/>
    <w:rsid w:val="00B824A4"/>
    <w:rsid w:val="00B82DFE"/>
    <w:rsid w:val="00B836E7"/>
    <w:rsid w:val="00B83B65"/>
    <w:rsid w:val="00B85616"/>
    <w:rsid w:val="00B86DF7"/>
    <w:rsid w:val="00B8721C"/>
    <w:rsid w:val="00B87C2D"/>
    <w:rsid w:val="00B87DDB"/>
    <w:rsid w:val="00B90A2D"/>
    <w:rsid w:val="00B91B90"/>
    <w:rsid w:val="00B94C23"/>
    <w:rsid w:val="00B94F4A"/>
    <w:rsid w:val="00B95494"/>
    <w:rsid w:val="00B95854"/>
    <w:rsid w:val="00B964FA"/>
    <w:rsid w:val="00B97532"/>
    <w:rsid w:val="00BA0D6A"/>
    <w:rsid w:val="00BA0EE7"/>
    <w:rsid w:val="00BA190E"/>
    <w:rsid w:val="00BA3C67"/>
    <w:rsid w:val="00BA4582"/>
    <w:rsid w:val="00BA47DE"/>
    <w:rsid w:val="00BA51A7"/>
    <w:rsid w:val="00BA6496"/>
    <w:rsid w:val="00BA6BB3"/>
    <w:rsid w:val="00BA6EA2"/>
    <w:rsid w:val="00BA7B21"/>
    <w:rsid w:val="00BB1097"/>
    <w:rsid w:val="00BB27C6"/>
    <w:rsid w:val="00BB347A"/>
    <w:rsid w:val="00BB387A"/>
    <w:rsid w:val="00BB5578"/>
    <w:rsid w:val="00BB560E"/>
    <w:rsid w:val="00BC2FE1"/>
    <w:rsid w:val="00BC551F"/>
    <w:rsid w:val="00BC5630"/>
    <w:rsid w:val="00BD0005"/>
    <w:rsid w:val="00BD050D"/>
    <w:rsid w:val="00BD0C81"/>
    <w:rsid w:val="00BD23B8"/>
    <w:rsid w:val="00BD2607"/>
    <w:rsid w:val="00BD3440"/>
    <w:rsid w:val="00BD4384"/>
    <w:rsid w:val="00BD51E4"/>
    <w:rsid w:val="00BD5B05"/>
    <w:rsid w:val="00BD6C84"/>
    <w:rsid w:val="00BE0458"/>
    <w:rsid w:val="00BE0A2E"/>
    <w:rsid w:val="00BE3005"/>
    <w:rsid w:val="00BE44BA"/>
    <w:rsid w:val="00BE5A9F"/>
    <w:rsid w:val="00BE5FFE"/>
    <w:rsid w:val="00BE780F"/>
    <w:rsid w:val="00BF0956"/>
    <w:rsid w:val="00BF1693"/>
    <w:rsid w:val="00BF4E96"/>
    <w:rsid w:val="00BF5497"/>
    <w:rsid w:val="00BF54BE"/>
    <w:rsid w:val="00BF6384"/>
    <w:rsid w:val="00BF6DB4"/>
    <w:rsid w:val="00BF7354"/>
    <w:rsid w:val="00BF7718"/>
    <w:rsid w:val="00C008F0"/>
    <w:rsid w:val="00C018D3"/>
    <w:rsid w:val="00C02191"/>
    <w:rsid w:val="00C02412"/>
    <w:rsid w:val="00C0684E"/>
    <w:rsid w:val="00C07980"/>
    <w:rsid w:val="00C07DCD"/>
    <w:rsid w:val="00C1072F"/>
    <w:rsid w:val="00C12BEB"/>
    <w:rsid w:val="00C13089"/>
    <w:rsid w:val="00C13B3D"/>
    <w:rsid w:val="00C15224"/>
    <w:rsid w:val="00C1588B"/>
    <w:rsid w:val="00C166E9"/>
    <w:rsid w:val="00C16878"/>
    <w:rsid w:val="00C172B2"/>
    <w:rsid w:val="00C20337"/>
    <w:rsid w:val="00C227A5"/>
    <w:rsid w:val="00C22A42"/>
    <w:rsid w:val="00C261B7"/>
    <w:rsid w:val="00C26E6A"/>
    <w:rsid w:val="00C27AEA"/>
    <w:rsid w:val="00C30031"/>
    <w:rsid w:val="00C300E6"/>
    <w:rsid w:val="00C30698"/>
    <w:rsid w:val="00C30A7E"/>
    <w:rsid w:val="00C32782"/>
    <w:rsid w:val="00C32D2A"/>
    <w:rsid w:val="00C34EDF"/>
    <w:rsid w:val="00C37CFB"/>
    <w:rsid w:val="00C37DD5"/>
    <w:rsid w:val="00C43417"/>
    <w:rsid w:val="00C469DE"/>
    <w:rsid w:val="00C50507"/>
    <w:rsid w:val="00C5310A"/>
    <w:rsid w:val="00C53F09"/>
    <w:rsid w:val="00C5459B"/>
    <w:rsid w:val="00C56E29"/>
    <w:rsid w:val="00C6059C"/>
    <w:rsid w:val="00C60FE3"/>
    <w:rsid w:val="00C61361"/>
    <w:rsid w:val="00C6240E"/>
    <w:rsid w:val="00C63493"/>
    <w:rsid w:val="00C70C73"/>
    <w:rsid w:val="00C71161"/>
    <w:rsid w:val="00C72808"/>
    <w:rsid w:val="00C729BF"/>
    <w:rsid w:val="00C74B15"/>
    <w:rsid w:val="00C75BC3"/>
    <w:rsid w:val="00C76C4B"/>
    <w:rsid w:val="00C77910"/>
    <w:rsid w:val="00C8024E"/>
    <w:rsid w:val="00C812FB"/>
    <w:rsid w:val="00C81CBD"/>
    <w:rsid w:val="00C821DB"/>
    <w:rsid w:val="00C8299A"/>
    <w:rsid w:val="00C8312A"/>
    <w:rsid w:val="00C83567"/>
    <w:rsid w:val="00C83DFC"/>
    <w:rsid w:val="00C8523C"/>
    <w:rsid w:val="00C85861"/>
    <w:rsid w:val="00C8666C"/>
    <w:rsid w:val="00C873A3"/>
    <w:rsid w:val="00C873DD"/>
    <w:rsid w:val="00C879BD"/>
    <w:rsid w:val="00C87EB5"/>
    <w:rsid w:val="00C90A99"/>
    <w:rsid w:val="00C92186"/>
    <w:rsid w:val="00C927F1"/>
    <w:rsid w:val="00C938B9"/>
    <w:rsid w:val="00C94A85"/>
    <w:rsid w:val="00C94F45"/>
    <w:rsid w:val="00C97F2B"/>
    <w:rsid w:val="00CA03CF"/>
    <w:rsid w:val="00CA08D9"/>
    <w:rsid w:val="00CA1646"/>
    <w:rsid w:val="00CA361A"/>
    <w:rsid w:val="00CA7519"/>
    <w:rsid w:val="00CB00EF"/>
    <w:rsid w:val="00CB0E59"/>
    <w:rsid w:val="00CB2976"/>
    <w:rsid w:val="00CB79A4"/>
    <w:rsid w:val="00CB7DDB"/>
    <w:rsid w:val="00CC07D9"/>
    <w:rsid w:val="00CC0E84"/>
    <w:rsid w:val="00CC3075"/>
    <w:rsid w:val="00CC31B4"/>
    <w:rsid w:val="00CC39B9"/>
    <w:rsid w:val="00CC410A"/>
    <w:rsid w:val="00CC6344"/>
    <w:rsid w:val="00CC6D47"/>
    <w:rsid w:val="00CD0B82"/>
    <w:rsid w:val="00CD0F94"/>
    <w:rsid w:val="00CD2082"/>
    <w:rsid w:val="00CD255F"/>
    <w:rsid w:val="00CD33DA"/>
    <w:rsid w:val="00CD4388"/>
    <w:rsid w:val="00CD46C9"/>
    <w:rsid w:val="00CD57FC"/>
    <w:rsid w:val="00CD6306"/>
    <w:rsid w:val="00CE1C20"/>
    <w:rsid w:val="00CE1D7E"/>
    <w:rsid w:val="00CE3897"/>
    <w:rsid w:val="00CE4049"/>
    <w:rsid w:val="00CE7C28"/>
    <w:rsid w:val="00CF0307"/>
    <w:rsid w:val="00CF1D55"/>
    <w:rsid w:val="00CF39EB"/>
    <w:rsid w:val="00CF4491"/>
    <w:rsid w:val="00CF4E7D"/>
    <w:rsid w:val="00CF6169"/>
    <w:rsid w:val="00CF6B8C"/>
    <w:rsid w:val="00CF79BA"/>
    <w:rsid w:val="00D001D1"/>
    <w:rsid w:val="00D0053D"/>
    <w:rsid w:val="00D04C40"/>
    <w:rsid w:val="00D0713F"/>
    <w:rsid w:val="00D1201C"/>
    <w:rsid w:val="00D12740"/>
    <w:rsid w:val="00D1277B"/>
    <w:rsid w:val="00D12EDF"/>
    <w:rsid w:val="00D14F1F"/>
    <w:rsid w:val="00D167F0"/>
    <w:rsid w:val="00D17442"/>
    <w:rsid w:val="00D20FF5"/>
    <w:rsid w:val="00D2465B"/>
    <w:rsid w:val="00D253EA"/>
    <w:rsid w:val="00D263FE"/>
    <w:rsid w:val="00D27094"/>
    <w:rsid w:val="00D276B6"/>
    <w:rsid w:val="00D309F7"/>
    <w:rsid w:val="00D31F28"/>
    <w:rsid w:val="00D32AD9"/>
    <w:rsid w:val="00D34C90"/>
    <w:rsid w:val="00D352EF"/>
    <w:rsid w:val="00D35AC3"/>
    <w:rsid w:val="00D35B13"/>
    <w:rsid w:val="00D451AB"/>
    <w:rsid w:val="00D451E1"/>
    <w:rsid w:val="00D4532F"/>
    <w:rsid w:val="00D463CB"/>
    <w:rsid w:val="00D46517"/>
    <w:rsid w:val="00D5100B"/>
    <w:rsid w:val="00D514AE"/>
    <w:rsid w:val="00D5180E"/>
    <w:rsid w:val="00D51AFB"/>
    <w:rsid w:val="00D52BB5"/>
    <w:rsid w:val="00D53BEB"/>
    <w:rsid w:val="00D53D36"/>
    <w:rsid w:val="00D54E1E"/>
    <w:rsid w:val="00D55F19"/>
    <w:rsid w:val="00D56789"/>
    <w:rsid w:val="00D57749"/>
    <w:rsid w:val="00D57ABB"/>
    <w:rsid w:val="00D60904"/>
    <w:rsid w:val="00D6166C"/>
    <w:rsid w:val="00D62036"/>
    <w:rsid w:val="00D63401"/>
    <w:rsid w:val="00D65299"/>
    <w:rsid w:val="00D65E04"/>
    <w:rsid w:val="00D662CB"/>
    <w:rsid w:val="00D6787C"/>
    <w:rsid w:val="00D67D9C"/>
    <w:rsid w:val="00D7002C"/>
    <w:rsid w:val="00D7347B"/>
    <w:rsid w:val="00D73FEE"/>
    <w:rsid w:val="00D75514"/>
    <w:rsid w:val="00D770BD"/>
    <w:rsid w:val="00D77592"/>
    <w:rsid w:val="00D77950"/>
    <w:rsid w:val="00D803D1"/>
    <w:rsid w:val="00D80675"/>
    <w:rsid w:val="00D812B0"/>
    <w:rsid w:val="00D81C9D"/>
    <w:rsid w:val="00D821BA"/>
    <w:rsid w:val="00D8247C"/>
    <w:rsid w:val="00D825CC"/>
    <w:rsid w:val="00D83445"/>
    <w:rsid w:val="00D84393"/>
    <w:rsid w:val="00D909B7"/>
    <w:rsid w:val="00D91000"/>
    <w:rsid w:val="00D91A95"/>
    <w:rsid w:val="00D92455"/>
    <w:rsid w:val="00D92895"/>
    <w:rsid w:val="00D92BD7"/>
    <w:rsid w:val="00D92E08"/>
    <w:rsid w:val="00D938D8"/>
    <w:rsid w:val="00D93B31"/>
    <w:rsid w:val="00D9476A"/>
    <w:rsid w:val="00D970F3"/>
    <w:rsid w:val="00DA168A"/>
    <w:rsid w:val="00DA188A"/>
    <w:rsid w:val="00DA25A2"/>
    <w:rsid w:val="00DA3626"/>
    <w:rsid w:val="00DA36C0"/>
    <w:rsid w:val="00DA605F"/>
    <w:rsid w:val="00DA6435"/>
    <w:rsid w:val="00DA74D1"/>
    <w:rsid w:val="00DB016E"/>
    <w:rsid w:val="00DB1A44"/>
    <w:rsid w:val="00DB2153"/>
    <w:rsid w:val="00DB2D75"/>
    <w:rsid w:val="00DB2E0D"/>
    <w:rsid w:val="00DB30EE"/>
    <w:rsid w:val="00DB4181"/>
    <w:rsid w:val="00DB451C"/>
    <w:rsid w:val="00DB4C31"/>
    <w:rsid w:val="00DB545D"/>
    <w:rsid w:val="00DB6EFA"/>
    <w:rsid w:val="00DB76DE"/>
    <w:rsid w:val="00DC08B6"/>
    <w:rsid w:val="00DC0A36"/>
    <w:rsid w:val="00DC0B94"/>
    <w:rsid w:val="00DC1024"/>
    <w:rsid w:val="00DC2159"/>
    <w:rsid w:val="00DC26C1"/>
    <w:rsid w:val="00DC2E79"/>
    <w:rsid w:val="00DC4878"/>
    <w:rsid w:val="00DD2219"/>
    <w:rsid w:val="00DD24D3"/>
    <w:rsid w:val="00DD2E55"/>
    <w:rsid w:val="00DD56B0"/>
    <w:rsid w:val="00DD585B"/>
    <w:rsid w:val="00DD6959"/>
    <w:rsid w:val="00DD7DB6"/>
    <w:rsid w:val="00DE14CD"/>
    <w:rsid w:val="00DE1E30"/>
    <w:rsid w:val="00DE20AB"/>
    <w:rsid w:val="00DE2F53"/>
    <w:rsid w:val="00DE362A"/>
    <w:rsid w:val="00DE37ED"/>
    <w:rsid w:val="00DE3FCE"/>
    <w:rsid w:val="00DE417B"/>
    <w:rsid w:val="00DE5E37"/>
    <w:rsid w:val="00DE6179"/>
    <w:rsid w:val="00DE6498"/>
    <w:rsid w:val="00DE6985"/>
    <w:rsid w:val="00DE7B0B"/>
    <w:rsid w:val="00DF0EE4"/>
    <w:rsid w:val="00DF2C1A"/>
    <w:rsid w:val="00DF31B3"/>
    <w:rsid w:val="00DF37A2"/>
    <w:rsid w:val="00DF46BD"/>
    <w:rsid w:val="00DF55E5"/>
    <w:rsid w:val="00DF7B11"/>
    <w:rsid w:val="00DF7FD9"/>
    <w:rsid w:val="00E00673"/>
    <w:rsid w:val="00E0122C"/>
    <w:rsid w:val="00E012F6"/>
    <w:rsid w:val="00E01356"/>
    <w:rsid w:val="00E01A9B"/>
    <w:rsid w:val="00E03354"/>
    <w:rsid w:val="00E03A32"/>
    <w:rsid w:val="00E04D0B"/>
    <w:rsid w:val="00E05515"/>
    <w:rsid w:val="00E07EA1"/>
    <w:rsid w:val="00E10625"/>
    <w:rsid w:val="00E10BBD"/>
    <w:rsid w:val="00E10F65"/>
    <w:rsid w:val="00E1135B"/>
    <w:rsid w:val="00E14F8A"/>
    <w:rsid w:val="00E15B33"/>
    <w:rsid w:val="00E1641D"/>
    <w:rsid w:val="00E16FD4"/>
    <w:rsid w:val="00E17309"/>
    <w:rsid w:val="00E1785C"/>
    <w:rsid w:val="00E20135"/>
    <w:rsid w:val="00E201BC"/>
    <w:rsid w:val="00E209C4"/>
    <w:rsid w:val="00E21FA8"/>
    <w:rsid w:val="00E22BFF"/>
    <w:rsid w:val="00E23311"/>
    <w:rsid w:val="00E23794"/>
    <w:rsid w:val="00E2478F"/>
    <w:rsid w:val="00E30195"/>
    <w:rsid w:val="00E3022B"/>
    <w:rsid w:val="00E3054F"/>
    <w:rsid w:val="00E32CEF"/>
    <w:rsid w:val="00E33682"/>
    <w:rsid w:val="00E33A14"/>
    <w:rsid w:val="00E365B5"/>
    <w:rsid w:val="00E37762"/>
    <w:rsid w:val="00E406E2"/>
    <w:rsid w:val="00E43A90"/>
    <w:rsid w:val="00E4570F"/>
    <w:rsid w:val="00E45DF3"/>
    <w:rsid w:val="00E506E9"/>
    <w:rsid w:val="00E514B0"/>
    <w:rsid w:val="00E52191"/>
    <w:rsid w:val="00E52948"/>
    <w:rsid w:val="00E534CE"/>
    <w:rsid w:val="00E55962"/>
    <w:rsid w:val="00E55ECD"/>
    <w:rsid w:val="00E56241"/>
    <w:rsid w:val="00E57C79"/>
    <w:rsid w:val="00E60D09"/>
    <w:rsid w:val="00E60F1D"/>
    <w:rsid w:val="00E61264"/>
    <w:rsid w:val="00E61E52"/>
    <w:rsid w:val="00E6349F"/>
    <w:rsid w:val="00E634CD"/>
    <w:rsid w:val="00E63BA1"/>
    <w:rsid w:val="00E64274"/>
    <w:rsid w:val="00E64F58"/>
    <w:rsid w:val="00E65444"/>
    <w:rsid w:val="00E65817"/>
    <w:rsid w:val="00E65A9E"/>
    <w:rsid w:val="00E65F51"/>
    <w:rsid w:val="00E661CD"/>
    <w:rsid w:val="00E66D49"/>
    <w:rsid w:val="00E71147"/>
    <w:rsid w:val="00E71277"/>
    <w:rsid w:val="00E724DA"/>
    <w:rsid w:val="00E741E2"/>
    <w:rsid w:val="00E747B6"/>
    <w:rsid w:val="00E749A4"/>
    <w:rsid w:val="00E749F2"/>
    <w:rsid w:val="00E74B54"/>
    <w:rsid w:val="00E80258"/>
    <w:rsid w:val="00E8103B"/>
    <w:rsid w:val="00E81C0C"/>
    <w:rsid w:val="00E843EF"/>
    <w:rsid w:val="00E8629E"/>
    <w:rsid w:val="00E86500"/>
    <w:rsid w:val="00E8695F"/>
    <w:rsid w:val="00E876A6"/>
    <w:rsid w:val="00E87FA1"/>
    <w:rsid w:val="00E87FC0"/>
    <w:rsid w:val="00E90268"/>
    <w:rsid w:val="00E90D0F"/>
    <w:rsid w:val="00E925E5"/>
    <w:rsid w:val="00E94541"/>
    <w:rsid w:val="00E94D4E"/>
    <w:rsid w:val="00E94FA6"/>
    <w:rsid w:val="00E95F07"/>
    <w:rsid w:val="00E96B41"/>
    <w:rsid w:val="00E96B93"/>
    <w:rsid w:val="00E96DB7"/>
    <w:rsid w:val="00EA0623"/>
    <w:rsid w:val="00EA07C4"/>
    <w:rsid w:val="00EA097B"/>
    <w:rsid w:val="00EA0D5D"/>
    <w:rsid w:val="00EA16EC"/>
    <w:rsid w:val="00EA18FD"/>
    <w:rsid w:val="00EA23EE"/>
    <w:rsid w:val="00EA298F"/>
    <w:rsid w:val="00EA3FEA"/>
    <w:rsid w:val="00EA48F9"/>
    <w:rsid w:val="00EA5DF1"/>
    <w:rsid w:val="00EA63E4"/>
    <w:rsid w:val="00EA67B7"/>
    <w:rsid w:val="00EA6921"/>
    <w:rsid w:val="00EA7001"/>
    <w:rsid w:val="00EB29B5"/>
    <w:rsid w:val="00EB4551"/>
    <w:rsid w:val="00EB5CEB"/>
    <w:rsid w:val="00EB636D"/>
    <w:rsid w:val="00EB75ED"/>
    <w:rsid w:val="00EB76E3"/>
    <w:rsid w:val="00EC0588"/>
    <w:rsid w:val="00EC1928"/>
    <w:rsid w:val="00EC1BC1"/>
    <w:rsid w:val="00EC1DFA"/>
    <w:rsid w:val="00EC29DE"/>
    <w:rsid w:val="00EC2D85"/>
    <w:rsid w:val="00EC2E70"/>
    <w:rsid w:val="00EC31A1"/>
    <w:rsid w:val="00EC4182"/>
    <w:rsid w:val="00EC46AA"/>
    <w:rsid w:val="00EC519E"/>
    <w:rsid w:val="00EC5AFB"/>
    <w:rsid w:val="00EC5F1E"/>
    <w:rsid w:val="00EC7168"/>
    <w:rsid w:val="00EC7896"/>
    <w:rsid w:val="00EC7C21"/>
    <w:rsid w:val="00ED03C8"/>
    <w:rsid w:val="00ED0E5B"/>
    <w:rsid w:val="00ED1997"/>
    <w:rsid w:val="00ED1D0A"/>
    <w:rsid w:val="00ED20BA"/>
    <w:rsid w:val="00ED2C0A"/>
    <w:rsid w:val="00ED2FD8"/>
    <w:rsid w:val="00ED3658"/>
    <w:rsid w:val="00ED7925"/>
    <w:rsid w:val="00EE2F99"/>
    <w:rsid w:val="00EE2FBF"/>
    <w:rsid w:val="00EE34B3"/>
    <w:rsid w:val="00EE3F96"/>
    <w:rsid w:val="00EE45E8"/>
    <w:rsid w:val="00EE49CD"/>
    <w:rsid w:val="00EE4A72"/>
    <w:rsid w:val="00EE645A"/>
    <w:rsid w:val="00EE64EB"/>
    <w:rsid w:val="00EE653B"/>
    <w:rsid w:val="00EE6E52"/>
    <w:rsid w:val="00EF1050"/>
    <w:rsid w:val="00EF1E9B"/>
    <w:rsid w:val="00EF21CB"/>
    <w:rsid w:val="00EF25D0"/>
    <w:rsid w:val="00EF3C39"/>
    <w:rsid w:val="00EF5231"/>
    <w:rsid w:val="00EF6D38"/>
    <w:rsid w:val="00EF7F86"/>
    <w:rsid w:val="00F02EAE"/>
    <w:rsid w:val="00F03063"/>
    <w:rsid w:val="00F0308C"/>
    <w:rsid w:val="00F03A36"/>
    <w:rsid w:val="00F03E14"/>
    <w:rsid w:val="00F03FE5"/>
    <w:rsid w:val="00F048DA"/>
    <w:rsid w:val="00F05C3C"/>
    <w:rsid w:val="00F06575"/>
    <w:rsid w:val="00F07EAB"/>
    <w:rsid w:val="00F10C26"/>
    <w:rsid w:val="00F130E4"/>
    <w:rsid w:val="00F13817"/>
    <w:rsid w:val="00F13DE8"/>
    <w:rsid w:val="00F13E4A"/>
    <w:rsid w:val="00F14957"/>
    <w:rsid w:val="00F14971"/>
    <w:rsid w:val="00F154BD"/>
    <w:rsid w:val="00F15DCE"/>
    <w:rsid w:val="00F1614A"/>
    <w:rsid w:val="00F17A9E"/>
    <w:rsid w:val="00F17F4F"/>
    <w:rsid w:val="00F20848"/>
    <w:rsid w:val="00F21070"/>
    <w:rsid w:val="00F21271"/>
    <w:rsid w:val="00F21AB1"/>
    <w:rsid w:val="00F2317E"/>
    <w:rsid w:val="00F234B3"/>
    <w:rsid w:val="00F23970"/>
    <w:rsid w:val="00F23AD5"/>
    <w:rsid w:val="00F26E57"/>
    <w:rsid w:val="00F27FD8"/>
    <w:rsid w:val="00F30BBE"/>
    <w:rsid w:val="00F322CE"/>
    <w:rsid w:val="00F337DB"/>
    <w:rsid w:val="00F34341"/>
    <w:rsid w:val="00F34E25"/>
    <w:rsid w:val="00F37159"/>
    <w:rsid w:val="00F373C5"/>
    <w:rsid w:val="00F4072E"/>
    <w:rsid w:val="00F40F0B"/>
    <w:rsid w:val="00F438FA"/>
    <w:rsid w:val="00F454CE"/>
    <w:rsid w:val="00F50A90"/>
    <w:rsid w:val="00F5187E"/>
    <w:rsid w:val="00F5228A"/>
    <w:rsid w:val="00F5243A"/>
    <w:rsid w:val="00F52C6F"/>
    <w:rsid w:val="00F55461"/>
    <w:rsid w:val="00F5587A"/>
    <w:rsid w:val="00F55E78"/>
    <w:rsid w:val="00F563AC"/>
    <w:rsid w:val="00F57CBA"/>
    <w:rsid w:val="00F61C95"/>
    <w:rsid w:val="00F63884"/>
    <w:rsid w:val="00F652CB"/>
    <w:rsid w:val="00F66004"/>
    <w:rsid w:val="00F677B4"/>
    <w:rsid w:val="00F70C53"/>
    <w:rsid w:val="00F70F0A"/>
    <w:rsid w:val="00F72E27"/>
    <w:rsid w:val="00F7657E"/>
    <w:rsid w:val="00F77D9B"/>
    <w:rsid w:val="00F84193"/>
    <w:rsid w:val="00F85297"/>
    <w:rsid w:val="00F8684E"/>
    <w:rsid w:val="00F86937"/>
    <w:rsid w:val="00F875CD"/>
    <w:rsid w:val="00F87E35"/>
    <w:rsid w:val="00F91905"/>
    <w:rsid w:val="00F92F64"/>
    <w:rsid w:val="00F93878"/>
    <w:rsid w:val="00F93F84"/>
    <w:rsid w:val="00F95456"/>
    <w:rsid w:val="00F9558C"/>
    <w:rsid w:val="00F95ED6"/>
    <w:rsid w:val="00FA3310"/>
    <w:rsid w:val="00FA7AED"/>
    <w:rsid w:val="00FB01E6"/>
    <w:rsid w:val="00FB0B35"/>
    <w:rsid w:val="00FB0E6A"/>
    <w:rsid w:val="00FB1524"/>
    <w:rsid w:val="00FB2654"/>
    <w:rsid w:val="00FB3BBE"/>
    <w:rsid w:val="00FB5953"/>
    <w:rsid w:val="00FB7A08"/>
    <w:rsid w:val="00FC0580"/>
    <w:rsid w:val="00FC0CBD"/>
    <w:rsid w:val="00FC0D2C"/>
    <w:rsid w:val="00FC18CC"/>
    <w:rsid w:val="00FC3EF8"/>
    <w:rsid w:val="00FC3F6E"/>
    <w:rsid w:val="00FC490F"/>
    <w:rsid w:val="00FC5600"/>
    <w:rsid w:val="00FC5888"/>
    <w:rsid w:val="00FC6A76"/>
    <w:rsid w:val="00FC6B05"/>
    <w:rsid w:val="00FC79B2"/>
    <w:rsid w:val="00FD0AD9"/>
    <w:rsid w:val="00FD0F52"/>
    <w:rsid w:val="00FD10F4"/>
    <w:rsid w:val="00FD205D"/>
    <w:rsid w:val="00FD2DB2"/>
    <w:rsid w:val="00FD36C3"/>
    <w:rsid w:val="00FD3863"/>
    <w:rsid w:val="00FD40A1"/>
    <w:rsid w:val="00FD45B3"/>
    <w:rsid w:val="00FD604E"/>
    <w:rsid w:val="00FD77A9"/>
    <w:rsid w:val="00FE0853"/>
    <w:rsid w:val="00FE1D24"/>
    <w:rsid w:val="00FE2069"/>
    <w:rsid w:val="00FE2D0A"/>
    <w:rsid w:val="00FE315C"/>
    <w:rsid w:val="00FE3EDE"/>
    <w:rsid w:val="00FE6264"/>
    <w:rsid w:val="00FF04FF"/>
    <w:rsid w:val="00FF1595"/>
    <w:rsid w:val="00FF209C"/>
    <w:rsid w:val="00FF211C"/>
    <w:rsid w:val="00FF2176"/>
    <w:rsid w:val="00FF2ADD"/>
    <w:rsid w:val="00FF3596"/>
    <w:rsid w:val="00FF3AA0"/>
    <w:rsid w:val="00FF4877"/>
    <w:rsid w:val="00FF50EE"/>
    <w:rsid w:val="00FF52E1"/>
    <w:rsid w:val="00FF6A6F"/>
    <w:rsid w:val="00FF7B1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8E1B8B"/>
  <w15:docId w15:val="{3FDECDF4-C2EA-4CF3-9145-7FAA65135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46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854ED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D6B8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32CEF"/>
  </w:style>
  <w:style w:type="paragraph" w:styleId="ListParagraph">
    <w:name w:val="List Paragraph"/>
    <w:basedOn w:val="Normal"/>
    <w:uiPriority w:val="34"/>
    <w:qFormat/>
    <w:rsid w:val="00EB5CEB"/>
    <w:pPr>
      <w:ind w:left="720"/>
      <w:contextualSpacing/>
    </w:pPr>
  </w:style>
  <w:style w:type="character" w:styleId="CommentReference">
    <w:name w:val="annotation reference"/>
    <w:basedOn w:val="DefaultParagraphFont"/>
    <w:uiPriority w:val="99"/>
    <w:semiHidden/>
    <w:unhideWhenUsed/>
    <w:rsid w:val="00BE5FFE"/>
    <w:rPr>
      <w:sz w:val="16"/>
      <w:szCs w:val="16"/>
    </w:rPr>
  </w:style>
  <w:style w:type="paragraph" w:styleId="CommentText">
    <w:name w:val="annotation text"/>
    <w:basedOn w:val="Normal"/>
    <w:link w:val="CommentTextChar"/>
    <w:uiPriority w:val="99"/>
    <w:semiHidden/>
    <w:unhideWhenUsed/>
    <w:rsid w:val="00BE5FFE"/>
    <w:rPr>
      <w:sz w:val="20"/>
      <w:szCs w:val="20"/>
    </w:rPr>
  </w:style>
  <w:style w:type="character" w:customStyle="1" w:styleId="CommentTextChar">
    <w:name w:val="Comment Text Char"/>
    <w:basedOn w:val="DefaultParagraphFont"/>
    <w:link w:val="CommentText"/>
    <w:uiPriority w:val="99"/>
    <w:semiHidden/>
    <w:rsid w:val="00BE5FFE"/>
    <w:rPr>
      <w:sz w:val="20"/>
      <w:szCs w:val="20"/>
    </w:rPr>
  </w:style>
  <w:style w:type="paragraph" w:styleId="CommentSubject">
    <w:name w:val="annotation subject"/>
    <w:basedOn w:val="CommentText"/>
    <w:next w:val="CommentText"/>
    <w:link w:val="CommentSubjectChar"/>
    <w:uiPriority w:val="99"/>
    <w:semiHidden/>
    <w:unhideWhenUsed/>
    <w:rsid w:val="00BE5FFE"/>
    <w:rPr>
      <w:b/>
      <w:bCs/>
    </w:rPr>
  </w:style>
  <w:style w:type="character" w:customStyle="1" w:styleId="CommentSubjectChar">
    <w:name w:val="Comment Subject Char"/>
    <w:basedOn w:val="CommentTextChar"/>
    <w:link w:val="CommentSubject"/>
    <w:uiPriority w:val="99"/>
    <w:semiHidden/>
    <w:rsid w:val="00BE5FFE"/>
    <w:rPr>
      <w:b/>
      <w:bCs/>
      <w:sz w:val="20"/>
      <w:szCs w:val="20"/>
    </w:rPr>
  </w:style>
  <w:style w:type="paragraph" w:styleId="Revision">
    <w:name w:val="Revision"/>
    <w:hidden/>
    <w:uiPriority w:val="99"/>
    <w:semiHidden/>
    <w:rsid w:val="00BE5FFE"/>
    <w:pPr>
      <w:spacing w:after="0" w:line="240" w:lineRule="auto"/>
    </w:pPr>
  </w:style>
  <w:style w:type="paragraph" w:styleId="BalloonText">
    <w:name w:val="Balloon Text"/>
    <w:basedOn w:val="Normal"/>
    <w:link w:val="BalloonTextChar"/>
    <w:uiPriority w:val="99"/>
    <w:semiHidden/>
    <w:unhideWhenUsed/>
    <w:rsid w:val="00BE5F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FFE"/>
    <w:rPr>
      <w:rFonts w:ascii="Segoe UI" w:hAnsi="Segoe UI" w:cs="Segoe UI"/>
      <w:sz w:val="18"/>
      <w:szCs w:val="18"/>
    </w:rPr>
  </w:style>
  <w:style w:type="character" w:styleId="Strong">
    <w:name w:val="Strong"/>
    <w:basedOn w:val="DefaultParagraphFont"/>
    <w:uiPriority w:val="22"/>
    <w:qFormat/>
    <w:rsid w:val="00177BA1"/>
    <w:rPr>
      <w:b/>
      <w:bCs/>
    </w:rPr>
  </w:style>
  <w:style w:type="character" w:styleId="Hyperlink">
    <w:name w:val="Hyperlink"/>
    <w:basedOn w:val="DefaultParagraphFont"/>
    <w:uiPriority w:val="99"/>
    <w:unhideWhenUsed/>
    <w:rsid w:val="004D56F3"/>
    <w:rPr>
      <w:color w:val="0000FF"/>
      <w:u w:val="single"/>
    </w:rPr>
  </w:style>
  <w:style w:type="paragraph" w:customStyle="1" w:styleId="pa1">
    <w:name w:val="pa1"/>
    <w:basedOn w:val="Normal"/>
    <w:rsid w:val="00FB01E6"/>
    <w:pPr>
      <w:spacing w:before="100" w:beforeAutospacing="1" w:after="100" w:afterAutospacing="1"/>
    </w:pPr>
  </w:style>
  <w:style w:type="paragraph" w:styleId="EndnoteText">
    <w:name w:val="endnote text"/>
    <w:basedOn w:val="Normal"/>
    <w:link w:val="EndnoteTextChar"/>
    <w:uiPriority w:val="99"/>
    <w:unhideWhenUsed/>
    <w:rsid w:val="002748D0"/>
    <w:rPr>
      <w:rFonts w:asciiTheme="minorHAnsi" w:eastAsiaTheme="minorHAnsi" w:hAnsiTheme="minorHAnsi" w:cstheme="minorBidi"/>
      <w:sz w:val="20"/>
      <w:szCs w:val="20"/>
      <w:lang w:val="en-AU" w:eastAsia="en-US"/>
    </w:rPr>
  </w:style>
  <w:style w:type="character" w:customStyle="1" w:styleId="EndnoteTextChar">
    <w:name w:val="Endnote Text Char"/>
    <w:basedOn w:val="DefaultParagraphFont"/>
    <w:link w:val="EndnoteText"/>
    <w:uiPriority w:val="99"/>
    <w:rsid w:val="002748D0"/>
    <w:rPr>
      <w:sz w:val="20"/>
      <w:szCs w:val="20"/>
      <w:lang w:val="en-AU"/>
    </w:rPr>
  </w:style>
  <w:style w:type="character" w:styleId="EndnoteReference">
    <w:name w:val="endnote reference"/>
    <w:basedOn w:val="DefaultParagraphFont"/>
    <w:uiPriority w:val="99"/>
    <w:unhideWhenUsed/>
    <w:rsid w:val="002748D0"/>
    <w:rPr>
      <w:vertAlign w:val="superscript"/>
    </w:rPr>
  </w:style>
  <w:style w:type="paragraph" w:styleId="FootnoteText">
    <w:name w:val="footnote text"/>
    <w:aliases w:val="FN,fn,Footnote Text Char1,Footnote Text Char Char,Footnote Text Char1 Char Char,Footnote Text Char Char Char Char,Footnote Text Char Char1,Footnote Text Char1 Char,Footnote Text Char Char Char,Footnote ak,Ca"/>
    <w:basedOn w:val="Normal"/>
    <w:link w:val="FootnoteTextChar"/>
    <w:uiPriority w:val="99"/>
    <w:unhideWhenUsed/>
    <w:qFormat/>
    <w:rsid w:val="002727E7"/>
    <w:rPr>
      <w:rFonts w:asciiTheme="minorHAnsi" w:hAnsiTheme="minorHAnsi" w:cstheme="minorHAnsi"/>
      <w:sz w:val="18"/>
      <w:szCs w:val="18"/>
    </w:rPr>
  </w:style>
  <w:style w:type="character" w:customStyle="1" w:styleId="FootnoteTextChar">
    <w:name w:val="Footnote Text Char"/>
    <w:aliases w:val="FN Char,fn Char,Footnote Text Char1 Char1,Footnote Text Char Char Char1,Footnote Text Char1 Char Char Char,Footnote Text Char Char Char Char Char,Footnote Text Char Char1 Char,Footnote Text Char1 Char Char1,Footnote ak Char,Ca Char"/>
    <w:basedOn w:val="DefaultParagraphFont"/>
    <w:link w:val="FootnoteText"/>
    <w:uiPriority w:val="99"/>
    <w:rsid w:val="002727E7"/>
    <w:rPr>
      <w:rFonts w:eastAsia="Times New Roman" w:cstheme="minorHAnsi"/>
      <w:sz w:val="18"/>
      <w:szCs w:val="18"/>
      <w:lang w:eastAsia="en-GB"/>
    </w:rPr>
  </w:style>
  <w:style w:type="character" w:styleId="FootnoteReference">
    <w:name w:val="footnote reference"/>
    <w:aliases w:val="NO,Footnotes refss,Footnote number,Footnote"/>
    <w:basedOn w:val="DefaultParagraphFont"/>
    <w:uiPriority w:val="99"/>
    <w:unhideWhenUsed/>
    <w:rsid w:val="00191F4F"/>
    <w:rPr>
      <w:vertAlign w:val="superscript"/>
    </w:rPr>
  </w:style>
  <w:style w:type="paragraph" w:styleId="Header">
    <w:name w:val="header"/>
    <w:basedOn w:val="Normal"/>
    <w:link w:val="HeaderChar"/>
    <w:uiPriority w:val="99"/>
    <w:unhideWhenUsed/>
    <w:rsid w:val="00012A91"/>
    <w:pPr>
      <w:tabs>
        <w:tab w:val="center" w:pos="4513"/>
        <w:tab w:val="right" w:pos="9026"/>
      </w:tabs>
    </w:pPr>
  </w:style>
  <w:style w:type="character" w:customStyle="1" w:styleId="HeaderChar">
    <w:name w:val="Header Char"/>
    <w:basedOn w:val="DefaultParagraphFont"/>
    <w:link w:val="Header"/>
    <w:uiPriority w:val="99"/>
    <w:rsid w:val="00012A9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12A91"/>
    <w:pPr>
      <w:tabs>
        <w:tab w:val="center" w:pos="4513"/>
        <w:tab w:val="right" w:pos="9026"/>
      </w:tabs>
    </w:pPr>
  </w:style>
  <w:style w:type="character" w:customStyle="1" w:styleId="FooterChar">
    <w:name w:val="Footer Char"/>
    <w:basedOn w:val="DefaultParagraphFont"/>
    <w:link w:val="Footer"/>
    <w:uiPriority w:val="99"/>
    <w:rsid w:val="00012A91"/>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854ED4"/>
    <w:rPr>
      <w:rFonts w:asciiTheme="majorHAnsi" w:eastAsiaTheme="majorEastAsia" w:hAnsiTheme="majorHAnsi" w:cstheme="majorBidi"/>
      <w:color w:val="2E74B5" w:themeColor="accent1" w:themeShade="BF"/>
      <w:sz w:val="32"/>
      <w:szCs w:val="32"/>
      <w:lang w:eastAsia="en-GB"/>
    </w:rPr>
  </w:style>
  <w:style w:type="character" w:styleId="IntenseEmphasis">
    <w:name w:val="Intense Emphasis"/>
    <w:basedOn w:val="DefaultParagraphFont"/>
    <w:uiPriority w:val="21"/>
    <w:qFormat/>
    <w:rsid w:val="003F421B"/>
    <w:rPr>
      <w:i/>
      <w:iCs/>
      <w:color w:val="5B9BD5" w:themeColor="accent1"/>
    </w:rPr>
  </w:style>
  <w:style w:type="character" w:customStyle="1" w:styleId="Heading2Char">
    <w:name w:val="Heading 2 Char"/>
    <w:basedOn w:val="DefaultParagraphFont"/>
    <w:link w:val="Heading2"/>
    <w:uiPriority w:val="9"/>
    <w:rsid w:val="003D6B8B"/>
    <w:rPr>
      <w:rFonts w:asciiTheme="majorHAnsi" w:eastAsiaTheme="majorEastAsia" w:hAnsiTheme="majorHAnsi" w:cstheme="majorBidi"/>
      <w:color w:val="2E74B5" w:themeColor="accent1" w:themeShade="BF"/>
      <w:sz w:val="26"/>
      <w:szCs w:val="26"/>
      <w:lang w:eastAsia="en-GB"/>
    </w:rPr>
  </w:style>
  <w:style w:type="paragraph" w:styleId="Title">
    <w:name w:val="Title"/>
    <w:basedOn w:val="Normal"/>
    <w:next w:val="Normal"/>
    <w:link w:val="TitleChar"/>
    <w:uiPriority w:val="10"/>
    <w:qFormat/>
    <w:rsid w:val="00D263F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63FE"/>
    <w:rPr>
      <w:rFonts w:asciiTheme="majorHAnsi" w:eastAsiaTheme="majorEastAsia" w:hAnsiTheme="majorHAnsi" w:cstheme="majorBidi"/>
      <w:spacing w:val="-10"/>
      <w:kern w:val="28"/>
      <w:sz w:val="56"/>
      <w:szCs w:val="5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92009">
      <w:bodyDiv w:val="1"/>
      <w:marLeft w:val="0"/>
      <w:marRight w:val="0"/>
      <w:marTop w:val="0"/>
      <w:marBottom w:val="0"/>
      <w:divBdr>
        <w:top w:val="none" w:sz="0" w:space="0" w:color="auto"/>
        <w:left w:val="none" w:sz="0" w:space="0" w:color="auto"/>
        <w:bottom w:val="none" w:sz="0" w:space="0" w:color="auto"/>
        <w:right w:val="none" w:sz="0" w:space="0" w:color="auto"/>
      </w:divBdr>
    </w:div>
    <w:div w:id="204297485">
      <w:bodyDiv w:val="1"/>
      <w:marLeft w:val="0"/>
      <w:marRight w:val="0"/>
      <w:marTop w:val="0"/>
      <w:marBottom w:val="0"/>
      <w:divBdr>
        <w:top w:val="none" w:sz="0" w:space="0" w:color="auto"/>
        <w:left w:val="none" w:sz="0" w:space="0" w:color="auto"/>
        <w:bottom w:val="none" w:sz="0" w:space="0" w:color="auto"/>
        <w:right w:val="none" w:sz="0" w:space="0" w:color="auto"/>
      </w:divBdr>
    </w:div>
    <w:div w:id="234437928">
      <w:bodyDiv w:val="1"/>
      <w:marLeft w:val="0"/>
      <w:marRight w:val="0"/>
      <w:marTop w:val="0"/>
      <w:marBottom w:val="0"/>
      <w:divBdr>
        <w:top w:val="none" w:sz="0" w:space="0" w:color="auto"/>
        <w:left w:val="none" w:sz="0" w:space="0" w:color="auto"/>
        <w:bottom w:val="none" w:sz="0" w:space="0" w:color="auto"/>
        <w:right w:val="none" w:sz="0" w:space="0" w:color="auto"/>
      </w:divBdr>
    </w:div>
    <w:div w:id="316306977">
      <w:bodyDiv w:val="1"/>
      <w:marLeft w:val="0"/>
      <w:marRight w:val="0"/>
      <w:marTop w:val="0"/>
      <w:marBottom w:val="0"/>
      <w:divBdr>
        <w:top w:val="none" w:sz="0" w:space="0" w:color="auto"/>
        <w:left w:val="none" w:sz="0" w:space="0" w:color="auto"/>
        <w:bottom w:val="none" w:sz="0" w:space="0" w:color="auto"/>
        <w:right w:val="none" w:sz="0" w:space="0" w:color="auto"/>
      </w:divBdr>
    </w:div>
    <w:div w:id="467161329">
      <w:bodyDiv w:val="1"/>
      <w:marLeft w:val="0"/>
      <w:marRight w:val="0"/>
      <w:marTop w:val="0"/>
      <w:marBottom w:val="0"/>
      <w:divBdr>
        <w:top w:val="none" w:sz="0" w:space="0" w:color="auto"/>
        <w:left w:val="none" w:sz="0" w:space="0" w:color="auto"/>
        <w:bottom w:val="none" w:sz="0" w:space="0" w:color="auto"/>
        <w:right w:val="none" w:sz="0" w:space="0" w:color="auto"/>
      </w:divBdr>
    </w:div>
    <w:div w:id="473984938">
      <w:bodyDiv w:val="1"/>
      <w:marLeft w:val="0"/>
      <w:marRight w:val="0"/>
      <w:marTop w:val="0"/>
      <w:marBottom w:val="0"/>
      <w:divBdr>
        <w:top w:val="none" w:sz="0" w:space="0" w:color="auto"/>
        <w:left w:val="none" w:sz="0" w:space="0" w:color="auto"/>
        <w:bottom w:val="none" w:sz="0" w:space="0" w:color="auto"/>
        <w:right w:val="none" w:sz="0" w:space="0" w:color="auto"/>
      </w:divBdr>
    </w:div>
    <w:div w:id="533034801">
      <w:bodyDiv w:val="1"/>
      <w:marLeft w:val="0"/>
      <w:marRight w:val="0"/>
      <w:marTop w:val="0"/>
      <w:marBottom w:val="0"/>
      <w:divBdr>
        <w:top w:val="none" w:sz="0" w:space="0" w:color="auto"/>
        <w:left w:val="none" w:sz="0" w:space="0" w:color="auto"/>
        <w:bottom w:val="none" w:sz="0" w:space="0" w:color="auto"/>
        <w:right w:val="none" w:sz="0" w:space="0" w:color="auto"/>
      </w:divBdr>
    </w:div>
    <w:div w:id="700588402">
      <w:bodyDiv w:val="1"/>
      <w:marLeft w:val="0"/>
      <w:marRight w:val="0"/>
      <w:marTop w:val="0"/>
      <w:marBottom w:val="0"/>
      <w:divBdr>
        <w:top w:val="none" w:sz="0" w:space="0" w:color="auto"/>
        <w:left w:val="none" w:sz="0" w:space="0" w:color="auto"/>
        <w:bottom w:val="none" w:sz="0" w:space="0" w:color="auto"/>
        <w:right w:val="none" w:sz="0" w:space="0" w:color="auto"/>
      </w:divBdr>
    </w:div>
    <w:div w:id="724644203">
      <w:bodyDiv w:val="1"/>
      <w:marLeft w:val="0"/>
      <w:marRight w:val="0"/>
      <w:marTop w:val="0"/>
      <w:marBottom w:val="0"/>
      <w:divBdr>
        <w:top w:val="none" w:sz="0" w:space="0" w:color="auto"/>
        <w:left w:val="none" w:sz="0" w:space="0" w:color="auto"/>
        <w:bottom w:val="none" w:sz="0" w:space="0" w:color="auto"/>
        <w:right w:val="none" w:sz="0" w:space="0" w:color="auto"/>
      </w:divBdr>
    </w:div>
    <w:div w:id="779881545">
      <w:bodyDiv w:val="1"/>
      <w:marLeft w:val="0"/>
      <w:marRight w:val="0"/>
      <w:marTop w:val="0"/>
      <w:marBottom w:val="0"/>
      <w:divBdr>
        <w:top w:val="none" w:sz="0" w:space="0" w:color="auto"/>
        <w:left w:val="none" w:sz="0" w:space="0" w:color="auto"/>
        <w:bottom w:val="none" w:sz="0" w:space="0" w:color="auto"/>
        <w:right w:val="none" w:sz="0" w:space="0" w:color="auto"/>
      </w:divBdr>
    </w:div>
    <w:div w:id="844440558">
      <w:bodyDiv w:val="1"/>
      <w:marLeft w:val="0"/>
      <w:marRight w:val="0"/>
      <w:marTop w:val="0"/>
      <w:marBottom w:val="0"/>
      <w:divBdr>
        <w:top w:val="none" w:sz="0" w:space="0" w:color="auto"/>
        <w:left w:val="none" w:sz="0" w:space="0" w:color="auto"/>
        <w:bottom w:val="none" w:sz="0" w:space="0" w:color="auto"/>
        <w:right w:val="none" w:sz="0" w:space="0" w:color="auto"/>
      </w:divBdr>
    </w:div>
    <w:div w:id="874389737">
      <w:bodyDiv w:val="1"/>
      <w:marLeft w:val="0"/>
      <w:marRight w:val="0"/>
      <w:marTop w:val="0"/>
      <w:marBottom w:val="0"/>
      <w:divBdr>
        <w:top w:val="none" w:sz="0" w:space="0" w:color="auto"/>
        <w:left w:val="none" w:sz="0" w:space="0" w:color="auto"/>
        <w:bottom w:val="none" w:sz="0" w:space="0" w:color="auto"/>
        <w:right w:val="none" w:sz="0" w:space="0" w:color="auto"/>
      </w:divBdr>
    </w:div>
    <w:div w:id="1157916879">
      <w:bodyDiv w:val="1"/>
      <w:marLeft w:val="0"/>
      <w:marRight w:val="0"/>
      <w:marTop w:val="0"/>
      <w:marBottom w:val="0"/>
      <w:divBdr>
        <w:top w:val="none" w:sz="0" w:space="0" w:color="auto"/>
        <w:left w:val="none" w:sz="0" w:space="0" w:color="auto"/>
        <w:bottom w:val="none" w:sz="0" w:space="0" w:color="auto"/>
        <w:right w:val="none" w:sz="0" w:space="0" w:color="auto"/>
      </w:divBdr>
    </w:div>
    <w:div w:id="1422026367">
      <w:bodyDiv w:val="1"/>
      <w:marLeft w:val="0"/>
      <w:marRight w:val="0"/>
      <w:marTop w:val="0"/>
      <w:marBottom w:val="0"/>
      <w:divBdr>
        <w:top w:val="none" w:sz="0" w:space="0" w:color="auto"/>
        <w:left w:val="none" w:sz="0" w:space="0" w:color="auto"/>
        <w:bottom w:val="none" w:sz="0" w:space="0" w:color="auto"/>
        <w:right w:val="none" w:sz="0" w:space="0" w:color="auto"/>
      </w:divBdr>
    </w:div>
    <w:div w:id="1624072873">
      <w:bodyDiv w:val="1"/>
      <w:marLeft w:val="0"/>
      <w:marRight w:val="0"/>
      <w:marTop w:val="0"/>
      <w:marBottom w:val="0"/>
      <w:divBdr>
        <w:top w:val="none" w:sz="0" w:space="0" w:color="auto"/>
        <w:left w:val="none" w:sz="0" w:space="0" w:color="auto"/>
        <w:bottom w:val="none" w:sz="0" w:space="0" w:color="auto"/>
        <w:right w:val="none" w:sz="0" w:space="0" w:color="auto"/>
      </w:divBdr>
    </w:div>
    <w:div w:id="1777824835">
      <w:bodyDiv w:val="1"/>
      <w:marLeft w:val="0"/>
      <w:marRight w:val="0"/>
      <w:marTop w:val="0"/>
      <w:marBottom w:val="0"/>
      <w:divBdr>
        <w:top w:val="none" w:sz="0" w:space="0" w:color="auto"/>
        <w:left w:val="none" w:sz="0" w:space="0" w:color="auto"/>
        <w:bottom w:val="none" w:sz="0" w:space="0" w:color="auto"/>
        <w:right w:val="none" w:sz="0" w:space="0" w:color="auto"/>
      </w:divBdr>
    </w:div>
    <w:div w:id="1814056554">
      <w:bodyDiv w:val="1"/>
      <w:marLeft w:val="0"/>
      <w:marRight w:val="0"/>
      <w:marTop w:val="0"/>
      <w:marBottom w:val="0"/>
      <w:divBdr>
        <w:top w:val="none" w:sz="0" w:space="0" w:color="auto"/>
        <w:left w:val="none" w:sz="0" w:space="0" w:color="auto"/>
        <w:bottom w:val="none" w:sz="0" w:space="0" w:color="auto"/>
        <w:right w:val="none" w:sz="0" w:space="0" w:color="auto"/>
      </w:divBdr>
    </w:div>
    <w:div w:id="1969310361">
      <w:bodyDiv w:val="1"/>
      <w:marLeft w:val="0"/>
      <w:marRight w:val="0"/>
      <w:marTop w:val="0"/>
      <w:marBottom w:val="0"/>
      <w:divBdr>
        <w:top w:val="none" w:sz="0" w:space="0" w:color="auto"/>
        <w:left w:val="none" w:sz="0" w:space="0" w:color="auto"/>
        <w:bottom w:val="none" w:sz="0" w:space="0" w:color="auto"/>
        <w:right w:val="none" w:sz="0" w:space="0" w:color="auto"/>
      </w:divBdr>
    </w:div>
    <w:div w:id="2030831335">
      <w:bodyDiv w:val="1"/>
      <w:marLeft w:val="0"/>
      <w:marRight w:val="0"/>
      <w:marTop w:val="0"/>
      <w:marBottom w:val="0"/>
      <w:divBdr>
        <w:top w:val="none" w:sz="0" w:space="0" w:color="auto"/>
        <w:left w:val="none" w:sz="0" w:space="0" w:color="auto"/>
        <w:bottom w:val="none" w:sz="0" w:space="0" w:color="auto"/>
        <w:right w:val="none" w:sz="0" w:space="0" w:color="auto"/>
      </w:divBdr>
    </w:div>
    <w:div w:id="2031367645">
      <w:bodyDiv w:val="1"/>
      <w:marLeft w:val="0"/>
      <w:marRight w:val="0"/>
      <w:marTop w:val="0"/>
      <w:marBottom w:val="0"/>
      <w:divBdr>
        <w:top w:val="none" w:sz="0" w:space="0" w:color="auto"/>
        <w:left w:val="none" w:sz="0" w:space="0" w:color="auto"/>
        <w:bottom w:val="none" w:sz="0" w:space="0" w:color="auto"/>
        <w:right w:val="none" w:sz="0" w:space="0" w:color="auto"/>
      </w:divBdr>
    </w:div>
    <w:div w:id="2065761706">
      <w:bodyDiv w:val="1"/>
      <w:marLeft w:val="0"/>
      <w:marRight w:val="0"/>
      <w:marTop w:val="0"/>
      <w:marBottom w:val="0"/>
      <w:divBdr>
        <w:top w:val="none" w:sz="0" w:space="0" w:color="auto"/>
        <w:left w:val="none" w:sz="0" w:space="0" w:color="auto"/>
        <w:bottom w:val="none" w:sz="0" w:space="0" w:color="auto"/>
        <w:right w:val="none" w:sz="0" w:space="0" w:color="auto"/>
      </w:divBdr>
    </w:div>
    <w:div w:id="214318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dhs.vic.gov.au/__data/assets/pdf_file/0003/580908/code-of-practice-domestic-violence-vic-2006.pdf" TargetMode="External"/><Relationship Id="rId2" Type="http://schemas.openxmlformats.org/officeDocument/2006/relationships/hyperlink" Target="http://www.dhs.vic.gov.au/__data/assets/pdf_file/0010/718858/1_family_violence_risk-assessment_risk_management_framework_manual_010612.PDF" TargetMode="External"/><Relationship Id="rId1" Type="http://schemas.openxmlformats.org/officeDocument/2006/relationships/hyperlink" Target="http://www.nasasv.org.au/PDFs/NASASV_Standards_2nd_Edition_2015.pdf" TargetMode="External"/><Relationship Id="rId4" Type="http://schemas.openxmlformats.org/officeDocument/2006/relationships/hyperlink" Target="http://www.coe.int/t/dg2/equality/domesticviolencecampaign/Source/EG-VAW-CONF(2007)Study%20rev.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C44CD-3C98-4F6A-89E1-25E7AAF37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1821</Words>
  <Characters>10380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policy1</dc:creator>
  <cp:keywords/>
  <dc:description/>
  <cp:lastModifiedBy>Merri Andrew</cp:lastModifiedBy>
  <cp:revision>2</cp:revision>
  <cp:lastPrinted>2017-06-01T23:36:00Z</cp:lastPrinted>
  <dcterms:created xsi:type="dcterms:W3CDTF">2017-07-07T19:40:00Z</dcterms:created>
  <dcterms:modified xsi:type="dcterms:W3CDTF">2017-07-07T19:40:00Z</dcterms:modified>
</cp:coreProperties>
</file>