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D62D3" w14:textId="77777777" w:rsidR="00410189" w:rsidRPr="00410189" w:rsidRDefault="00410189" w:rsidP="00410189">
      <w:pPr>
        <w:spacing w:after="0" w:line="240" w:lineRule="auto"/>
        <w:rPr>
          <w:sz w:val="24"/>
          <w:szCs w:val="24"/>
        </w:rPr>
      </w:pPr>
      <w:bookmarkStart w:id="0" w:name="_GoBack"/>
      <w:bookmarkEnd w:id="0"/>
      <w:r w:rsidRPr="00410189">
        <w:rPr>
          <w:sz w:val="24"/>
          <w:szCs w:val="24"/>
        </w:rPr>
        <w:t>Senate Standing Committee on Economics</w:t>
      </w:r>
    </w:p>
    <w:p w14:paraId="74B7143E" w14:textId="346328B2" w:rsidR="00125AA8" w:rsidRDefault="00410189" w:rsidP="00410189">
      <w:pPr>
        <w:spacing w:after="0" w:line="240" w:lineRule="auto"/>
        <w:rPr>
          <w:sz w:val="24"/>
          <w:szCs w:val="24"/>
          <w:lang w:val="en-US"/>
        </w:rPr>
      </w:pPr>
      <w:r w:rsidRPr="00410189">
        <w:rPr>
          <w:sz w:val="24"/>
          <w:szCs w:val="24"/>
        </w:rPr>
        <w:t>Economics Legislation Committee</w:t>
      </w:r>
      <w:r w:rsidR="004A54A0">
        <w:rPr>
          <w:sz w:val="24"/>
          <w:szCs w:val="24"/>
        </w:rPr>
        <w:br/>
      </w:r>
      <w:r>
        <w:rPr>
          <w:sz w:val="24"/>
          <w:szCs w:val="24"/>
        </w:rPr>
        <w:t>Parliament House</w:t>
      </w:r>
      <w:r w:rsidR="00125AA8" w:rsidRPr="002B541C">
        <w:rPr>
          <w:sz w:val="24"/>
          <w:szCs w:val="24"/>
        </w:rPr>
        <w:br/>
        <w:t xml:space="preserve">Via </w:t>
      </w:r>
      <w:r w:rsidR="009F2EEC" w:rsidRPr="002B541C">
        <w:rPr>
          <w:sz w:val="24"/>
          <w:szCs w:val="24"/>
        </w:rPr>
        <w:t>web form at</w:t>
      </w:r>
      <w:r>
        <w:t xml:space="preserve"> </w:t>
      </w:r>
      <w:hyperlink r:id="rId8" w:history="1">
        <w:r w:rsidRPr="00C80B0A">
          <w:rPr>
            <w:rStyle w:val="Hyperlink"/>
          </w:rPr>
          <w:t>https://www.aph.gov.au</w:t>
        </w:r>
      </w:hyperlink>
      <w:r>
        <w:t xml:space="preserve"> </w:t>
      </w:r>
      <w:r w:rsidR="009F2EEC" w:rsidRPr="002B541C">
        <w:rPr>
          <w:sz w:val="24"/>
          <w:szCs w:val="24"/>
        </w:rPr>
        <w:t xml:space="preserve"> </w:t>
      </w:r>
      <w:r w:rsidR="00125AA8" w:rsidRPr="002B541C">
        <w:rPr>
          <w:sz w:val="24"/>
          <w:szCs w:val="24"/>
        </w:rPr>
        <w:br/>
      </w:r>
      <w:r w:rsidR="00125AA8" w:rsidRPr="001705C3">
        <w:rPr>
          <w:sz w:val="24"/>
          <w:szCs w:val="24"/>
          <w:lang w:val="en-US"/>
        </w:rPr>
        <w:t xml:space="preserve">Date: </w:t>
      </w:r>
      <w:r w:rsidR="009F2EEC" w:rsidRPr="001705C3">
        <w:rPr>
          <w:sz w:val="24"/>
          <w:szCs w:val="24"/>
          <w:lang w:val="en-US"/>
        </w:rPr>
        <w:t>15 December</w:t>
      </w:r>
      <w:r w:rsidR="00125AA8" w:rsidRPr="001705C3">
        <w:rPr>
          <w:sz w:val="24"/>
          <w:szCs w:val="24"/>
          <w:lang w:val="en-US"/>
        </w:rPr>
        <w:t xml:space="preserve"> 2017</w:t>
      </w:r>
    </w:p>
    <w:p w14:paraId="0D57D864" w14:textId="77777777" w:rsidR="005B7310" w:rsidRDefault="005B7310" w:rsidP="00125AA8">
      <w:pPr>
        <w:spacing w:line="240" w:lineRule="auto"/>
        <w:rPr>
          <w:sz w:val="24"/>
          <w:szCs w:val="24"/>
          <w:lang w:val="en-US"/>
        </w:rPr>
      </w:pPr>
    </w:p>
    <w:p w14:paraId="2E9082BD" w14:textId="77777777" w:rsidR="00125AA8" w:rsidRPr="002B541C" w:rsidRDefault="00125AA8" w:rsidP="00125AA8">
      <w:pPr>
        <w:pStyle w:val="NoSpacing"/>
        <w:rPr>
          <w:sz w:val="24"/>
          <w:szCs w:val="24"/>
          <w:lang w:val="en-US"/>
        </w:rPr>
      </w:pPr>
    </w:p>
    <w:p w14:paraId="78F45C02" w14:textId="1762CED5" w:rsidR="00125AA8" w:rsidRPr="00410189" w:rsidRDefault="00125AA8" w:rsidP="00125AA8">
      <w:pPr>
        <w:jc w:val="center"/>
        <w:rPr>
          <w:b/>
          <w:sz w:val="24"/>
          <w:szCs w:val="24"/>
          <w:lang w:val="en-US"/>
        </w:rPr>
      </w:pPr>
      <w:r w:rsidRPr="00410189">
        <w:rPr>
          <w:b/>
          <w:sz w:val="24"/>
          <w:szCs w:val="24"/>
          <w:lang w:val="en-US"/>
        </w:rPr>
        <w:t xml:space="preserve">Submission </w:t>
      </w:r>
      <w:r w:rsidR="009F2EEC" w:rsidRPr="00410189">
        <w:rPr>
          <w:b/>
          <w:sz w:val="24"/>
          <w:szCs w:val="24"/>
          <w:lang w:val="en-US"/>
        </w:rPr>
        <w:t xml:space="preserve">on </w:t>
      </w:r>
      <w:r w:rsidR="00410189" w:rsidRPr="00410189">
        <w:rPr>
          <w:b/>
          <w:bCs/>
          <w:sz w:val="24"/>
          <w:szCs w:val="24"/>
          <w:lang w:val="en-US"/>
        </w:rPr>
        <w:t xml:space="preserve">Treasury Laws Amendment (National Housing and Homelessness Agreement) Bill 2017 </w:t>
      </w:r>
    </w:p>
    <w:p w14:paraId="517AA047" w14:textId="2A5C1AD4" w:rsidR="00125AA8" w:rsidRPr="00410189" w:rsidRDefault="00125AA8" w:rsidP="00410189">
      <w:pPr>
        <w:rPr>
          <w:sz w:val="24"/>
          <w:szCs w:val="24"/>
        </w:rPr>
      </w:pPr>
      <w:r w:rsidRPr="002B541C">
        <w:rPr>
          <w:sz w:val="24"/>
          <w:szCs w:val="24"/>
        </w:rPr>
        <w:t xml:space="preserve">Thank-you for the opportunity to make a submission </w:t>
      </w:r>
      <w:r w:rsidR="00410189">
        <w:rPr>
          <w:sz w:val="24"/>
          <w:szCs w:val="24"/>
        </w:rPr>
        <w:t>on the</w:t>
      </w:r>
      <w:r w:rsidR="00410189" w:rsidRPr="00410189">
        <w:rPr>
          <w:sz w:val="24"/>
          <w:szCs w:val="24"/>
        </w:rPr>
        <w:t xml:space="preserve"> </w:t>
      </w:r>
      <w:r w:rsidR="00410189" w:rsidRPr="00410189">
        <w:rPr>
          <w:bCs/>
          <w:sz w:val="24"/>
          <w:szCs w:val="24"/>
          <w:lang w:val="en-US"/>
        </w:rPr>
        <w:t>Treasury Laws Amendment (National Housing and Homelessness Agreement) Bill 2017</w:t>
      </w:r>
      <w:r w:rsidR="009F2EEC" w:rsidRPr="00410189">
        <w:rPr>
          <w:sz w:val="24"/>
          <w:szCs w:val="24"/>
        </w:rPr>
        <w:t>.</w:t>
      </w:r>
    </w:p>
    <w:p w14:paraId="68639ED4" w14:textId="77777777" w:rsidR="00125AA8" w:rsidRPr="002B541C" w:rsidRDefault="00125AA8" w:rsidP="002B541C">
      <w:pPr>
        <w:pStyle w:val="Heading2"/>
      </w:pPr>
      <w:r w:rsidRPr="002B541C">
        <w:t xml:space="preserve">About the Australian Women </w:t>
      </w:r>
      <w:proofErr w:type="gramStart"/>
      <w:r w:rsidRPr="002B541C">
        <w:t>Against</w:t>
      </w:r>
      <w:proofErr w:type="gramEnd"/>
      <w:r w:rsidRPr="002B541C">
        <w:t xml:space="preserve"> Violence Alliance (AWAVA)</w:t>
      </w:r>
    </w:p>
    <w:p w14:paraId="05ADE47C" w14:textId="77777777" w:rsidR="00410189" w:rsidRDefault="00125AA8" w:rsidP="00410189">
      <w:pPr>
        <w:jc w:val="both"/>
        <w:rPr>
          <w:b/>
          <w:sz w:val="24"/>
          <w:szCs w:val="24"/>
        </w:rPr>
      </w:pPr>
      <w:r w:rsidRPr="002B541C">
        <w:rPr>
          <w:sz w:val="24"/>
          <w:szCs w:val="24"/>
        </w:rPr>
        <w:t xml:space="preserve">Australian Women </w:t>
      </w:r>
      <w:proofErr w:type="gramStart"/>
      <w:r w:rsidRPr="002B541C">
        <w:rPr>
          <w:sz w:val="24"/>
          <w:szCs w:val="24"/>
        </w:rPr>
        <w:t>Against</w:t>
      </w:r>
      <w:proofErr w:type="gramEnd"/>
      <w:r w:rsidRPr="002B541C">
        <w:rPr>
          <w:sz w:val="24"/>
          <w:szCs w:val="24"/>
        </w:rPr>
        <w:t xml:space="preserve"> Violence Alliance (AWAVA) is one of the six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and women’s legal services, as well as organisations representing Aboriginal and Torres Strait Islander women, young women, women educators, women in the sex industry and other groups. AWAVA's lead agency is the Women's Services Network (WESNET).</w:t>
      </w:r>
    </w:p>
    <w:p w14:paraId="4A710A20" w14:textId="1CF41A04" w:rsidR="009F2EEC" w:rsidRPr="00410189" w:rsidRDefault="00410189" w:rsidP="00410189">
      <w:pPr>
        <w:jc w:val="both"/>
        <w:rPr>
          <w:rFonts w:ascii="Calibri" w:hAnsi="Calibri"/>
          <w:sz w:val="24"/>
          <w:szCs w:val="24"/>
        </w:rPr>
      </w:pPr>
      <w:r w:rsidRPr="00410189">
        <w:rPr>
          <w:sz w:val="24"/>
          <w:szCs w:val="24"/>
        </w:rPr>
        <w:t xml:space="preserve">As </w:t>
      </w:r>
      <w:r>
        <w:rPr>
          <w:rFonts w:ascii="Calibri" w:hAnsi="Calibri"/>
          <w:sz w:val="24"/>
          <w:szCs w:val="24"/>
        </w:rPr>
        <w:t xml:space="preserve">our submission on this Bill, we provide the following excerpt from our submission to Treasury on priorities for the 2018-19 Budget. We also refer the Committee to a submission on the 2018-19 Budget prepared jointly by AWAVA with Harmony Alliance, the National Women’s Alliance representing the concerns of women from migrant and refugee backgrounds. This joint submission </w:t>
      </w:r>
      <w:r w:rsidR="00331851">
        <w:rPr>
          <w:rFonts w:ascii="Calibri" w:hAnsi="Calibri"/>
          <w:sz w:val="24"/>
          <w:szCs w:val="24"/>
        </w:rPr>
        <w:t>contains</w:t>
      </w:r>
      <w:r>
        <w:rPr>
          <w:rFonts w:ascii="Calibri" w:hAnsi="Calibri"/>
          <w:sz w:val="24"/>
          <w:szCs w:val="24"/>
        </w:rPr>
        <w:t xml:space="preserve"> recommendations </w:t>
      </w:r>
      <w:r w:rsidR="00331851">
        <w:rPr>
          <w:rFonts w:ascii="Calibri" w:hAnsi="Calibri"/>
          <w:sz w:val="24"/>
          <w:szCs w:val="24"/>
        </w:rPr>
        <w:t>for</w:t>
      </w:r>
      <w:r>
        <w:rPr>
          <w:rFonts w:ascii="Calibri" w:hAnsi="Calibri"/>
          <w:sz w:val="24"/>
          <w:szCs w:val="24"/>
        </w:rPr>
        <w:t xml:space="preserve"> implementing action 3.8 of the Third Action Plan of the National Plan to Reduce Violence </w:t>
      </w:r>
      <w:proofErr w:type="gramStart"/>
      <w:r>
        <w:rPr>
          <w:rFonts w:ascii="Calibri" w:hAnsi="Calibri"/>
          <w:sz w:val="24"/>
          <w:szCs w:val="24"/>
        </w:rPr>
        <w:t>Against</w:t>
      </w:r>
      <w:proofErr w:type="gramEnd"/>
      <w:r>
        <w:rPr>
          <w:rFonts w:ascii="Calibri" w:hAnsi="Calibri"/>
          <w:sz w:val="24"/>
          <w:szCs w:val="24"/>
        </w:rPr>
        <w:t xml:space="preserve"> Women and their Children, which addresses the need to </w:t>
      </w:r>
      <w:r>
        <w:rPr>
          <w:rFonts w:ascii="Calibri" w:hAnsi="Calibri"/>
        </w:rPr>
        <w:t>ensure migration rules and eligibility requirements for support services do not disempower victims of violence or discourage them from leaving violent relationships</w:t>
      </w:r>
      <w:r>
        <w:rPr>
          <w:rFonts w:ascii="Calibri" w:hAnsi="Calibri"/>
          <w:sz w:val="24"/>
          <w:szCs w:val="24"/>
        </w:rPr>
        <w:t>. This action and the recommendations made by AWAVA and Harmony Alliance in the joint submission have important implications for policies to prevent and respond to homelessness</w:t>
      </w:r>
      <w:r w:rsidR="00143B8E">
        <w:rPr>
          <w:rFonts w:ascii="Calibri" w:hAnsi="Calibri"/>
          <w:sz w:val="24"/>
          <w:szCs w:val="24"/>
        </w:rPr>
        <w:t>, and for the provision of housing support to women in insecure migration situations.</w:t>
      </w:r>
    </w:p>
    <w:p w14:paraId="6D9E38A0" w14:textId="77777777" w:rsidR="009F2EEC" w:rsidRPr="002B541C" w:rsidRDefault="009F2EEC" w:rsidP="009F2EEC">
      <w:pPr>
        <w:pStyle w:val="Heading2"/>
        <w:rPr>
          <w:sz w:val="24"/>
          <w:szCs w:val="24"/>
        </w:rPr>
      </w:pPr>
      <w:r w:rsidRPr="002B541C">
        <w:rPr>
          <w:sz w:val="24"/>
          <w:szCs w:val="24"/>
        </w:rPr>
        <w:lastRenderedPageBreak/>
        <w:t>Housing and homelessness services for women and children leaving violence</w:t>
      </w:r>
    </w:p>
    <w:p w14:paraId="11DF5AAE" w14:textId="035E01CE" w:rsidR="00746FCF" w:rsidRPr="00746FCF" w:rsidRDefault="00FB744F" w:rsidP="0083067E">
      <w:pPr>
        <w:jc w:val="both"/>
        <w:rPr>
          <w:sz w:val="24"/>
          <w:szCs w:val="24"/>
        </w:rPr>
      </w:pPr>
      <w:r w:rsidRPr="00746FCF">
        <w:rPr>
          <w:sz w:val="24"/>
          <w:szCs w:val="24"/>
        </w:rPr>
        <w:t>Women are the primary beneficiaries of housing support systems, making up the majority of public housing tenants, Commonwealth Rent Assistance (CRA) recipients and people approaching specialist homelessness services.</w:t>
      </w:r>
      <w:r w:rsidR="00746FCF" w:rsidRPr="00746FCF">
        <w:rPr>
          <w:rStyle w:val="FootnoteReference"/>
          <w:sz w:val="24"/>
          <w:szCs w:val="24"/>
        </w:rPr>
        <w:footnoteReference w:id="1"/>
      </w:r>
      <w:r w:rsidR="00746FCF" w:rsidRPr="00746FCF">
        <w:rPr>
          <w:sz w:val="24"/>
          <w:szCs w:val="24"/>
        </w:rPr>
        <w:t xml:space="preserve"> Six out of ten homelessness service clients in 2014-15 were female.</w:t>
      </w:r>
      <w:r w:rsidR="00746FCF" w:rsidRPr="00746FCF">
        <w:rPr>
          <w:rStyle w:val="FootnoteReference"/>
          <w:sz w:val="24"/>
          <w:szCs w:val="24"/>
        </w:rPr>
        <w:footnoteReference w:id="2"/>
      </w:r>
      <w:r w:rsidR="00746FCF" w:rsidRPr="00746FCF">
        <w:rPr>
          <w:sz w:val="24"/>
          <w:szCs w:val="24"/>
        </w:rPr>
        <w:t xml:space="preserve"> </w:t>
      </w:r>
      <w:r w:rsidR="00746FCF" w:rsidRPr="00746FCF">
        <w:rPr>
          <w:rFonts w:cs="AppleSystemUIFont"/>
          <w:color w:val="353535"/>
          <w:sz w:val="24"/>
          <w:szCs w:val="24"/>
          <w:lang w:val="en-US"/>
        </w:rPr>
        <w:t>Domestic and sexual violence is the leading cause of homelessness and housing instability in Australia, and is consistently one of the most common reasons clients seek assistance from specialist homelessness services (SHS</w:t>
      </w:r>
      <w:r w:rsidR="00746FCF">
        <w:rPr>
          <w:rFonts w:cs="AppleSystemUIFont"/>
          <w:color w:val="353535"/>
          <w:sz w:val="24"/>
          <w:szCs w:val="24"/>
          <w:lang w:val="en-US"/>
        </w:rPr>
        <w:t>s</w:t>
      </w:r>
      <w:r w:rsidR="00746FCF" w:rsidRPr="00746FCF">
        <w:rPr>
          <w:rFonts w:cs="AppleSystemUIFont"/>
          <w:color w:val="353535"/>
          <w:sz w:val="24"/>
          <w:szCs w:val="24"/>
          <w:lang w:val="en-US"/>
        </w:rPr>
        <w:t>).</w:t>
      </w:r>
      <w:r w:rsidR="0028686D">
        <w:rPr>
          <w:rStyle w:val="FootnoteReference"/>
          <w:rFonts w:cs="AppleSystemUIFont"/>
          <w:color w:val="353535"/>
          <w:sz w:val="24"/>
          <w:szCs w:val="24"/>
          <w:lang w:val="en-US"/>
        </w:rPr>
        <w:footnoteReference w:id="3"/>
      </w:r>
      <w:r w:rsidR="00746FCF" w:rsidRPr="00746FCF">
        <w:rPr>
          <w:rFonts w:cs="AppleSystemUIFont"/>
          <w:color w:val="353535"/>
          <w:sz w:val="24"/>
          <w:szCs w:val="24"/>
          <w:lang w:val="en-US"/>
        </w:rPr>
        <w:t xml:space="preserve"> In 2015-16, 38% of SHS clients had experienced family and domestic violence and 92% of these were women and children.</w:t>
      </w:r>
      <w:r w:rsidR="0028686D">
        <w:rPr>
          <w:rStyle w:val="FootnoteReference"/>
          <w:rFonts w:cs="AppleSystemUIFont"/>
          <w:color w:val="353535"/>
          <w:sz w:val="24"/>
          <w:szCs w:val="24"/>
          <w:lang w:val="en-US"/>
        </w:rPr>
        <w:footnoteReference w:id="4"/>
      </w:r>
      <w:r w:rsidR="00746FCF" w:rsidRPr="00746FCF">
        <w:rPr>
          <w:rFonts w:cs="AppleSystemUIFont"/>
          <w:color w:val="353535"/>
          <w:sz w:val="24"/>
          <w:szCs w:val="24"/>
          <w:lang w:val="en-US"/>
        </w:rPr>
        <w:t xml:space="preserve"> The number of family and domestic violence clients has increased by 33% since 2011-12.</w:t>
      </w:r>
      <w:r w:rsidR="00746FCF" w:rsidRPr="00746FCF">
        <w:rPr>
          <w:rStyle w:val="FootnoteReference"/>
          <w:rFonts w:cs="AppleSystemUIFont"/>
          <w:color w:val="353535"/>
          <w:sz w:val="24"/>
          <w:szCs w:val="24"/>
          <w:lang w:val="en-US"/>
        </w:rPr>
        <w:footnoteReference w:id="5"/>
      </w:r>
      <w:r w:rsidR="00746FCF" w:rsidRPr="00746FCF">
        <w:rPr>
          <w:rFonts w:cs="AppleSystemUIFont"/>
          <w:color w:val="353535"/>
          <w:sz w:val="24"/>
          <w:szCs w:val="24"/>
          <w:lang w:val="en-US"/>
        </w:rPr>
        <w:t xml:space="preserve"> The 2016-17 AIHW report on specialist homelessness services, including services supporting women and children facing domestic and family violence, found that two in five clients had experienced domestic and family violence.</w:t>
      </w:r>
      <w:r w:rsidR="00746FCF" w:rsidRPr="00746FCF">
        <w:rPr>
          <w:rStyle w:val="FootnoteReference"/>
          <w:rFonts w:cs="AppleSystemUIFont"/>
          <w:color w:val="353535"/>
          <w:sz w:val="24"/>
          <w:szCs w:val="24"/>
          <w:lang w:val="en-US"/>
        </w:rPr>
        <w:footnoteReference w:id="6"/>
      </w:r>
      <w:r w:rsidR="00746FCF" w:rsidRPr="00746FCF">
        <w:rPr>
          <w:rFonts w:cs="AppleSystemUIFont"/>
          <w:color w:val="353535"/>
          <w:sz w:val="24"/>
          <w:szCs w:val="24"/>
          <w:lang w:val="en-US"/>
        </w:rPr>
        <w:t xml:space="preserve"> The same report found that on average there were 261 requests for assistance </w:t>
      </w:r>
      <w:r w:rsidR="00121BC7">
        <w:rPr>
          <w:rFonts w:cs="AppleSystemUIFont"/>
          <w:color w:val="353535"/>
          <w:sz w:val="24"/>
          <w:szCs w:val="24"/>
          <w:lang w:val="en-US"/>
        </w:rPr>
        <w:t xml:space="preserve">per day </w:t>
      </w:r>
      <w:r w:rsidR="00746FCF" w:rsidRPr="00746FCF">
        <w:rPr>
          <w:rFonts w:cs="AppleSystemUIFont"/>
          <w:color w:val="353535"/>
          <w:sz w:val="24"/>
          <w:szCs w:val="24"/>
          <w:lang w:val="en-US"/>
        </w:rPr>
        <w:t>that were unable to be met, most commonly because agencies were unable to meet requests for accommodation because there was no accommodation available at the time.</w:t>
      </w:r>
      <w:r w:rsidR="00746FCF" w:rsidRPr="00746FCF">
        <w:rPr>
          <w:rStyle w:val="FootnoteReference"/>
          <w:rFonts w:cs="AppleSystemUIFont"/>
          <w:color w:val="353535"/>
          <w:sz w:val="24"/>
          <w:szCs w:val="24"/>
          <w:lang w:val="en-US"/>
        </w:rPr>
        <w:footnoteReference w:id="7"/>
      </w:r>
      <w:r w:rsidR="00746FCF" w:rsidRPr="00746FCF">
        <w:rPr>
          <w:rFonts w:cs="AppleSystemUIFont"/>
          <w:color w:val="353535"/>
          <w:sz w:val="24"/>
          <w:szCs w:val="24"/>
          <w:lang w:val="en-US"/>
        </w:rPr>
        <w:t xml:space="preserve"> The majority of unassisted requests came from people identifying as female (66%).</w:t>
      </w:r>
      <w:r w:rsidR="00746FCF" w:rsidRPr="00746FCF">
        <w:rPr>
          <w:rStyle w:val="FootnoteReference"/>
          <w:rFonts w:cs="AppleSystemUIFont"/>
          <w:color w:val="353535"/>
          <w:sz w:val="24"/>
          <w:szCs w:val="24"/>
          <w:lang w:val="en-US"/>
        </w:rPr>
        <w:footnoteReference w:id="8"/>
      </w:r>
      <w:r w:rsidR="00746FCF" w:rsidRPr="00746FCF">
        <w:rPr>
          <w:rFonts w:cs="AppleSystemUIFont"/>
          <w:color w:val="353535"/>
          <w:sz w:val="24"/>
          <w:szCs w:val="24"/>
          <w:lang w:val="en-US"/>
        </w:rPr>
        <w:t xml:space="preserve"> </w:t>
      </w:r>
      <w:r w:rsidR="00746FCF" w:rsidRPr="00746FCF">
        <w:rPr>
          <w:sz w:val="24"/>
          <w:szCs w:val="24"/>
        </w:rPr>
        <w:t>Therefore issues of gender and violence are not marginal to the ‘main problem’ of homelessness and housing; they are central. An effective national homelessness policy has to put them at the centre.</w:t>
      </w:r>
    </w:p>
    <w:p w14:paraId="1C309DF5" w14:textId="3FF12E78" w:rsidR="00746FCF" w:rsidRPr="002B541C" w:rsidRDefault="00746FCF" w:rsidP="009F2EEC">
      <w:pPr>
        <w:jc w:val="both"/>
        <w:rPr>
          <w:rFonts w:ascii="Calibri" w:hAnsi="Calibri"/>
          <w:sz w:val="24"/>
          <w:szCs w:val="24"/>
        </w:rPr>
      </w:pPr>
      <w:r w:rsidRPr="002B541C">
        <w:rPr>
          <w:rFonts w:ascii="Calibri" w:hAnsi="Calibri"/>
          <w:sz w:val="24"/>
          <w:szCs w:val="24"/>
        </w:rPr>
        <w:t>A gender-responsive approach to housing and homelessness policy</w:t>
      </w:r>
      <w:r w:rsidR="00EF4BD4">
        <w:rPr>
          <w:rStyle w:val="FootnoteReference"/>
          <w:rFonts w:ascii="Calibri" w:hAnsi="Calibri"/>
          <w:sz w:val="24"/>
          <w:szCs w:val="24"/>
        </w:rPr>
        <w:footnoteReference w:id="9"/>
      </w:r>
      <w:r w:rsidRPr="002B541C">
        <w:rPr>
          <w:rFonts w:ascii="Calibri" w:hAnsi="Calibri"/>
          <w:sz w:val="24"/>
          <w:szCs w:val="24"/>
        </w:rPr>
        <w:t xml:space="preserve"> in Australia is needed to engage effectively with the structural disadvantages experienced by women generally as well as the particular situations of different groups of women facing housing insecurity and unaffordability. Such an approach would also be focused on preventing homelessness arising from domestic and family violence as well as supporting victims/survivors of violence by ensuring and enabling the focus of specialist services to address and respond to the gendered drivers of women’s experience of violence and homelessness. Recognition that the feminisation of poverty and violence shapes women's housing outcomes is vital if the new </w:t>
      </w:r>
      <w:r w:rsidRPr="002B541C">
        <w:rPr>
          <w:rFonts w:ascii="Calibri" w:hAnsi="Calibri"/>
          <w:sz w:val="24"/>
          <w:szCs w:val="24"/>
        </w:rPr>
        <w:lastRenderedPageBreak/>
        <w:t xml:space="preserve">National Housing and Homelessness Agreement is to reshape housing systems in a way that does not disadvantage women. </w:t>
      </w:r>
    </w:p>
    <w:p w14:paraId="6029C2B2" w14:textId="4EE964CB" w:rsidR="009F2EEC" w:rsidRPr="002B541C" w:rsidRDefault="00746FCF" w:rsidP="009F2EEC">
      <w:pPr>
        <w:jc w:val="both"/>
        <w:rPr>
          <w:rFonts w:ascii="Calibri" w:hAnsi="Calibri"/>
          <w:sz w:val="24"/>
          <w:szCs w:val="24"/>
        </w:rPr>
      </w:pPr>
      <w:r w:rsidRPr="002B541C">
        <w:rPr>
          <w:rFonts w:ascii="Calibri" w:hAnsi="Calibri"/>
          <w:sz w:val="24"/>
          <w:szCs w:val="24"/>
        </w:rPr>
        <w:t>Together with other peak bodies, we are concerned that under the new agreement the social housing and homelessness sector may be expected to increase its capacity without additional investment.</w:t>
      </w:r>
      <w:r w:rsidRPr="002B541C">
        <w:rPr>
          <w:rStyle w:val="FootnoteReference"/>
          <w:rFonts w:ascii="Calibri" w:hAnsi="Calibri"/>
          <w:sz w:val="24"/>
          <w:szCs w:val="24"/>
        </w:rPr>
        <w:footnoteReference w:id="10"/>
      </w:r>
      <w:r w:rsidRPr="002B541C">
        <w:rPr>
          <w:rFonts w:ascii="Calibri" w:hAnsi="Calibri"/>
          <w:sz w:val="24"/>
          <w:szCs w:val="24"/>
        </w:rPr>
        <w:t xml:space="preserve"> While reforms are needed, these must be implemented in a way that does not exacerbate the pressure on service providers and social infrastructure, recognising that these are already over-stretched and under-funded. As AWAVA has previously stated, substantial additional investment is needed to meet housing needs and provide homelessness services.</w:t>
      </w:r>
      <w:r w:rsidRPr="002B541C">
        <w:rPr>
          <w:rStyle w:val="FootnoteReference"/>
          <w:rFonts w:ascii="Calibri" w:hAnsi="Calibri"/>
          <w:sz w:val="24"/>
          <w:szCs w:val="24"/>
        </w:rPr>
        <w:footnoteReference w:id="11"/>
      </w:r>
      <w:r w:rsidRPr="002B541C">
        <w:rPr>
          <w:rFonts w:ascii="Calibri" w:hAnsi="Calibri"/>
          <w:sz w:val="24"/>
          <w:szCs w:val="24"/>
        </w:rPr>
        <w:t xml:space="preserve"> </w:t>
      </w:r>
    </w:p>
    <w:p w14:paraId="3D1F1449" w14:textId="77777777" w:rsidR="009F2EEC" w:rsidRPr="002B541C" w:rsidRDefault="009F2EEC" w:rsidP="009F2EEC">
      <w:pPr>
        <w:jc w:val="both"/>
        <w:rPr>
          <w:rFonts w:ascii="Calibri" w:hAnsi="Calibri"/>
          <w:sz w:val="24"/>
          <w:szCs w:val="24"/>
        </w:rPr>
      </w:pPr>
      <w:r w:rsidRPr="002B541C">
        <w:rPr>
          <w:rFonts w:ascii="Calibri" w:hAnsi="Calibri"/>
          <w:sz w:val="24"/>
          <w:szCs w:val="24"/>
        </w:rPr>
        <w:t>We note that the Third Action Plan of the National Plan</w:t>
      </w:r>
      <w:r w:rsidRPr="002B541C">
        <w:rPr>
          <w:rStyle w:val="FootnoteReference"/>
          <w:rFonts w:ascii="Calibri" w:hAnsi="Calibri"/>
          <w:sz w:val="24"/>
          <w:szCs w:val="24"/>
        </w:rPr>
        <w:footnoteReference w:id="12"/>
      </w:r>
      <w:r w:rsidRPr="002B541C">
        <w:rPr>
          <w:rFonts w:ascii="Calibri" w:hAnsi="Calibri"/>
          <w:sz w:val="24"/>
          <w:szCs w:val="24"/>
        </w:rPr>
        <w:t xml:space="preserve"> includes the following commitment: </w:t>
      </w:r>
    </w:p>
    <w:p w14:paraId="4E064CBF" w14:textId="77777777" w:rsidR="00746FCF" w:rsidRPr="00746FCF" w:rsidRDefault="00746FCF" w:rsidP="00746FCF">
      <w:pPr>
        <w:jc w:val="both"/>
        <w:rPr>
          <w:rFonts w:ascii="Calibri" w:hAnsi="Calibri"/>
          <w:sz w:val="24"/>
          <w:szCs w:val="24"/>
        </w:rPr>
      </w:pPr>
      <w:r w:rsidRPr="00746FCF">
        <w:rPr>
          <w:rFonts w:ascii="Calibri" w:hAnsi="Calibri"/>
          <w:sz w:val="24"/>
          <w:szCs w:val="24"/>
        </w:rPr>
        <w:t>3.3: Strengthen safe and appropriate accommodation options and supports for women and their children escaping violence, including specialist women’s services.</w:t>
      </w:r>
    </w:p>
    <w:p w14:paraId="62BB191F" w14:textId="0456CAD7" w:rsidR="00746FCF" w:rsidRPr="00746FCF" w:rsidRDefault="00746FCF" w:rsidP="00746FCF">
      <w:pPr>
        <w:ind w:left="720"/>
        <w:jc w:val="both"/>
        <w:rPr>
          <w:rFonts w:ascii="Calibri" w:hAnsi="Calibri"/>
          <w:sz w:val="24"/>
          <w:szCs w:val="24"/>
        </w:rPr>
      </w:pPr>
      <w:r w:rsidRPr="00746FCF">
        <w:rPr>
          <w:rFonts w:ascii="Calibri" w:hAnsi="Calibri"/>
          <w:sz w:val="24"/>
          <w:szCs w:val="24"/>
        </w:rPr>
        <w:t>3.3(a) Assess and work to address the immediate, medium-term and long-term accommodation needs of women who are escaping violence.</w:t>
      </w:r>
    </w:p>
    <w:p w14:paraId="3EBF9D05" w14:textId="77777777" w:rsidR="00746FCF" w:rsidRPr="00746FCF" w:rsidRDefault="00746FCF" w:rsidP="00746FCF">
      <w:pPr>
        <w:ind w:left="720"/>
        <w:jc w:val="both"/>
        <w:rPr>
          <w:rFonts w:ascii="Calibri" w:hAnsi="Calibri"/>
          <w:sz w:val="24"/>
          <w:szCs w:val="24"/>
        </w:rPr>
      </w:pPr>
      <w:r w:rsidRPr="00746FCF">
        <w:rPr>
          <w:rFonts w:ascii="Calibri" w:hAnsi="Calibri"/>
          <w:sz w:val="24"/>
          <w:szCs w:val="24"/>
        </w:rPr>
        <w:t>3.3(b) Increase the stock of affordable, accessible and social housing and the support needed to enable women and their children, if they want to, to stay in their own homes through Safe at Home initiatives.</w:t>
      </w:r>
    </w:p>
    <w:p w14:paraId="57F78BBA" w14:textId="77777777" w:rsidR="00746FCF" w:rsidRPr="00746FCF" w:rsidRDefault="00746FCF" w:rsidP="00746FCF">
      <w:pPr>
        <w:ind w:left="720"/>
        <w:jc w:val="both"/>
        <w:rPr>
          <w:rFonts w:ascii="Calibri" w:hAnsi="Calibri"/>
          <w:sz w:val="24"/>
          <w:szCs w:val="24"/>
        </w:rPr>
      </w:pPr>
      <w:r w:rsidRPr="00746FCF">
        <w:rPr>
          <w:rFonts w:ascii="Calibri" w:hAnsi="Calibri"/>
          <w:sz w:val="24"/>
          <w:szCs w:val="24"/>
        </w:rPr>
        <w:t>3.3(c) Improve the availability of accommodation for perpetrators who are removed from the home to ensure the safety of women and children in their homes.</w:t>
      </w:r>
    </w:p>
    <w:p w14:paraId="4EB84047" w14:textId="77777777" w:rsidR="00746FCF" w:rsidRPr="00746FCF" w:rsidRDefault="00746FCF" w:rsidP="00746FCF">
      <w:pPr>
        <w:ind w:left="720"/>
        <w:jc w:val="both"/>
        <w:rPr>
          <w:rFonts w:ascii="Calibri" w:hAnsi="Calibri"/>
          <w:sz w:val="24"/>
          <w:szCs w:val="24"/>
        </w:rPr>
      </w:pPr>
      <w:r w:rsidRPr="00746FCF">
        <w:rPr>
          <w:rFonts w:ascii="Calibri" w:hAnsi="Calibri"/>
          <w:sz w:val="24"/>
          <w:szCs w:val="24"/>
        </w:rPr>
        <w:t xml:space="preserve">3.3(d) Assess the effectiveness of Victoria’s use of Individual Flexible Packages for women and their children who are escaping violence as the basis of a joint review of future funding models, including a possible broader rollout. </w:t>
      </w:r>
    </w:p>
    <w:p w14:paraId="1770694B" w14:textId="5504F12A" w:rsidR="009F2EEC" w:rsidRPr="002B541C" w:rsidRDefault="00746FCF" w:rsidP="00746FCF">
      <w:pPr>
        <w:ind w:left="720"/>
        <w:jc w:val="both"/>
        <w:rPr>
          <w:rFonts w:ascii="Calibri" w:hAnsi="Calibri"/>
          <w:sz w:val="24"/>
          <w:szCs w:val="24"/>
        </w:rPr>
      </w:pPr>
      <w:r w:rsidRPr="00746FCF">
        <w:rPr>
          <w:rFonts w:ascii="Calibri" w:hAnsi="Calibri"/>
          <w:sz w:val="24"/>
          <w:szCs w:val="24"/>
        </w:rPr>
        <w:t>3.3(e) Develop national principles for tenancy legislation to ensure consistency across jurisdictions for women who are experiencing violence.</w:t>
      </w:r>
      <w:r w:rsidRPr="002B541C">
        <w:rPr>
          <w:rFonts w:ascii="Calibri" w:hAnsi="Calibri"/>
          <w:sz w:val="24"/>
          <w:szCs w:val="24"/>
        </w:rPr>
        <w:t xml:space="preserve"> </w:t>
      </w:r>
    </w:p>
    <w:p w14:paraId="3F6147ED" w14:textId="6ACCA4F9" w:rsidR="009F2EEC" w:rsidRPr="002B541C" w:rsidRDefault="009F2EEC" w:rsidP="009F2EEC">
      <w:pPr>
        <w:jc w:val="both"/>
        <w:rPr>
          <w:rFonts w:ascii="Calibri" w:hAnsi="Calibri"/>
          <w:sz w:val="24"/>
          <w:szCs w:val="24"/>
        </w:rPr>
      </w:pPr>
      <w:r w:rsidRPr="002B541C">
        <w:rPr>
          <w:rFonts w:ascii="Calibri" w:hAnsi="Calibri"/>
          <w:sz w:val="24"/>
          <w:szCs w:val="24"/>
        </w:rPr>
        <w:t xml:space="preserve">In order to meet this commitment, it is vital that the Commonwealth’s commitment to the new NHHA includes funding increases and that the new Agreement embeds principles of gender-responsiveness within a broader national strategy. These principles must include measures to strengthen the position of specialist women’s services and the provision of competent gender-informed support by other services.  </w:t>
      </w:r>
    </w:p>
    <w:p w14:paraId="7D315A4F" w14:textId="47E1CD82" w:rsidR="009F2EEC" w:rsidRPr="002B541C" w:rsidRDefault="009F2EEC" w:rsidP="009F2EEC">
      <w:pPr>
        <w:jc w:val="both"/>
        <w:rPr>
          <w:rFonts w:ascii="Calibri" w:hAnsi="Calibri"/>
          <w:sz w:val="24"/>
          <w:szCs w:val="24"/>
        </w:rPr>
      </w:pPr>
      <w:r w:rsidRPr="002B541C">
        <w:rPr>
          <w:rFonts w:ascii="Calibri" w:hAnsi="Calibri"/>
          <w:sz w:val="24"/>
          <w:szCs w:val="24"/>
        </w:rPr>
        <w:t xml:space="preserve">Alongside the new Agreement, there are key immediate steps that the Australian Government can take to assist women who are in temporary migration situations and are facing family violence, and to ease pressure on the services attempting to support them. </w:t>
      </w:r>
      <w:r w:rsidRPr="002B541C">
        <w:rPr>
          <w:rFonts w:ascii="Calibri" w:hAnsi="Calibri"/>
          <w:sz w:val="24"/>
          <w:szCs w:val="24"/>
        </w:rPr>
        <w:lastRenderedPageBreak/>
        <w:t xml:space="preserve">Recommendations on these issues are contained in a joint pre-budget submission by AWAVA and Harmony Alliance. </w:t>
      </w:r>
    </w:p>
    <w:p w14:paraId="69629543" w14:textId="4F51D020" w:rsidR="009F2EEC" w:rsidRPr="00121BC7" w:rsidRDefault="009F2EEC" w:rsidP="009F2EEC">
      <w:pPr>
        <w:shd w:val="clear" w:color="auto" w:fill="FFFFFF"/>
        <w:spacing w:line="288" w:lineRule="atLeast"/>
        <w:rPr>
          <w:rFonts w:ascii="Calibri" w:eastAsia="Times New Roman" w:hAnsi="Calibri" w:cs="Arial"/>
          <w:sz w:val="24"/>
          <w:szCs w:val="24"/>
          <w:lang w:eastAsia="en-AU"/>
        </w:rPr>
      </w:pPr>
      <w:r w:rsidRPr="00121BC7">
        <w:rPr>
          <w:rFonts w:ascii="Calibri" w:eastAsia="Times New Roman" w:hAnsi="Calibri" w:cs="Arial"/>
          <w:sz w:val="24"/>
          <w:szCs w:val="24"/>
          <w:lang w:eastAsia="en-AU"/>
        </w:rPr>
        <w:t xml:space="preserve">AWAVA endorses the </w:t>
      </w:r>
      <w:hyperlink r:id="rId9" w:history="1">
        <w:r w:rsidRPr="00121BC7">
          <w:rPr>
            <w:rStyle w:val="Hyperlink"/>
            <w:rFonts w:ascii="Calibri" w:eastAsia="Times New Roman" w:hAnsi="Calibri" w:cs="Arial"/>
            <w:color w:val="auto"/>
            <w:sz w:val="24"/>
            <w:szCs w:val="24"/>
            <w:lang w:eastAsia="en-AU"/>
          </w:rPr>
          <w:t>recommendations made by Council to Homeless Persons</w:t>
        </w:r>
      </w:hyperlink>
      <w:r w:rsidR="0028686D" w:rsidRPr="00121BC7">
        <w:rPr>
          <w:rStyle w:val="FootnoteReference"/>
          <w:rFonts w:ascii="Calibri" w:eastAsia="Times New Roman" w:hAnsi="Calibri" w:cs="Arial"/>
          <w:sz w:val="24"/>
          <w:szCs w:val="24"/>
          <w:u w:val="single"/>
          <w:lang w:eastAsia="en-AU"/>
        </w:rPr>
        <w:footnoteReference w:id="13"/>
      </w:r>
      <w:r w:rsidRPr="00121BC7">
        <w:rPr>
          <w:rFonts w:ascii="Calibri" w:eastAsia="Times New Roman" w:hAnsi="Calibri" w:cs="Arial"/>
          <w:sz w:val="24"/>
          <w:szCs w:val="24"/>
          <w:lang w:eastAsia="en-AU"/>
        </w:rPr>
        <w:t>, and recommends that the Australian Government:</w:t>
      </w:r>
    </w:p>
    <w:p w14:paraId="06052241" w14:textId="4BA6CFAB" w:rsidR="009F2EEC" w:rsidRPr="002B541C" w:rsidRDefault="009F2EEC" w:rsidP="002B541C">
      <w:pPr>
        <w:pStyle w:val="ListParagraph"/>
        <w:numPr>
          <w:ilvl w:val="0"/>
          <w:numId w:val="15"/>
        </w:numPr>
        <w:shd w:val="clear" w:color="auto" w:fill="FFFFFF"/>
        <w:spacing w:after="0" w:line="288" w:lineRule="atLeast"/>
        <w:rPr>
          <w:rFonts w:ascii="Calibri" w:eastAsia="Times New Roman" w:hAnsi="Calibri" w:cs="Arial"/>
          <w:b/>
          <w:sz w:val="24"/>
          <w:szCs w:val="24"/>
          <w:lang w:eastAsia="en-AU"/>
        </w:rPr>
      </w:pPr>
      <w:r w:rsidRPr="002B541C">
        <w:rPr>
          <w:rFonts w:ascii="Calibri" w:eastAsia="Times New Roman" w:hAnsi="Calibri" w:cs="Arial"/>
          <w:b/>
          <w:sz w:val="24"/>
          <w:szCs w:val="24"/>
          <w:lang w:eastAsia="en-AU"/>
        </w:rPr>
        <w:t>Significantly increase spending on social housing to meet growing demand.</w:t>
      </w:r>
    </w:p>
    <w:p w14:paraId="0DFFD535" w14:textId="4E0F8EEB" w:rsidR="009F2EEC" w:rsidRPr="002B541C" w:rsidRDefault="009F2EEC" w:rsidP="002B541C">
      <w:pPr>
        <w:numPr>
          <w:ilvl w:val="0"/>
          <w:numId w:val="15"/>
        </w:numPr>
        <w:shd w:val="clear" w:color="auto" w:fill="FFFFFF"/>
        <w:spacing w:after="0" w:line="288" w:lineRule="atLeast"/>
        <w:rPr>
          <w:rFonts w:ascii="Calibri" w:eastAsia="Times New Roman" w:hAnsi="Calibri" w:cs="Arial"/>
          <w:b/>
          <w:sz w:val="24"/>
          <w:szCs w:val="24"/>
          <w:lang w:eastAsia="en-AU"/>
        </w:rPr>
      </w:pPr>
      <w:r w:rsidRPr="002B541C">
        <w:rPr>
          <w:rFonts w:ascii="Calibri" w:eastAsia="Times New Roman" w:hAnsi="Calibri" w:cs="Arial"/>
          <w:b/>
          <w:sz w:val="24"/>
          <w:szCs w:val="24"/>
          <w:lang w:eastAsia="en-AU"/>
        </w:rPr>
        <w:t>Develop a federal strategy to end homelessness that addresses critical drivers of homelessness, including social security spending, family violence prevention, and measures to deliver affordable rental housing.</w:t>
      </w:r>
    </w:p>
    <w:p w14:paraId="2AA31192" w14:textId="3A3D9FBB" w:rsidR="009F2EEC" w:rsidRPr="002B541C" w:rsidRDefault="009F2EEC" w:rsidP="002B541C">
      <w:pPr>
        <w:numPr>
          <w:ilvl w:val="0"/>
          <w:numId w:val="15"/>
        </w:numPr>
        <w:shd w:val="clear" w:color="auto" w:fill="FFFFFF"/>
        <w:spacing w:after="0" w:line="288" w:lineRule="atLeast"/>
        <w:rPr>
          <w:rFonts w:ascii="Calibri" w:eastAsia="Times New Roman" w:hAnsi="Calibri" w:cs="Arial"/>
          <w:b/>
          <w:sz w:val="24"/>
          <w:szCs w:val="24"/>
          <w:lang w:eastAsia="en-AU"/>
        </w:rPr>
      </w:pPr>
      <w:r w:rsidRPr="002B541C">
        <w:rPr>
          <w:rFonts w:ascii="Calibri" w:eastAsia="Times New Roman" w:hAnsi="Calibri" w:cs="Arial"/>
          <w:b/>
          <w:sz w:val="24"/>
          <w:szCs w:val="24"/>
          <w:lang w:eastAsia="en-AU"/>
        </w:rPr>
        <w:t>Work to ensure that the new National Housing and Homelessness Agreement is introduced as a package negotiated and agreed with the States and Territories, together with the accountability measures (what the Agreement aims to achieve), and the performance framework (how the measures will be monitored).</w:t>
      </w:r>
    </w:p>
    <w:p w14:paraId="4CE5D42C" w14:textId="77777777" w:rsidR="009F2EEC" w:rsidRPr="002B541C" w:rsidRDefault="009F2EEC" w:rsidP="009F2EEC">
      <w:pPr>
        <w:shd w:val="clear" w:color="auto" w:fill="FFFFFF"/>
        <w:spacing w:line="288" w:lineRule="atLeast"/>
        <w:ind w:left="720"/>
        <w:rPr>
          <w:rFonts w:ascii="Calibri" w:eastAsia="Times New Roman" w:hAnsi="Calibri" w:cs="Arial"/>
          <w:b/>
          <w:sz w:val="24"/>
          <w:szCs w:val="24"/>
          <w:lang w:eastAsia="en-AU"/>
        </w:rPr>
      </w:pPr>
    </w:p>
    <w:p w14:paraId="41BF329E" w14:textId="4AEEF0F6" w:rsidR="009F2EEC" w:rsidRPr="00121BC7" w:rsidRDefault="009F2EEC" w:rsidP="009F2EEC">
      <w:pPr>
        <w:shd w:val="clear" w:color="auto" w:fill="FFFFFF"/>
        <w:spacing w:line="288" w:lineRule="atLeast"/>
        <w:rPr>
          <w:rFonts w:ascii="Calibri" w:eastAsia="Times New Roman" w:hAnsi="Calibri" w:cs="Arial"/>
          <w:sz w:val="24"/>
          <w:szCs w:val="24"/>
          <w:lang w:eastAsia="en-AU"/>
        </w:rPr>
      </w:pPr>
      <w:r w:rsidRPr="00121BC7">
        <w:rPr>
          <w:rFonts w:ascii="Calibri" w:eastAsia="Times New Roman" w:hAnsi="Calibri" w:cs="Arial"/>
          <w:sz w:val="24"/>
          <w:szCs w:val="24"/>
          <w:lang w:eastAsia="en-AU"/>
        </w:rPr>
        <w:t>In addition we urge the Commonwealth to:</w:t>
      </w:r>
    </w:p>
    <w:p w14:paraId="0E10F04B" w14:textId="7CFD67F8" w:rsidR="009F2EEC" w:rsidRPr="002B541C" w:rsidRDefault="009F2EEC" w:rsidP="002B541C">
      <w:pPr>
        <w:pStyle w:val="ListParagraph"/>
        <w:numPr>
          <w:ilvl w:val="0"/>
          <w:numId w:val="15"/>
        </w:numPr>
        <w:shd w:val="clear" w:color="auto" w:fill="FFFFFF"/>
        <w:spacing w:line="288" w:lineRule="atLeast"/>
        <w:rPr>
          <w:rFonts w:ascii="Calibri" w:eastAsia="Times New Roman" w:hAnsi="Calibri" w:cs="Arial"/>
          <w:b/>
          <w:sz w:val="24"/>
          <w:szCs w:val="24"/>
          <w:lang w:eastAsia="en-AU"/>
        </w:rPr>
      </w:pPr>
      <w:r w:rsidRPr="002B541C">
        <w:rPr>
          <w:rFonts w:ascii="Calibri" w:eastAsia="Times New Roman" w:hAnsi="Calibri" w:cs="Arial"/>
          <w:b/>
          <w:sz w:val="24"/>
          <w:szCs w:val="24"/>
          <w:lang w:eastAsia="en-AU"/>
        </w:rPr>
        <w:t xml:space="preserve">Together with the States and Territories, adopt a gender-responsive approach to housing and homelessness policy, as outlined in a recent </w:t>
      </w:r>
      <w:hyperlink r:id="rId10" w:history="1">
        <w:r w:rsidRPr="002B541C">
          <w:rPr>
            <w:rStyle w:val="Hyperlink"/>
            <w:rFonts w:ascii="Calibri" w:eastAsia="Times New Roman" w:hAnsi="Calibri" w:cs="Arial"/>
            <w:b/>
            <w:color w:val="auto"/>
            <w:sz w:val="24"/>
            <w:szCs w:val="24"/>
            <w:lang w:eastAsia="en-AU"/>
          </w:rPr>
          <w:t>joint letter to all jurisdictions from AWAVA and ERA</w:t>
        </w:r>
      </w:hyperlink>
      <w:r w:rsidRPr="002B541C">
        <w:rPr>
          <w:rFonts w:ascii="Calibri" w:eastAsia="Times New Roman" w:hAnsi="Calibri" w:cs="Arial"/>
          <w:b/>
          <w:sz w:val="24"/>
          <w:szCs w:val="24"/>
          <w:lang w:eastAsia="en-AU"/>
        </w:rPr>
        <w:t>.</w:t>
      </w:r>
      <w:r w:rsidR="0028686D">
        <w:rPr>
          <w:rStyle w:val="FootnoteReference"/>
          <w:rFonts w:ascii="Calibri" w:eastAsia="Times New Roman" w:hAnsi="Calibri" w:cs="Arial"/>
          <w:b/>
          <w:sz w:val="24"/>
          <w:szCs w:val="24"/>
          <w:lang w:eastAsia="en-AU"/>
        </w:rPr>
        <w:footnoteReference w:id="14"/>
      </w:r>
    </w:p>
    <w:p w14:paraId="3ADF25AB" w14:textId="77777777" w:rsidR="009F2EEC" w:rsidRPr="002B541C" w:rsidRDefault="009F2EEC" w:rsidP="002B541C">
      <w:pPr>
        <w:pStyle w:val="ListParagraph"/>
        <w:numPr>
          <w:ilvl w:val="0"/>
          <w:numId w:val="15"/>
        </w:numPr>
        <w:jc w:val="both"/>
        <w:rPr>
          <w:rFonts w:ascii="Calibri" w:hAnsi="Calibri"/>
          <w:b/>
          <w:sz w:val="24"/>
          <w:szCs w:val="24"/>
        </w:rPr>
      </w:pPr>
      <w:r w:rsidRPr="002B541C">
        <w:rPr>
          <w:rFonts w:ascii="Calibri" w:hAnsi="Calibri"/>
          <w:b/>
          <w:sz w:val="24"/>
          <w:szCs w:val="24"/>
          <w:lang w:val="en-US"/>
        </w:rPr>
        <w:t>Take immediate steps to ensure that any agreements (bilateral or overarching) addressing homelessness include the requirement not only that State/Territory strategies include measures to support women and children escaping violence but also that funding spent under these strategies goes to services with specialist capability to address the gendered dynamics of violence and homelessness</w:t>
      </w:r>
      <w:r w:rsidRPr="002B541C">
        <w:rPr>
          <w:rStyle w:val="FootnoteReference"/>
          <w:rFonts w:ascii="Calibri" w:hAnsi="Calibri"/>
          <w:b/>
          <w:sz w:val="24"/>
          <w:szCs w:val="24"/>
          <w:lang w:val="en-US"/>
        </w:rPr>
        <w:footnoteReference w:id="15"/>
      </w:r>
      <w:r w:rsidRPr="002B541C">
        <w:rPr>
          <w:rFonts w:ascii="Calibri" w:hAnsi="Calibri"/>
          <w:b/>
          <w:sz w:val="24"/>
          <w:szCs w:val="24"/>
          <w:lang w:val="en-US"/>
        </w:rPr>
        <w:t xml:space="preserve"> (i.e. specialist women’s services and/or generalist services with documented specialist capability.)</w:t>
      </w:r>
    </w:p>
    <w:p w14:paraId="2E54E793" w14:textId="77777777" w:rsidR="00121BC7" w:rsidRDefault="00121BC7" w:rsidP="0045746B">
      <w:pPr>
        <w:jc w:val="both"/>
        <w:rPr>
          <w:sz w:val="24"/>
          <w:szCs w:val="24"/>
        </w:rPr>
      </w:pPr>
    </w:p>
    <w:p w14:paraId="3D87A89B" w14:textId="38695F4C" w:rsidR="0045746B" w:rsidRPr="002B541C" w:rsidRDefault="00E555F5" w:rsidP="0045746B">
      <w:pPr>
        <w:jc w:val="both"/>
        <w:rPr>
          <w:sz w:val="24"/>
          <w:szCs w:val="24"/>
        </w:rPr>
      </w:pPr>
      <w:r>
        <w:rPr>
          <w:sz w:val="24"/>
          <w:szCs w:val="24"/>
        </w:rPr>
        <w:t xml:space="preserve">Once again we thank you for the opportunity to provide input </w:t>
      </w:r>
      <w:r w:rsidR="00143B8E">
        <w:rPr>
          <w:sz w:val="24"/>
          <w:szCs w:val="24"/>
        </w:rPr>
        <w:t xml:space="preserve">on the Bill. </w:t>
      </w:r>
      <w:r w:rsidR="0045746B" w:rsidRPr="002B541C">
        <w:rPr>
          <w:sz w:val="24"/>
          <w:szCs w:val="24"/>
        </w:rPr>
        <w:t xml:space="preserve">If you would like to discuss the contents of the AWAVA submission further, please contact </w:t>
      </w:r>
      <w:proofErr w:type="spellStart"/>
      <w:r w:rsidR="0045746B" w:rsidRPr="002B541C">
        <w:rPr>
          <w:sz w:val="24"/>
          <w:szCs w:val="24"/>
        </w:rPr>
        <w:t>Merrindahl</w:t>
      </w:r>
      <w:proofErr w:type="spellEnd"/>
      <w:r w:rsidR="0045746B" w:rsidRPr="002B541C">
        <w:rPr>
          <w:sz w:val="24"/>
          <w:szCs w:val="24"/>
        </w:rPr>
        <w:t xml:space="preserve"> Andrew, AWAVA Program Manager, using the details below.</w:t>
      </w:r>
    </w:p>
    <w:p w14:paraId="1DBF915D" w14:textId="3AA211A7" w:rsidR="0045746B" w:rsidRPr="002B541C" w:rsidRDefault="0045746B" w:rsidP="0045746B">
      <w:pPr>
        <w:jc w:val="both"/>
        <w:rPr>
          <w:rFonts w:cstheme="minorHAnsi"/>
          <w:sz w:val="24"/>
          <w:szCs w:val="24"/>
        </w:rPr>
      </w:pPr>
      <w:proofErr w:type="spellStart"/>
      <w:r w:rsidRPr="002B541C">
        <w:rPr>
          <w:rFonts w:cstheme="minorHAnsi"/>
          <w:sz w:val="24"/>
          <w:szCs w:val="24"/>
        </w:rPr>
        <w:t>Merrindahl</w:t>
      </w:r>
      <w:proofErr w:type="spellEnd"/>
      <w:r w:rsidRPr="002B541C">
        <w:rPr>
          <w:rFonts w:cstheme="minorHAnsi"/>
          <w:sz w:val="24"/>
          <w:szCs w:val="24"/>
        </w:rPr>
        <w:t xml:space="preserve"> Andrew</w:t>
      </w:r>
    </w:p>
    <w:p w14:paraId="5938555B" w14:textId="77777777" w:rsidR="0045746B" w:rsidRPr="002B541C" w:rsidRDefault="0045746B" w:rsidP="0045746B">
      <w:pPr>
        <w:jc w:val="both"/>
        <w:rPr>
          <w:rFonts w:cstheme="minorHAnsi"/>
          <w:sz w:val="24"/>
          <w:szCs w:val="24"/>
        </w:rPr>
      </w:pPr>
      <w:r w:rsidRPr="002B541C">
        <w:rPr>
          <w:rFonts w:cstheme="minorHAnsi"/>
          <w:sz w:val="24"/>
          <w:szCs w:val="24"/>
        </w:rPr>
        <w:t>Program Manager</w:t>
      </w:r>
    </w:p>
    <w:p w14:paraId="612F6337" w14:textId="77777777" w:rsidR="0045746B" w:rsidRPr="002B541C" w:rsidRDefault="0045746B" w:rsidP="0045746B">
      <w:pPr>
        <w:jc w:val="both"/>
        <w:rPr>
          <w:rFonts w:cstheme="minorHAnsi"/>
          <w:sz w:val="24"/>
          <w:szCs w:val="24"/>
        </w:rPr>
      </w:pPr>
      <w:r w:rsidRPr="002B541C">
        <w:rPr>
          <w:rFonts w:cstheme="minorHAnsi"/>
          <w:sz w:val="24"/>
          <w:szCs w:val="24"/>
        </w:rPr>
        <w:t xml:space="preserve">Australian Women </w:t>
      </w:r>
      <w:proofErr w:type="gramStart"/>
      <w:r w:rsidRPr="002B541C">
        <w:rPr>
          <w:rFonts w:cstheme="minorHAnsi"/>
          <w:sz w:val="24"/>
          <w:szCs w:val="24"/>
        </w:rPr>
        <w:t>Against</w:t>
      </w:r>
      <w:proofErr w:type="gramEnd"/>
      <w:r w:rsidRPr="002B541C">
        <w:rPr>
          <w:rFonts w:cstheme="minorHAnsi"/>
          <w:sz w:val="24"/>
          <w:szCs w:val="24"/>
        </w:rPr>
        <w:t xml:space="preserve"> Violence Alliance</w:t>
      </w:r>
    </w:p>
    <w:p w14:paraId="71FE290B" w14:textId="77777777" w:rsidR="0045746B" w:rsidRPr="002B541C" w:rsidRDefault="00C061CC" w:rsidP="0045746B">
      <w:pPr>
        <w:jc w:val="both"/>
        <w:rPr>
          <w:sz w:val="24"/>
          <w:szCs w:val="24"/>
        </w:rPr>
      </w:pPr>
      <w:hyperlink r:id="rId11" w:history="1">
        <w:r w:rsidR="0045746B" w:rsidRPr="002B541C">
          <w:rPr>
            <w:rStyle w:val="Hyperlink"/>
            <w:rFonts w:cstheme="minorHAnsi"/>
            <w:sz w:val="24"/>
            <w:szCs w:val="24"/>
          </w:rPr>
          <w:t>www.awava.org.au</w:t>
        </w:r>
      </w:hyperlink>
      <w:r w:rsidR="0045746B" w:rsidRPr="002B541C">
        <w:rPr>
          <w:rFonts w:cstheme="minorHAnsi"/>
          <w:sz w:val="24"/>
          <w:szCs w:val="24"/>
        </w:rPr>
        <w:t xml:space="preserve"> | </w:t>
      </w:r>
      <w:hyperlink r:id="rId12" w:history="1">
        <w:r w:rsidR="0045746B" w:rsidRPr="002B541C">
          <w:rPr>
            <w:rStyle w:val="Hyperlink"/>
            <w:rFonts w:cstheme="minorHAnsi"/>
            <w:sz w:val="24"/>
            <w:szCs w:val="24"/>
          </w:rPr>
          <w:t>pm@awava.org.au</w:t>
        </w:r>
      </w:hyperlink>
      <w:r w:rsidR="0045746B" w:rsidRPr="002B541C">
        <w:rPr>
          <w:rFonts w:cstheme="minorHAnsi"/>
          <w:sz w:val="24"/>
          <w:szCs w:val="24"/>
        </w:rPr>
        <w:t xml:space="preserve"> | </w:t>
      </w:r>
      <w:proofErr w:type="spellStart"/>
      <w:r w:rsidR="0045746B" w:rsidRPr="002B541C">
        <w:rPr>
          <w:rFonts w:cstheme="minorHAnsi"/>
          <w:sz w:val="24"/>
          <w:szCs w:val="24"/>
        </w:rPr>
        <w:t>ph</w:t>
      </w:r>
      <w:proofErr w:type="spellEnd"/>
      <w:r w:rsidR="0045746B" w:rsidRPr="002B541C">
        <w:rPr>
          <w:rFonts w:cstheme="minorHAnsi"/>
          <w:sz w:val="24"/>
          <w:szCs w:val="24"/>
        </w:rPr>
        <w:t>: 0428 541 396</w:t>
      </w:r>
    </w:p>
    <w:p w14:paraId="7F1348F9" w14:textId="292E9E4C" w:rsidR="00F71303" w:rsidRPr="002B541C" w:rsidRDefault="00F71303" w:rsidP="00F71303">
      <w:pPr>
        <w:jc w:val="both"/>
        <w:rPr>
          <w:sz w:val="24"/>
          <w:szCs w:val="24"/>
        </w:rPr>
      </w:pPr>
    </w:p>
    <w:sectPr w:rsidR="00F71303" w:rsidRPr="002B541C" w:rsidSect="00125AA8">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2DCD8" w14:textId="77777777" w:rsidR="00C061CC" w:rsidRDefault="00C061CC" w:rsidP="004774B4">
      <w:pPr>
        <w:spacing w:after="0" w:line="240" w:lineRule="auto"/>
      </w:pPr>
      <w:r>
        <w:separator/>
      </w:r>
    </w:p>
  </w:endnote>
  <w:endnote w:type="continuationSeparator" w:id="0">
    <w:p w14:paraId="43D7856D" w14:textId="77777777" w:rsidR="00C061CC" w:rsidRDefault="00C061CC" w:rsidP="0047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ppleSystemUIFont">
    <w:altName w:val="Cambria"/>
    <w:panose1 w:val="00000000000000000000"/>
    <w:charset w:val="00"/>
    <w:family w:val="auto"/>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97200"/>
      <w:docPartObj>
        <w:docPartGallery w:val="Page Numbers (Bottom of Page)"/>
        <w:docPartUnique/>
      </w:docPartObj>
    </w:sdtPr>
    <w:sdtEndPr>
      <w:rPr>
        <w:noProof/>
      </w:rPr>
    </w:sdtEndPr>
    <w:sdtContent>
      <w:p w14:paraId="4AF7500D" w14:textId="439DF6C5" w:rsidR="00FB744F" w:rsidRDefault="00FB744F">
        <w:pPr>
          <w:pStyle w:val="Footer"/>
          <w:jc w:val="right"/>
        </w:pPr>
        <w:r>
          <w:fldChar w:fldCharType="begin"/>
        </w:r>
        <w:r>
          <w:instrText xml:space="preserve"> PAGE   \* MERGEFORMAT </w:instrText>
        </w:r>
        <w:r>
          <w:fldChar w:fldCharType="separate"/>
        </w:r>
        <w:r w:rsidR="00405242">
          <w:rPr>
            <w:noProof/>
          </w:rPr>
          <w:t>4</w:t>
        </w:r>
        <w:r>
          <w:rPr>
            <w:noProof/>
          </w:rPr>
          <w:fldChar w:fldCharType="end"/>
        </w:r>
      </w:p>
    </w:sdtContent>
  </w:sdt>
  <w:p w14:paraId="0A22D1A2" w14:textId="77777777" w:rsidR="00FB744F" w:rsidRDefault="00FB74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535701"/>
      <w:docPartObj>
        <w:docPartGallery w:val="Page Numbers (Bottom of Page)"/>
        <w:docPartUnique/>
      </w:docPartObj>
    </w:sdtPr>
    <w:sdtEndPr>
      <w:rPr>
        <w:noProof/>
      </w:rPr>
    </w:sdtEndPr>
    <w:sdtContent>
      <w:p w14:paraId="78529D45" w14:textId="0261DE72" w:rsidR="001705C3" w:rsidRDefault="001705C3">
        <w:pPr>
          <w:pStyle w:val="Footer"/>
          <w:jc w:val="right"/>
        </w:pPr>
        <w:r>
          <w:fldChar w:fldCharType="begin"/>
        </w:r>
        <w:r>
          <w:instrText xml:space="preserve"> PAGE   \* MERGEFORMAT </w:instrText>
        </w:r>
        <w:r>
          <w:fldChar w:fldCharType="separate"/>
        </w:r>
        <w:r w:rsidR="00405242">
          <w:rPr>
            <w:noProof/>
          </w:rPr>
          <w:t>1</w:t>
        </w:r>
        <w:r>
          <w:rPr>
            <w:noProof/>
          </w:rPr>
          <w:fldChar w:fldCharType="end"/>
        </w:r>
      </w:p>
    </w:sdtContent>
  </w:sdt>
  <w:p w14:paraId="10D345EC" w14:textId="77777777" w:rsidR="00FB744F" w:rsidRDefault="00FB7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C28D2" w14:textId="77777777" w:rsidR="00C061CC" w:rsidRDefault="00C061CC" w:rsidP="004774B4">
      <w:pPr>
        <w:spacing w:after="0" w:line="240" w:lineRule="auto"/>
      </w:pPr>
      <w:r>
        <w:separator/>
      </w:r>
    </w:p>
  </w:footnote>
  <w:footnote w:type="continuationSeparator" w:id="0">
    <w:p w14:paraId="48FA647A" w14:textId="77777777" w:rsidR="00C061CC" w:rsidRDefault="00C061CC" w:rsidP="004774B4">
      <w:pPr>
        <w:spacing w:after="0" w:line="240" w:lineRule="auto"/>
      </w:pPr>
      <w:r>
        <w:continuationSeparator/>
      </w:r>
    </w:p>
  </w:footnote>
  <w:footnote w:id="1">
    <w:p w14:paraId="40A68D84" w14:textId="77777777" w:rsidR="00746FCF" w:rsidRPr="007E5B4A" w:rsidRDefault="00746FCF" w:rsidP="00FB744F">
      <w:pPr>
        <w:pStyle w:val="FootnoteText"/>
        <w:rPr>
          <w:rFonts w:cstheme="minorHAnsi"/>
        </w:rPr>
      </w:pPr>
      <w:r w:rsidRPr="007E5B4A">
        <w:rPr>
          <w:rStyle w:val="FootnoteReference"/>
          <w:rFonts w:cstheme="minorHAnsi"/>
        </w:rPr>
        <w:footnoteRef/>
      </w:r>
      <w:r w:rsidRPr="007E5B4A">
        <w:rPr>
          <w:rFonts w:cstheme="minorHAnsi"/>
        </w:rPr>
        <w:t xml:space="preserve"> Australian Women Against Violence Alliance (AWAVA) and Equality Rights Alliance (ERA) 2017, Submission to the Productivity Commission Introducing Competition and Informed User Choice into Human Services Draft Report, P.5 </w:t>
      </w:r>
      <w:hyperlink r:id="rId1" w:history="1">
        <w:r w:rsidRPr="007E5B4A">
          <w:rPr>
            <w:rStyle w:val="Hyperlink"/>
            <w:rFonts w:cstheme="minorHAnsi"/>
          </w:rPr>
          <w:t>http://www.equalityrightsalliance.org.au/wp-content/uploads/2017/07/AWAVA-and-ERA-Submission-to-PC-Draft-Report-on-Human-Services-20170714.pdf</w:t>
        </w:r>
      </w:hyperlink>
      <w:r w:rsidRPr="007E5B4A">
        <w:rPr>
          <w:rFonts w:cstheme="minorHAnsi"/>
        </w:rPr>
        <w:t xml:space="preserve"> </w:t>
      </w:r>
    </w:p>
  </w:footnote>
  <w:footnote w:id="2">
    <w:p w14:paraId="508FE5A8" w14:textId="77777777" w:rsidR="00746FCF" w:rsidRPr="007E5B4A" w:rsidRDefault="00746FCF" w:rsidP="00FB744F">
      <w:pPr>
        <w:pStyle w:val="FootnoteText"/>
        <w:rPr>
          <w:rFonts w:cstheme="minorHAnsi"/>
        </w:rPr>
      </w:pPr>
      <w:r w:rsidRPr="007E5B4A">
        <w:rPr>
          <w:rStyle w:val="FootnoteReference"/>
          <w:rFonts w:cstheme="minorHAnsi"/>
        </w:rPr>
        <w:footnoteRef/>
      </w:r>
      <w:r w:rsidRPr="007E5B4A">
        <w:rPr>
          <w:rFonts w:cstheme="minorHAnsi"/>
        </w:rPr>
        <w:t xml:space="preserve"> Australian Institute of Health and Welfare 2015, Specialist Homelessness Services 2014-15: Clients, Services and Outcomes, Australian Government, Canberra </w:t>
      </w:r>
    </w:p>
    <w:p w14:paraId="3B6A3CAB" w14:textId="77777777" w:rsidR="00746FCF" w:rsidRPr="007E5B4A" w:rsidRDefault="00746FCF" w:rsidP="00FB744F">
      <w:pPr>
        <w:pStyle w:val="FootnoteText"/>
        <w:rPr>
          <w:rFonts w:cstheme="minorHAnsi"/>
        </w:rPr>
      </w:pPr>
      <w:r w:rsidRPr="007E5B4A">
        <w:rPr>
          <w:rFonts w:cstheme="minorHAnsi"/>
        </w:rPr>
        <w:t xml:space="preserve"> </w:t>
      </w:r>
      <w:hyperlink r:id="rId2" w:history="1">
        <w:r w:rsidRPr="007E5B4A">
          <w:rPr>
            <w:rStyle w:val="Hyperlink"/>
            <w:rFonts w:cstheme="minorHAnsi"/>
          </w:rPr>
          <w:t>http://www.aihw.gov.au/homelessness/specialist-homelessness-services-2014-15/clients-services-outcomes/</w:t>
        </w:r>
      </w:hyperlink>
      <w:r w:rsidRPr="007E5B4A">
        <w:rPr>
          <w:rFonts w:cstheme="minorHAnsi"/>
        </w:rPr>
        <w:t xml:space="preserve"> </w:t>
      </w:r>
    </w:p>
  </w:footnote>
  <w:footnote w:id="3">
    <w:p w14:paraId="7B44CFD3" w14:textId="03C37D65" w:rsidR="0028686D" w:rsidRDefault="0028686D">
      <w:pPr>
        <w:pStyle w:val="FootnoteText"/>
      </w:pPr>
      <w:r>
        <w:rPr>
          <w:rStyle w:val="FootnoteReference"/>
        </w:rPr>
        <w:footnoteRef/>
      </w:r>
      <w:r>
        <w:t xml:space="preserve"> </w:t>
      </w:r>
      <w:hyperlink r:id="rId3" w:history="1">
        <w:r w:rsidRPr="00827559">
          <w:rPr>
            <w:rStyle w:val="Hyperlink"/>
          </w:rPr>
          <w:t>https://www.aihw.gov.au/reports/australias-welfare/australias-welfare-2017-in-brief/contents/housing-and-homelessness</w:t>
        </w:r>
      </w:hyperlink>
    </w:p>
  </w:footnote>
  <w:footnote w:id="4">
    <w:p w14:paraId="229750D4" w14:textId="7C310BC4" w:rsidR="0028686D" w:rsidRDefault="0028686D">
      <w:pPr>
        <w:pStyle w:val="FootnoteText"/>
      </w:pPr>
      <w:r>
        <w:rPr>
          <w:rStyle w:val="FootnoteReference"/>
        </w:rPr>
        <w:footnoteRef/>
      </w:r>
      <w:r>
        <w:t xml:space="preserve"> Ibid.</w:t>
      </w:r>
    </w:p>
  </w:footnote>
  <w:footnote w:id="5">
    <w:p w14:paraId="1AACB439" w14:textId="125E283D" w:rsidR="00746FCF" w:rsidRPr="001705C3" w:rsidRDefault="00746FCF">
      <w:pPr>
        <w:pStyle w:val="FootnoteText"/>
        <w:rPr>
          <w:lang w:val="en-US"/>
        </w:rPr>
      </w:pPr>
      <w:r>
        <w:rPr>
          <w:rStyle w:val="FootnoteReference"/>
        </w:rPr>
        <w:footnoteRef/>
      </w:r>
      <w:r>
        <w:t xml:space="preserve"> </w:t>
      </w:r>
      <w:r w:rsidR="0028686D">
        <w:t>Ibid.</w:t>
      </w:r>
    </w:p>
  </w:footnote>
  <w:footnote w:id="6">
    <w:p w14:paraId="17AF47D0" w14:textId="2FF56535" w:rsidR="00746FCF" w:rsidRDefault="00746FCF">
      <w:pPr>
        <w:pStyle w:val="FootnoteText"/>
      </w:pPr>
      <w:r>
        <w:rPr>
          <w:rStyle w:val="FootnoteReference"/>
        </w:rPr>
        <w:footnoteRef/>
      </w:r>
      <w:r w:rsidRPr="00121BC7">
        <w:rPr>
          <w:rStyle w:val="Hyperlink"/>
        </w:rPr>
        <w:t xml:space="preserve"> </w:t>
      </w:r>
      <w:hyperlink r:id="rId4" w:tgtFrame="_blank" w:history="1">
        <w:r w:rsidRPr="00121BC7">
          <w:rPr>
            <w:rStyle w:val="Hyperlink"/>
          </w:rPr>
          <w:t>https://www.aihw.gov.au/reports/homelessness-services/specialist-homelessness-services-2016-17/contents/client-groups-of-interest/clients-who-have-experienced-domestic-and-family-violence</w:t>
        </w:r>
      </w:hyperlink>
      <w:r w:rsidR="00121BC7">
        <w:t xml:space="preserve"> </w:t>
      </w:r>
    </w:p>
  </w:footnote>
  <w:footnote w:id="7">
    <w:p w14:paraId="6AA1D770" w14:textId="4C1123F1" w:rsidR="00746FCF" w:rsidRDefault="00746FCF">
      <w:pPr>
        <w:pStyle w:val="FootnoteText"/>
      </w:pPr>
      <w:r>
        <w:rPr>
          <w:rStyle w:val="FootnoteReference"/>
        </w:rPr>
        <w:footnoteRef/>
      </w:r>
      <w:r>
        <w:t xml:space="preserve"> </w:t>
      </w:r>
      <w:r w:rsidRPr="00746FCF">
        <w:t>https://www.aihw.gov.au/reports/homelessness-services/specialist-homelessness-services-2016-17/contents/unmet-demand-for-specialist-homelessness-services</w:t>
      </w:r>
    </w:p>
  </w:footnote>
  <w:footnote w:id="8">
    <w:p w14:paraId="7F7E5043" w14:textId="5474555A" w:rsidR="00746FCF" w:rsidRDefault="00746FCF">
      <w:pPr>
        <w:pStyle w:val="FootnoteText"/>
      </w:pPr>
      <w:r>
        <w:rPr>
          <w:rStyle w:val="FootnoteReference"/>
        </w:rPr>
        <w:footnoteRef/>
      </w:r>
      <w:r>
        <w:t xml:space="preserve"> </w:t>
      </w:r>
      <w:r w:rsidRPr="00746FCF">
        <w:t>https://www.aihw.gov.au/reports/homelessness-services/specialist-homelessness-services-2016-17/contents/unmet-demand-for-specialist-homelessness-services</w:t>
      </w:r>
    </w:p>
  </w:footnote>
  <w:footnote w:id="9">
    <w:p w14:paraId="229092B4" w14:textId="66C3E8B0" w:rsidR="00EF4BD4" w:rsidRDefault="00EF4BD4">
      <w:pPr>
        <w:pStyle w:val="FootnoteText"/>
      </w:pPr>
      <w:r>
        <w:rPr>
          <w:rStyle w:val="FootnoteReference"/>
        </w:rPr>
        <w:footnoteRef/>
      </w:r>
      <w:r>
        <w:t xml:space="preserve"> </w:t>
      </w:r>
      <w:hyperlink r:id="rId5" w:history="1">
        <w:r w:rsidRPr="00827559">
          <w:rPr>
            <w:rStyle w:val="Hyperlink"/>
          </w:rPr>
          <w:t>https://awava.org.au/2017/10/12/submissions/era-awava-letter-state-territory-governments-re-gender-responsive-national-housing-homelessness-agreement</w:t>
        </w:r>
      </w:hyperlink>
    </w:p>
  </w:footnote>
  <w:footnote w:id="10">
    <w:p w14:paraId="33DED4C6" w14:textId="77777777" w:rsidR="00746FCF" w:rsidRPr="007E5B4A" w:rsidRDefault="00746FCF" w:rsidP="009F2EEC">
      <w:pPr>
        <w:pStyle w:val="FootnoteText"/>
        <w:rPr>
          <w:rFonts w:cstheme="minorHAnsi"/>
        </w:rPr>
      </w:pPr>
      <w:r w:rsidRPr="007E5B4A">
        <w:rPr>
          <w:rStyle w:val="FootnoteReference"/>
          <w:rFonts w:cstheme="minorHAnsi"/>
        </w:rPr>
        <w:footnoteRef/>
      </w:r>
      <w:r w:rsidRPr="007E5B4A">
        <w:rPr>
          <w:rFonts w:cstheme="minorHAnsi"/>
        </w:rPr>
        <w:t xml:space="preserve"> NSW Housing and Homelessness peaks- Statement on the confirmation of Commonwealth funding, July 2017 </w:t>
      </w:r>
      <w:hyperlink r:id="rId6" w:history="1">
        <w:r w:rsidRPr="007E5B4A">
          <w:rPr>
            <w:rStyle w:val="Hyperlink"/>
            <w:rFonts w:cstheme="minorHAnsi"/>
          </w:rPr>
          <w:t>https://files.tenants.org.au/resources/2017-NSW-Housing-and-Homelessness-peaks-Statement-on-the-confirmation-of-Commonwealth-funding</w:t>
        </w:r>
      </w:hyperlink>
      <w:r w:rsidRPr="007E5B4A">
        <w:rPr>
          <w:rFonts w:cstheme="minorHAnsi"/>
        </w:rPr>
        <w:t xml:space="preserve"> </w:t>
      </w:r>
    </w:p>
  </w:footnote>
  <w:footnote w:id="11">
    <w:p w14:paraId="069580C8" w14:textId="77777777" w:rsidR="00746FCF" w:rsidRPr="007E5B4A" w:rsidRDefault="00746FCF" w:rsidP="009F2EEC">
      <w:pPr>
        <w:pStyle w:val="FootnoteText"/>
        <w:rPr>
          <w:rFonts w:cstheme="minorHAnsi"/>
        </w:rPr>
      </w:pPr>
      <w:r w:rsidRPr="007E5B4A">
        <w:rPr>
          <w:rStyle w:val="FootnoteReference"/>
          <w:rFonts w:cstheme="minorHAnsi"/>
        </w:rPr>
        <w:footnoteRef/>
      </w:r>
      <w:r w:rsidRPr="007E5B4A">
        <w:rPr>
          <w:rFonts w:cstheme="minorHAnsi"/>
        </w:rPr>
        <w:t xml:space="preserve"> Australian Women Against Violence Alliance, 2017, Pre-Budget Submission, 19 January, </w:t>
      </w:r>
      <w:hyperlink r:id="rId7" w:history="1">
        <w:r w:rsidRPr="007E5B4A">
          <w:rPr>
            <w:rStyle w:val="Hyperlink"/>
            <w:rFonts w:cstheme="minorHAnsi"/>
          </w:rPr>
          <w:t>https://static.treasury.gov.au/uploads/sites/1/2017/06/C2016-052_Australian-Women-Against-Violence-Alliance.pdf</w:t>
        </w:r>
      </w:hyperlink>
      <w:r w:rsidRPr="007E5B4A">
        <w:rPr>
          <w:rFonts w:cstheme="minorHAnsi"/>
        </w:rPr>
        <w:t xml:space="preserve"> </w:t>
      </w:r>
    </w:p>
  </w:footnote>
  <w:footnote w:id="12">
    <w:p w14:paraId="3EE0593B" w14:textId="77777777" w:rsidR="00FB744F" w:rsidRDefault="00FB744F" w:rsidP="009F2EEC">
      <w:pPr>
        <w:pStyle w:val="FootnoteText"/>
      </w:pPr>
      <w:r>
        <w:rPr>
          <w:rStyle w:val="FootnoteReference"/>
        </w:rPr>
        <w:footnoteRef/>
      </w:r>
      <w:r>
        <w:t xml:space="preserve"> </w:t>
      </w:r>
      <w:r w:rsidRPr="00C90995">
        <w:t>https://www.dss.gov.au/women/programs-services/reducing-violence/third-action-plan</w:t>
      </w:r>
    </w:p>
  </w:footnote>
  <w:footnote w:id="13">
    <w:p w14:paraId="10AA4966" w14:textId="2686ABC7" w:rsidR="0028686D" w:rsidRDefault="0028686D">
      <w:pPr>
        <w:pStyle w:val="FootnoteText"/>
      </w:pPr>
      <w:r>
        <w:rPr>
          <w:rStyle w:val="FootnoteReference"/>
        </w:rPr>
        <w:footnoteRef/>
      </w:r>
      <w:r>
        <w:t xml:space="preserve"> </w:t>
      </w:r>
      <w:hyperlink r:id="rId8" w:history="1">
        <w:r w:rsidRPr="00827559">
          <w:rPr>
            <w:rStyle w:val="Hyperlink"/>
          </w:rPr>
          <w:t>http://chp.org.au/news-and-events/enewsletters/sector-bulletin-1-november-national-housing-homelessness-agreement-nhha/</w:t>
        </w:r>
      </w:hyperlink>
      <w:r>
        <w:t xml:space="preserve"> </w:t>
      </w:r>
    </w:p>
  </w:footnote>
  <w:footnote w:id="14">
    <w:p w14:paraId="208A9FB7" w14:textId="3235A6EE" w:rsidR="0028686D" w:rsidRDefault="0028686D">
      <w:pPr>
        <w:pStyle w:val="FootnoteText"/>
      </w:pPr>
      <w:r>
        <w:rPr>
          <w:rStyle w:val="FootnoteReference"/>
        </w:rPr>
        <w:footnoteRef/>
      </w:r>
      <w:r>
        <w:t xml:space="preserve"> </w:t>
      </w:r>
      <w:hyperlink r:id="rId9" w:history="1">
        <w:r w:rsidRPr="00827559">
          <w:rPr>
            <w:rStyle w:val="Hyperlink"/>
          </w:rPr>
          <w:t>https://awava.org.au/2017/10/12/submissions/era-awava-letter-state-territory-governments-re-gender-responsive-national-housing-homelessness-agreement</w:t>
        </w:r>
      </w:hyperlink>
      <w:r>
        <w:t xml:space="preserve"> </w:t>
      </w:r>
    </w:p>
  </w:footnote>
  <w:footnote w:id="15">
    <w:p w14:paraId="3FCBF09E" w14:textId="77777777" w:rsidR="00FB744F" w:rsidRDefault="00FB744F" w:rsidP="009F2EEC">
      <w:pPr>
        <w:pStyle w:val="FootnoteText"/>
      </w:pPr>
      <w:r>
        <w:rPr>
          <w:rStyle w:val="FootnoteReference"/>
        </w:rPr>
        <w:footnoteRef/>
      </w:r>
      <w:r>
        <w:t xml:space="preserve"> </w:t>
      </w:r>
      <w:hyperlink r:id="rId10" w:history="1">
        <w:r w:rsidRPr="00F230CD">
          <w:rPr>
            <w:rStyle w:val="Hyperlink"/>
          </w:rPr>
          <w:t>https://awava.org.au/2017/08/10/research/brochure-unique-role-specialist-womens-services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D2BA" w14:textId="60F4B2D1" w:rsidR="00FB744F" w:rsidRDefault="00FB744F">
    <w:pPr>
      <w:pStyle w:val="Header"/>
    </w:pPr>
    <w:r>
      <w:rPr>
        <w:noProof/>
        <w:lang w:eastAsia="en-AU"/>
      </w:rPr>
      <w:drawing>
        <wp:anchor distT="0" distB="0" distL="114300" distR="114300" simplePos="0" relativeHeight="251658240" behindDoc="0" locked="0" layoutInCell="1" allowOverlap="1" wp14:anchorId="64851FF2" wp14:editId="62277AAE">
          <wp:simplePos x="0" y="0"/>
          <wp:positionH relativeFrom="column">
            <wp:posOffset>-923925</wp:posOffset>
          </wp:positionH>
          <wp:positionV relativeFrom="paragraph">
            <wp:posOffset>-478790</wp:posOffset>
          </wp:positionV>
          <wp:extent cx="7543800" cy="1752600"/>
          <wp:effectExtent l="0" t="0" r="0" b="0"/>
          <wp:wrapThrough wrapText="bothSides">
            <wp:wrapPolygon edited="0">
              <wp:start x="0" y="0"/>
              <wp:lineTo x="0" y="21365"/>
              <wp:lineTo x="21545" y="21365"/>
              <wp:lineTo x="21545" y="0"/>
              <wp:lineTo x="0" y="0"/>
            </wp:wrapPolygon>
          </wp:wrapThrough>
          <wp:docPr id="1" name="Picture 1" descr="Wordpress AWAVA Banner.jpg"/>
          <wp:cNvGraphicFramePr/>
          <a:graphic xmlns:a="http://schemas.openxmlformats.org/drawingml/2006/main">
            <a:graphicData uri="http://schemas.openxmlformats.org/drawingml/2006/picture">
              <pic:pic xmlns:pic="http://schemas.openxmlformats.org/drawingml/2006/picture">
                <pic:nvPicPr>
                  <pic:cNvPr id="2" name="Picture 2" descr="Wordpress AWAVA Banner.jpg"/>
                  <pic:cNvPicPr/>
                </pic:nvPicPr>
                <pic:blipFill>
                  <a:blip r:embed="rId1" cstate="print">
                    <a:extLst>
                      <a:ext uri="{28A0092B-C50C-407E-A947-70E740481C1C}">
                        <a14:useLocalDpi xmlns:a14="http://schemas.microsoft.com/office/drawing/2010/main" val="0"/>
                      </a:ext>
                    </a:extLst>
                  </a:blip>
                  <a:srcRect t="20148" r="3958" b="19802"/>
                  <a:stretch>
                    <a:fillRect/>
                  </a:stretch>
                </pic:blipFill>
                <pic:spPr>
                  <a:xfrm>
                    <a:off x="0" y="0"/>
                    <a:ext cx="7543800" cy="1752600"/>
                  </a:xfrm>
                  <a:prstGeom prst="rect">
                    <a:avLst/>
                  </a:prstGeom>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5FA"/>
    <w:multiLevelType w:val="hybridMultilevel"/>
    <w:tmpl w:val="77986904"/>
    <w:lvl w:ilvl="0" w:tplc="95A68B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B439C"/>
    <w:multiLevelType w:val="hybridMultilevel"/>
    <w:tmpl w:val="186C5494"/>
    <w:lvl w:ilvl="0" w:tplc="5BFE962C">
      <w:start w:val="11"/>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14367F84"/>
    <w:multiLevelType w:val="hybridMultilevel"/>
    <w:tmpl w:val="97921F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8E5611"/>
    <w:multiLevelType w:val="multilevel"/>
    <w:tmpl w:val="1C8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A2B2F"/>
    <w:multiLevelType w:val="hybridMultilevel"/>
    <w:tmpl w:val="C31C80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80793"/>
    <w:multiLevelType w:val="multilevel"/>
    <w:tmpl w:val="A720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73062"/>
    <w:multiLevelType w:val="multilevel"/>
    <w:tmpl w:val="AD6A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B5BF2"/>
    <w:multiLevelType w:val="hybridMultilevel"/>
    <w:tmpl w:val="81A04DC0"/>
    <w:lvl w:ilvl="0" w:tplc="86BEB51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4F4DCE"/>
    <w:multiLevelType w:val="hybridMultilevel"/>
    <w:tmpl w:val="4F224518"/>
    <w:lvl w:ilvl="0" w:tplc="60EE29E4">
      <w:numFmt w:val="bullet"/>
      <w:lvlText w:val="-"/>
      <w:lvlJc w:val="left"/>
      <w:pPr>
        <w:ind w:left="720" w:hanging="360"/>
      </w:pPr>
      <w:rPr>
        <w:rFonts w:ascii="inherit" w:eastAsiaTheme="minorHAnsi" w:hAnsi="inheri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22432A"/>
    <w:multiLevelType w:val="multilevel"/>
    <w:tmpl w:val="B72A5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D06607C"/>
    <w:multiLevelType w:val="multilevel"/>
    <w:tmpl w:val="941EE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1D832BC"/>
    <w:multiLevelType w:val="hybridMultilevel"/>
    <w:tmpl w:val="3CF4BD5E"/>
    <w:lvl w:ilvl="0" w:tplc="2ECE075C">
      <w:start w:val="1"/>
      <w:numFmt w:val="decimal"/>
      <w:lvlText w:val="%1."/>
      <w:lvlJc w:val="left"/>
      <w:pPr>
        <w:ind w:left="720" w:hanging="360"/>
      </w:pPr>
      <w:rPr>
        <w:rFonts w:ascii="Calibri" w:eastAsia="Times New Roman" w:hAnsi="Calibr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95765"/>
    <w:multiLevelType w:val="multilevel"/>
    <w:tmpl w:val="230E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5255D"/>
    <w:multiLevelType w:val="hybridMultilevel"/>
    <w:tmpl w:val="55D2B6A0"/>
    <w:lvl w:ilvl="0" w:tplc="60EE29E4">
      <w:numFmt w:val="bullet"/>
      <w:lvlText w:val="-"/>
      <w:lvlJc w:val="left"/>
      <w:pPr>
        <w:ind w:left="720" w:hanging="360"/>
      </w:pPr>
      <w:rPr>
        <w:rFonts w:ascii="inherit" w:eastAsiaTheme="minorHAnsi" w:hAnsi="inheri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101CE6"/>
    <w:multiLevelType w:val="hybridMultilevel"/>
    <w:tmpl w:val="C0DA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7587E"/>
    <w:multiLevelType w:val="multilevel"/>
    <w:tmpl w:val="43AC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7D658C"/>
    <w:multiLevelType w:val="multilevel"/>
    <w:tmpl w:val="E0D6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10"/>
  </w:num>
  <w:num w:numId="5">
    <w:abstractNumId w:val="13"/>
  </w:num>
  <w:num w:numId="6">
    <w:abstractNumId w:val="2"/>
  </w:num>
  <w:num w:numId="7">
    <w:abstractNumId w:val="8"/>
  </w:num>
  <w:num w:numId="8">
    <w:abstractNumId w:val="8"/>
  </w:num>
  <w:num w:numId="9">
    <w:abstractNumId w:val="12"/>
  </w:num>
  <w:num w:numId="10">
    <w:abstractNumId w:val="16"/>
  </w:num>
  <w:num w:numId="11">
    <w:abstractNumId w:val="6"/>
  </w:num>
  <w:num w:numId="12">
    <w:abstractNumId w:val="1"/>
  </w:num>
  <w:num w:numId="13">
    <w:abstractNumId w:val="7"/>
  </w:num>
  <w:num w:numId="14">
    <w:abstractNumId w:val="0"/>
  </w:num>
  <w:num w:numId="15">
    <w:abstractNumId w:val="11"/>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C2"/>
    <w:rsid w:val="00065CE4"/>
    <w:rsid w:val="00093084"/>
    <w:rsid w:val="00094D15"/>
    <w:rsid w:val="000E5C3A"/>
    <w:rsid w:val="000E77CB"/>
    <w:rsid w:val="00121BC7"/>
    <w:rsid w:val="00125AA8"/>
    <w:rsid w:val="00143B8E"/>
    <w:rsid w:val="001705C3"/>
    <w:rsid w:val="00172177"/>
    <w:rsid w:val="00174F3D"/>
    <w:rsid w:val="00191392"/>
    <w:rsid w:val="00197E00"/>
    <w:rsid w:val="001E71D2"/>
    <w:rsid w:val="00246D08"/>
    <w:rsid w:val="0028686D"/>
    <w:rsid w:val="00287EF8"/>
    <w:rsid w:val="0029511C"/>
    <w:rsid w:val="002B541C"/>
    <w:rsid w:val="002B7869"/>
    <w:rsid w:val="002C4D84"/>
    <w:rsid w:val="00331851"/>
    <w:rsid w:val="00331D6E"/>
    <w:rsid w:val="00340F68"/>
    <w:rsid w:val="00377EFF"/>
    <w:rsid w:val="003E064A"/>
    <w:rsid w:val="003E5EE0"/>
    <w:rsid w:val="00400DA3"/>
    <w:rsid w:val="00405242"/>
    <w:rsid w:val="00410189"/>
    <w:rsid w:val="004216A2"/>
    <w:rsid w:val="00422068"/>
    <w:rsid w:val="004405E4"/>
    <w:rsid w:val="0045746B"/>
    <w:rsid w:val="004774B4"/>
    <w:rsid w:val="00483A1C"/>
    <w:rsid w:val="004A54A0"/>
    <w:rsid w:val="004E1D9B"/>
    <w:rsid w:val="00524C48"/>
    <w:rsid w:val="00540720"/>
    <w:rsid w:val="005B3E40"/>
    <w:rsid w:val="005B7310"/>
    <w:rsid w:val="00633251"/>
    <w:rsid w:val="00641950"/>
    <w:rsid w:val="0064330A"/>
    <w:rsid w:val="00684773"/>
    <w:rsid w:val="006D12E8"/>
    <w:rsid w:val="006D39E3"/>
    <w:rsid w:val="006D4083"/>
    <w:rsid w:val="006E56C9"/>
    <w:rsid w:val="007164BF"/>
    <w:rsid w:val="00733804"/>
    <w:rsid w:val="00746FCF"/>
    <w:rsid w:val="0078709A"/>
    <w:rsid w:val="008120DD"/>
    <w:rsid w:val="00821E14"/>
    <w:rsid w:val="0083067E"/>
    <w:rsid w:val="00847140"/>
    <w:rsid w:val="00886BAB"/>
    <w:rsid w:val="008C2BEE"/>
    <w:rsid w:val="008C4F13"/>
    <w:rsid w:val="008F01C2"/>
    <w:rsid w:val="008F0DF8"/>
    <w:rsid w:val="008F2031"/>
    <w:rsid w:val="009837A2"/>
    <w:rsid w:val="009A4D24"/>
    <w:rsid w:val="009C7D92"/>
    <w:rsid w:val="009D7915"/>
    <w:rsid w:val="009E00AC"/>
    <w:rsid w:val="009F1BAE"/>
    <w:rsid w:val="009F2EEC"/>
    <w:rsid w:val="00A6489F"/>
    <w:rsid w:val="00AB04E2"/>
    <w:rsid w:val="00AB19D9"/>
    <w:rsid w:val="00AC39E8"/>
    <w:rsid w:val="00AE1BB6"/>
    <w:rsid w:val="00AE3636"/>
    <w:rsid w:val="00B1210D"/>
    <w:rsid w:val="00B52DBB"/>
    <w:rsid w:val="00B567B3"/>
    <w:rsid w:val="00B604CF"/>
    <w:rsid w:val="00B76DE0"/>
    <w:rsid w:val="00B82EF7"/>
    <w:rsid w:val="00BD41E2"/>
    <w:rsid w:val="00BD5D62"/>
    <w:rsid w:val="00BD6FF0"/>
    <w:rsid w:val="00BE3313"/>
    <w:rsid w:val="00C05B6D"/>
    <w:rsid w:val="00C061CC"/>
    <w:rsid w:val="00C20688"/>
    <w:rsid w:val="00C21238"/>
    <w:rsid w:val="00C301CC"/>
    <w:rsid w:val="00C51C4B"/>
    <w:rsid w:val="00C848D5"/>
    <w:rsid w:val="00CB3C78"/>
    <w:rsid w:val="00CC555C"/>
    <w:rsid w:val="00CE7EE2"/>
    <w:rsid w:val="00CF0732"/>
    <w:rsid w:val="00CF46FF"/>
    <w:rsid w:val="00D159CC"/>
    <w:rsid w:val="00DF2F15"/>
    <w:rsid w:val="00E555F5"/>
    <w:rsid w:val="00E603A7"/>
    <w:rsid w:val="00E865B3"/>
    <w:rsid w:val="00E87F1B"/>
    <w:rsid w:val="00EA2B29"/>
    <w:rsid w:val="00EB5802"/>
    <w:rsid w:val="00EE05EC"/>
    <w:rsid w:val="00EF4BD4"/>
    <w:rsid w:val="00F176F4"/>
    <w:rsid w:val="00F71303"/>
    <w:rsid w:val="00FB744F"/>
    <w:rsid w:val="00FC0B25"/>
    <w:rsid w:val="00FC5F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764A65"/>
  <w15:docId w15:val="{0A7D0BCE-3140-48AA-B552-98B9F664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D9"/>
  </w:style>
  <w:style w:type="paragraph" w:styleId="Heading1">
    <w:name w:val="heading 1"/>
    <w:basedOn w:val="Normal"/>
    <w:link w:val="Heading1Char"/>
    <w:uiPriority w:val="9"/>
    <w:qFormat/>
    <w:rsid w:val="008F01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6E56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7F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1C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8F01C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E87F1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87F1B"/>
    <w:rPr>
      <w:color w:val="0000FF"/>
      <w:u w:val="single"/>
    </w:rPr>
  </w:style>
  <w:style w:type="character" w:styleId="Strong">
    <w:name w:val="Strong"/>
    <w:basedOn w:val="DefaultParagraphFont"/>
    <w:uiPriority w:val="22"/>
    <w:qFormat/>
    <w:rsid w:val="00E87F1B"/>
    <w:rPr>
      <w:b/>
      <w:bCs/>
    </w:rPr>
  </w:style>
  <w:style w:type="paragraph" w:styleId="ListParagraph">
    <w:name w:val="List Paragraph"/>
    <w:basedOn w:val="Normal"/>
    <w:uiPriority w:val="34"/>
    <w:qFormat/>
    <w:rsid w:val="00C51C4B"/>
    <w:pPr>
      <w:ind w:left="720"/>
      <w:contextualSpacing/>
    </w:pPr>
  </w:style>
  <w:style w:type="paragraph" w:customStyle="1" w:styleId="m3983505539442945671gmail-ueberschrpara">
    <w:name w:val="m_3983505539442945671gmail-ueberschrpara"/>
    <w:basedOn w:val="Normal"/>
    <w:rsid w:val="009C7D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3983505539442945671gmail-abs">
    <w:name w:val="m_3983505539442945671gmail-abs"/>
    <w:basedOn w:val="Normal"/>
    <w:rsid w:val="009C7D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3983505539442945671gmail-gldsymbol">
    <w:name w:val="m_3983505539442945671gmail-gldsymbol"/>
    <w:basedOn w:val="DefaultParagraphFont"/>
    <w:rsid w:val="009C7D92"/>
  </w:style>
  <w:style w:type="paragraph" w:customStyle="1" w:styleId="m3983505539442945671gmail-ziffere1">
    <w:name w:val="m_3983505539442945671gmail-ziffere1"/>
    <w:basedOn w:val="Normal"/>
    <w:rsid w:val="009C7D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3983505539442945671gmail-schlussteilabs">
    <w:name w:val="m_3983505539442945671gmail-schlussteilabs"/>
    <w:basedOn w:val="Normal"/>
    <w:rsid w:val="009C7D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aliases w:val="FN,fn,Footnote Text Char Char,Footnote Text Char1 Char Char,Footnote Text Char Char Char Char,Footnote Text Char Char1,Footnote Text Char1 Char,Footnote Text Char Char Char,Footnote ak,Ca,Footnote Text Char1"/>
    <w:basedOn w:val="Normal"/>
    <w:link w:val="FootnoteTextChar"/>
    <w:uiPriority w:val="99"/>
    <w:unhideWhenUsed/>
    <w:qFormat/>
    <w:rsid w:val="004774B4"/>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Footnote ak Char"/>
    <w:basedOn w:val="DefaultParagraphFont"/>
    <w:link w:val="FootnoteText"/>
    <w:uiPriority w:val="99"/>
    <w:rsid w:val="004774B4"/>
    <w:rPr>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4774B4"/>
    <w:rPr>
      <w:vertAlign w:val="superscript"/>
    </w:rPr>
  </w:style>
  <w:style w:type="character" w:customStyle="1" w:styleId="Heading2Char">
    <w:name w:val="Heading 2 Char"/>
    <w:basedOn w:val="DefaultParagraphFont"/>
    <w:link w:val="Heading2"/>
    <w:uiPriority w:val="9"/>
    <w:rsid w:val="006E56C9"/>
    <w:rPr>
      <w:rFonts w:asciiTheme="majorHAnsi" w:eastAsiaTheme="majorEastAsia" w:hAnsiTheme="majorHAnsi" w:cstheme="majorBidi"/>
      <w:color w:val="2E74B5" w:themeColor="accent1" w:themeShade="BF"/>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E1D9B"/>
    <w:pPr>
      <w:spacing w:before="120" w:after="120" w:line="240" w:lineRule="exact"/>
      <w:jc w:val="both"/>
    </w:pPr>
    <w:rPr>
      <w:vertAlign w:val="superscript"/>
    </w:rPr>
  </w:style>
  <w:style w:type="paragraph" w:styleId="Header">
    <w:name w:val="header"/>
    <w:basedOn w:val="Normal"/>
    <w:link w:val="HeaderChar"/>
    <w:uiPriority w:val="99"/>
    <w:unhideWhenUsed/>
    <w:rsid w:val="00125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AA8"/>
  </w:style>
  <w:style w:type="paragraph" w:styleId="Footer">
    <w:name w:val="footer"/>
    <w:basedOn w:val="Normal"/>
    <w:link w:val="FooterChar"/>
    <w:uiPriority w:val="99"/>
    <w:unhideWhenUsed/>
    <w:rsid w:val="00125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AA8"/>
  </w:style>
  <w:style w:type="paragraph" w:styleId="NoSpacing">
    <w:name w:val="No Spacing"/>
    <w:uiPriority w:val="1"/>
    <w:qFormat/>
    <w:rsid w:val="00125AA8"/>
    <w:pPr>
      <w:spacing w:after="0" w:line="240" w:lineRule="auto"/>
    </w:pPr>
  </w:style>
  <w:style w:type="character" w:styleId="CommentReference">
    <w:name w:val="annotation reference"/>
    <w:basedOn w:val="DefaultParagraphFont"/>
    <w:uiPriority w:val="99"/>
    <w:semiHidden/>
    <w:unhideWhenUsed/>
    <w:rsid w:val="008120DD"/>
    <w:rPr>
      <w:sz w:val="16"/>
      <w:szCs w:val="16"/>
    </w:rPr>
  </w:style>
  <w:style w:type="paragraph" w:styleId="CommentText">
    <w:name w:val="annotation text"/>
    <w:basedOn w:val="Normal"/>
    <w:link w:val="CommentTextChar"/>
    <w:uiPriority w:val="99"/>
    <w:unhideWhenUsed/>
    <w:rsid w:val="008120DD"/>
    <w:pPr>
      <w:spacing w:line="240" w:lineRule="auto"/>
    </w:pPr>
    <w:rPr>
      <w:sz w:val="20"/>
      <w:szCs w:val="20"/>
    </w:rPr>
  </w:style>
  <w:style w:type="character" w:customStyle="1" w:styleId="CommentTextChar">
    <w:name w:val="Comment Text Char"/>
    <w:basedOn w:val="DefaultParagraphFont"/>
    <w:link w:val="CommentText"/>
    <w:uiPriority w:val="99"/>
    <w:rsid w:val="008120DD"/>
    <w:rPr>
      <w:sz w:val="20"/>
      <w:szCs w:val="20"/>
    </w:rPr>
  </w:style>
  <w:style w:type="paragraph" w:styleId="CommentSubject">
    <w:name w:val="annotation subject"/>
    <w:basedOn w:val="CommentText"/>
    <w:next w:val="CommentText"/>
    <w:link w:val="CommentSubjectChar"/>
    <w:uiPriority w:val="99"/>
    <w:semiHidden/>
    <w:unhideWhenUsed/>
    <w:rsid w:val="008120DD"/>
    <w:rPr>
      <w:b/>
      <w:bCs/>
    </w:rPr>
  </w:style>
  <w:style w:type="character" w:customStyle="1" w:styleId="CommentSubjectChar">
    <w:name w:val="Comment Subject Char"/>
    <w:basedOn w:val="CommentTextChar"/>
    <w:link w:val="CommentSubject"/>
    <w:uiPriority w:val="99"/>
    <w:semiHidden/>
    <w:rsid w:val="008120DD"/>
    <w:rPr>
      <w:b/>
      <w:bCs/>
      <w:sz w:val="20"/>
      <w:szCs w:val="20"/>
    </w:rPr>
  </w:style>
  <w:style w:type="paragraph" w:styleId="BalloonText">
    <w:name w:val="Balloon Text"/>
    <w:basedOn w:val="Normal"/>
    <w:link w:val="BalloonTextChar"/>
    <w:uiPriority w:val="99"/>
    <w:semiHidden/>
    <w:unhideWhenUsed/>
    <w:rsid w:val="00812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0DD"/>
    <w:rPr>
      <w:rFonts w:ascii="Segoe UI" w:hAnsi="Segoe UI" w:cs="Segoe UI"/>
      <w:sz w:val="18"/>
      <w:szCs w:val="18"/>
    </w:rPr>
  </w:style>
  <w:style w:type="character" w:styleId="FollowedHyperlink">
    <w:name w:val="FollowedHyperlink"/>
    <w:basedOn w:val="DefaultParagraphFont"/>
    <w:uiPriority w:val="99"/>
    <w:semiHidden/>
    <w:unhideWhenUsed/>
    <w:rsid w:val="00684773"/>
    <w:rPr>
      <w:color w:val="954F72" w:themeColor="followedHyperlink"/>
      <w:u w:val="single"/>
    </w:rPr>
  </w:style>
  <w:style w:type="paragraph" w:styleId="EndnoteText">
    <w:name w:val="endnote text"/>
    <w:basedOn w:val="Normal"/>
    <w:link w:val="EndnoteTextChar"/>
    <w:uiPriority w:val="99"/>
    <w:unhideWhenUsed/>
    <w:rsid w:val="009F2EEC"/>
    <w:pPr>
      <w:spacing w:after="0" w:line="240" w:lineRule="auto"/>
    </w:pPr>
    <w:rPr>
      <w:sz w:val="20"/>
      <w:szCs w:val="20"/>
    </w:rPr>
  </w:style>
  <w:style w:type="character" w:customStyle="1" w:styleId="EndnoteTextChar">
    <w:name w:val="Endnote Text Char"/>
    <w:basedOn w:val="DefaultParagraphFont"/>
    <w:link w:val="EndnoteText"/>
    <w:uiPriority w:val="99"/>
    <w:rsid w:val="009F2EEC"/>
    <w:rPr>
      <w:sz w:val="20"/>
      <w:szCs w:val="20"/>
    </w:rPr>
  </w:style>
  <w:style w:type="character" w:styleId="EndnoteReference">
    <w:name w:val="endnote reference"/>
    <w:basedOn w:val="DefaultParagraphFont"/>
    <w:uiPriority w:val="99"/>
    <w:semiHidden/>
    <w:unhideWhenUsed/>
    <w:rsid w:val="009F2EEC"/>
    <w:rPr>
      <w:vertAlign w:val="superscript"/>
    </w:rPr>
  </w:style>
  <w:style w:type="table" w:styleId="LightShading-Accent3">
    <w:name w:val="Light Shading Accent 3"/>
    <w:basedOn w:val="TableNormal"/>
    <w:uiPriority w:val="60"/>
    <w:rsid w:val="009F2EE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7039">
      <w:bodyDiv w:val="1"/>
      <w:marLeft w:val="0"/>
      <w:marRight w:val="0"/>
      <w:marTop w:val="0"/>
      <w:marBottom w:val="0"/>
      <w:divBdr>
        <w:top w:val="none" w:sz="0" w:space="0" w:color="auto"/>
        <w:left w:val="none" w:sz="0" w:space="0" w:color="auto"/>
        <w:bottom w:val="none" w:sz="0" w:space="0" w:color="auto"/>
        <w:right w:val="none" w:sz="0" w:space="0" w:color="auto"/>
      </w:divBdr>
    </w:div>
    <w:div w:id="49304527">
      <w:bodyDiv w:val="1"/>
      <w:marLeft w:val="0"/>
      <w:marRight w:val="0"/>
      <w:marTop w:val="0"/>
      <w:marBottom w:val="0"/>
      <w:divBdr>
        <w:top w:val="none" w:sz="0" w:space="0" w:color="auto"/>
        <w:left w:val="none" w:sz="0" w:space="0" w:color="auto"/>
        <w:bottom w:val="none" w:sz="0" w:space="0" w:color="auto"/>
        <w:right w:val="none" w:sz="0" w:space="0" w:color="auto"/>
      </w:divBdr>
      <w:divsChild>
        <w:div w:id="1270164902">
          <w:marLeft w:val="0"/>
          <w:marRight w:val="0"/>
          <w:marTop w:val="240"/>
          <w:marBottom w:val="0"/>
          <w:divBdr>
            <w:top w:val="none" w:sz="0" w:space="0" w:color="auto"/>
            <w:left w:val="none" w:sz="0" w:space="0" w:color="auto"/>
            <w:bottom w:val="none" w:sz="0" w:space="0" w:color="auto"/>
            <w:right w:val="none" w:sz="0" w:space="0" w:color="auto"/>
          </w:divBdr>
        </w:div>
        <w:div w:id="1223372268">
          <w:marLeft w:val="0"/>
          <w:marRight w:val="0"/>
          <w:marTop w:val="240"/>
          <w:marBottom w:val="0"/>
          <w:divBdr>
            <w:top w:val="none" w:sz="0" w:space="0" w:color="auto"/>
            <w:left w:val="none" w:sz="0" w:space="0" w:color="auto"/>
            <w:bottom w:val="none" w:sz="0" w:space="0" w:color="auto"/>
            <w:right w:val="none" w:sz="0" w:space="0" w:color="auto"/>
          </w:divBdr>
        </w:div>
        <w:div w:id="646054563">
          <w:marLeft w:val="0"/>
          <w:marRight w:val="0"/>
          <w:marTop w:val="240"/>
          <w:marBottom w:val="0"/>
          <w:divBdr>
            <w:top w:val="none" w:sz="0" w:space="0" w:color="auto"/>
            <w:left w:val="none" w:sz="0" w:space="0" w:color="auto"/>
            <w:bottom w:val="none" w:sz="0" w:space="0" w:color="auto"/>
            <w:right w:val="none" w:sz="0" w:space="0" w:color="auto"/>
          </w:divBdr>
          <w:divsChild>
            <w:div w:id="1217738988">
              <w:marLeft w:val="0"/>
              <w:marRight w:val="480"/>
              <w:marTop w:val="0"/>
              <w:marBottom w:val="0"/>
              <w:divBdr>
                <w:top w:val="none" w:sz="0" w:space="0" w:color="auto"/>
                <w:left w:val="none" w:sz="0" w:space="0" w:color="auto"/>
                <w:bottom w:val="none" w:sz="0" w:space="0" w:color="auto"/>
                <w:right w:val="none" w:sz="0" w:space="0" w:color="auto"/>
              </w:divBdr>
            </w:div>
            <w:div w:id="1380863940">
              <w:marLeft w:val="0"/>
              <w:marRight w:val="480"/>
              <w:marTop w:val="0"/>
              <w:marBottom w:val="0"/>
              <w:divBdr>
                <w:top w:val="none" w:sz="0" w:space="0" w:color="auto"/>
                <w:left w:val="none" w:sz="0" w:space="0" w:color="auto"/>
                <w:bottom w:val="none" w:sz="0" w:space="0" w:color="auto"/>
                <w:right w:val="none" w:sz="0" w:space="0" w:color="auto"/>
              </w:divBdr>
            </w:div>
          </w:divsChild>
        </w:div>
        <w:div w:id="494566891">
          <w:marLeft w:val="0"/>
          <w:marRight w:val="0"/>
          <w:marTop w:val="240"/>
          <w:marBottom w:val="0"/>
          <w:divBdr>
            <w:top w:val="none" w:sz="0" w:space="0" w:color="auto"/>
            <w:left w:val="none" w:sz="0" w:space="0" w:color="auto"/>
            <w:bottom w:val="none" w:sz="0" w:space="0" w:color="auto"/>
            <w:right w:val="none" w:sz="0" w:space="0" w:color="auto"/>
          </w:divBdr>
        </w:div>
        <w:div w:id="995184753">
          <w:marLeft w:val="0"/>
          <w:marRight w:val="0"/>
          <w:marTop w:val="240"/>
          <w:marBottom w:val="0"/>
          <w:divBdr>
            <w:top w:val="none" w:sz="0" w:space="0" w:color="auto"/>
            <w:left w:val="none" w:sz="0" w:space="0" w:color="auto"/>
            <w:bottom w:val="none" w:sz="0" w:space="0" w:color="auto"/>
            <w:right w:val="none" w:sz="0" w:space="0" w:color="auto"/>
          </w:divBdr>
        </w:div>
        <w:div w:id="1191145538">
          <w:marLeft w:val="0"/>
          <w:marRight w:val="0"/>
          <w:marTop w:val="240"/>
          <w:marBottom w:val="240"/>
          <w:divBdr>
            <w:top w:val="none" w:sz="0" w:space="0" w:color="auto"/>
            <w:left w:val="none" w:sz="0" w:space="0" w:color="auto"/>
            <w:bottom w:val="none" w:sz="0" w:space="0" w:color="auto"/>
            <w:right w:val="none" w:sz="0" w:space="0" w:color="auto"/>
          </w:divBdr>
          <w:divsChild>
            <w:div w:id="213202402">
              <w:marLeft w:val="0"/>
              <w:marRight w:val="0"/>
              <w:marTop w:val="0"/>
              <w:marBottom w:val="0"/>
              <w:divBdr>
                <w:top w:val="none" w:sz="0" w:space="0" w:color="auto"/>
                <w:left w:val="none" w:sz="0" w:space="0" w:color="auto"/>
                <w:bottom w:val="none" w:sz="0" w:space="0" w:color="auto"/>
                <w:right w:val="none" w:sz="0" w:space="0" w:color="auto"/>
              </w:divBdr>
              <w:divsChild>
                <w:div w:id="4177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0132">
          <w:marLeft w:val="0"/>
          <w:marRight w:val="0"/>
          <w:marTop w:val="240"/>
          <w:marBottom w:val="0"/>
          <w:divBdr>
            <w:top w:val="none" w:sz="0" w:space="0" w:color="auto"/>
            <w:left w:val="none" w:sz="0" w:space="0" w:color="auto"/>
            <w:bottom w:val="none" w:sz="0" w:space="0" w:color="auto"/>
            <w:right w:val="none" w:sz="0" w:space="0" w:color="auto"/>
          </w:divBdr>
          <w:divsChild>
            <w:div w:id="936986762">
              <w:marLeft w:val="0"/>
              <w:marRight w:val="480"/>
              <w:marTop w:val="0"/>
              <w:marBottom w:val="0"/>
              <w:divBdr>
                <w:top w:val="none" w:sz="0" w:space="0" w:color="auto"/>
                <w:left w:val="none" w:sz="0" w:space="0" w:color="auto"/>
                <w:bottom w:val="none" w:sz="0" w:space="0" w:color="auto"/>
                <w:right w:val="none" w:sz="0" w:space="0" w:color="auto"/>
              </w:divBdr>
            </w:div>
            <w:div w:id="1826117396">
              <w:marLeft w:val="0"/>
              <w:marRight w:val="480"/>
              <w:marTop w:val="0"/>
              <w:marBottom w:val="0"/>
              <w:divBdr>
                <w:top w:val="none" w:sz="0" w:space="0" w:color="auto"/>
                <w:left w:val="none" w:sz="0" w:space="0" w:color="auto"/>
                <w:bottom w:val="none" w:sz="0" w:space="0" w:color="auto"/>
                <w:right w:val="none" w:sz="0" w:space="0" w:color="auto"/>
              </w:divBdr>
            </w:div>
          </w:divsChild>
        </w:div>
        <w:div w:id="831794184">
          <w:marLeft w:val="0"/>
          <w:marRight w:val="0"/>
          <w:marTop w:val="240"/>
          <w:marBottom w:val="0"/>
          <w:divBdr>
            <w:top w:val="none" w:sz="0" w:space="0" w:color="auto"/>
            <w:left w:val="none" w:sz="0" w:space="0" w:color="auto"/>
            <w:bottom w:val="none" w:sz="0" w:space="0" w:color="auto"/>
            <w:right w:val="none" w:sz="0" w:space="0" w:color="auto"/>
          </w:divBdr>
        </w:div>
        <w:div w:id="1619558132">
          <w:marLeft w:val="0"/>
          <w:marRight w:val="0"/>
          <w:marTop w:val="240"/>
          <w:marBottom w:val="0"/>
          <w:divBdr>
            <w:top w:val="none" w:sz="0" w:space="0" w:color="auto"/>
            <w:left w:val="none" w:sz="0" w:space="0" w:color="auto"/>
            <w:bottom w:val="none" w:sz="0" w:space="0" w:color="auto"/>
            <w:right w:val="none" w:sz="0" w:space="0" w:color="auto"/>
          </w:divBdr>
          <w:divsChild>
            <w:div w:id="124892408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74473877">
      <w:bodyDiv w:val="1"/>
      <w:marLeft w:val="0"/>
      <w:marRight w:val="0"/>
      <w:marTop w:val="0"/>
      <w:marBottom w:val="0"/>
      <w:divBdr>
        <w:top w:val="none" w:sz="0" w:space="0" w:color="auto"/>
        <w:left w:val="none" w:sz="0" w:space="0" w:color="auto"/>
        <w:bottom w:val="none" w:sz="0" w:space="0" w:color="auto"/>
        <w:right w:val="none" w:sz="0" w:space="0" w:color="auto"/>
      </w:divBdr>
    </w:div>
    <w:div w:id="171919666">
      <w:bodyDiv w:val="1"/>
      <w:marLeft w:val="0"/>
      <w:marRight w:val="0"/>
      <w:marTop w:val="0"/>
      <w:marBottom w:val="0"/>
      <w:divBdr>
        <w:top w:val="none" w:sz="0" w:space="0" w:color="auto"/>
        <w:left w:val="none" w:sz="0" w:space="0" w:color="auto"/>
        <w:bottom w:val="none" w:sz="0" w:space="0" w:color="auto"/>
        <w:right w:val="none" w:sz="0" w:space="0" w:color="auto"/>
      </w:divBdr>
    </w:div>
    <w:div w:id="231936569">
      <w:bodyDiv w:val="1"/>
      <w:marLeft w:val="0"/>
      <w:marRight w:val="0"/>
      <w:marTop w:val="0"/>
      <w:marBottom w:val="0"/>
      <w:divBdr>
        <w:top w:val="none" w:sz="0" w:space="0" w:color="auto"/>
        <w:left w:val="none" w:sz="0" w:space="0" w:color="auto"/>
        <w:bottom w:val="none" w:sz="0" w:space="0" w:color="auto"/>
        <w:right w:val="none" w:sz="0" w:space="0" w:color="auto"/>
      </w:divBdr>
    </w:div>
    <w:div w:id="260721219">
      <w:bodyDiv w:val="1"/>
      <w:marLeft w:val="0"/>
      <w:marRight w:val="0"/>
      <w:marTop w:val="0"/>
      <w:marBottom w:val="0"/>
      <w:divBdr>
        <w:top w:val="none" w:sz="0" w:space="0" w:color="auto"/>
        <w:left w:val="none" w:sz="0" w:space="0" w:color="auto"/>
        <w:bottom w:val="none" w:sz="0" w:space="0" w:color="auto"/>
        <w:right w:val="none" w:sz="0" w:space="0" w:color="auto"/>
      </w:divBdr>
    </w:div>
    <w:div w:id="425419845">
      <w:bodyDiv w:val="1"/>
      <w:marLeft w:val="0"/>
      <w:marRight w:val="0"/>
      <w:marTop w:val="0"/>
      <w:marBottom w:val="0"/>
      <w:divBdr>
        <w:top w:val="none" w:sz="0" w:space="0" w:color="auto"/>
        <w:left w:val="none" w:sz="0" w:space="0" w:color="auto"/>
        <w:bottom w:val="none" w:sz="0" w:space="0" w:color="auto"/>
        <w:right w:val="none" w:sz="0" w:space="0" w:color="auto"/>
      </w:divBdr>
    </w:div>
    <w:div w:id="429088466">
      <w:bodyDiv w:val="1"/>
      <w:marLeft w:val="0"/>
      <w:marRight w:val="0"/>
      <w:marTop w:val="0"/>
      <w:marBottom w:val="0"/>
      <w:divBdr>
        <w:top w:val="none" w:sz="0" w:space="0" w:color="auto"/>
        <w:left w:val="none" w:sz="0" w:space="0" w:color="auto"/>
        <w:bottom w:val="none" w:sz="0" w:space="0" w:color="auto"/>
        <w:right w:val="none" w:sz="0" w:space="0" w:color="auto"/>
      </w:divBdr>
    </w:div>
    <w:div w:id="640502226">
      <w:bodyDiv w:val="1"/>
      <w:marLeft w:val="0"/>
      <w:marRight w:val="0"/>
      <w:marTop w:val="0"/>
      <w:marBottom w:val="0"/>
      <w:divBdr>
        <w:top w:val="none" w:sz="0" w:space="0" w:color="auto"/>
        <w:left w:val="none" w:sz="0" w:space="0" w:color="auto"/>
        <w:bottom w:val="none" w:sz="0" w:space="0" w:color="auto"/>
        <w:right w:val="none" w:sz="0" w:space="0" w:color="auto"/>
      </w:divBdr>
    </w:div>
    <w:div w:id="685907278">
      <w:bodyDiv w:val="1"/>
      <w:marLeft w:val="0"/>
      <w:marRight w:val="0"/>
      <w:marTop w:val="0"/>
      <w:marBottom w:val="0"/>
      <w:divBdr>
        <w:top w:val="none" w:sz="0" w:space="0" w:color="auto"/>
        <w:left w:val="none" w:sz="0" w:space="0" w:color="auto"/>
        <w:bottom w:val="none" w:sz="0" w:space="0" w:color="auto"/>
        <w:right w:val="none" w:sz="0" w:space="0" w:color="auto"/>
      </w:divBdr>
      <w:divsChild>
        <w:div w:id="226692538">
          <w:marLeft w:val="0"/>
          <w:marRight w:val="0"/>
          <w:marTop w:val="0"/>
          <w:marBottom w:val="0"/>
          <w:divBdr>
            <w:top w:val="none" w:sz="0" w:space="0" w:color="auto"/>
            <w:left w:val="none" w:sz="0" w:space="0" w:color="auto"/>
            <w:bottom w:val="none" w:sz="0" w:space="0" w:color="auto"/>
            <w:right w:val="none" w:sz="0" w:space="0" w:color="auto"/>
          </w:divBdr>
          <w:divsChild>
            <w:div w:id="19288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5249">
      <w:bodyDiv w:val="1"/>
      <w:marLeft w:val="0"/>
      <w:marRight w:val="0"/>
      <w:marTop w:val="0"/>
      <w:marBottom w:val="0"/>
      <w:divBdr>
        <w:top w:val="none" w:sz="0" w:space="0" w:color="auto"/>
        <w:left w:val="none" w:sz="0" w:space="0" w:color="auto"/>
        <w:bottom w:val="none" w:sz="0" w:space="0" w:color="auto"/>
        <w:right w:val="none" w:sz="0" w:space="0" w:color="auto"/>
      </w:divBdr>
    </w:div>
    <w:div w:id="872502875">
      <w:bodyDiv w:val="1"/>
      <w:marLeft w:val="0"/>
      <w:marRight w:val="0"/>
      <w:marTop w:val="0"/>
      <w:marBottom w:val="0"/>
      <w:divBdr>
        <w:top w:val="none" w:sz="0" w:space="0" w:color="auto"/>
        <w:left w:val="none" w:sz="0" w:space="0" w:color="auto"/>
        <w:bottom w:val="none" w:sz="0" w:space="0" w:color="auto"/>
        <w:right w:val="none" w:sz="0" w:space="0" w:color="auto"/>
      </w:divBdr>
    </w:div>
    <w:div w:id="922182299">
      <w:bodyDiv w:val="1"/>
      <w:marLeft w:val="0"/>
      <w:marRight w:val="0"/>
      <w:marTop w:val="0"/>
      <w:marBottom w:val="0"/>
      <w:divBdr>
        <w:top w:val="none" w:sz="0" w:space="0" w:color="auto"/>
        <w:left w:val="none" w:sz="0" w:space="0" w:color="auto"/>
        <w:bottom w:val="none" w:sz="0" w:space="0" w:color="auto"/>
        <w:right w:val="none" w:sz="0" w:space="0" w:color="auto"/>
      </w:divBdr>
      <w:divsChild>
        <w:div w:id="1352607134">
          <w:marLeft w:val="0"/>
          <w:marRight w:val="0"/>
          <w:marTop w:val="0"/>
          <w:marBottom w:val="0"/>
          <w:divBdr>
            <w:top w:val="none" w:sz="0" w:space="0" w:color="auto"/>
            <w:left w:val="single" w:sz="18" w:space="0" w:color="4275AE"/>
            <w:bottom w:val="none" w:sz="0" w:space="0" w:color="auto"/>
            <w:right w:val="none" w:sz="0" w:space="0" w:color="auto"/>
          </w:divBdr>
          <w:divsChild>
            <w:div w:id="982848211">
              <w:marLeft w:val="0"/>
              <w:marRight w:val="0"/>
              <w:marTop w:val="0"/>
              <w:marBottom w:val="0"/>
              <w:divBdr>
                <w:top w:val="none" w:sz="0" w:space="0" w:color="auto"/>
                <w:left w:val="none" w:sz="0" w:space="0" w:color="auto"/>
                <w:bottom w:val="none" w:sz="0" w:space="0" w:color="auto"/>
                <w:right w:val="none" w:sz="0" w:space="0" w:color="auto"/>
              </w:divBdr>
              <w:divsChild>
                <w:div w:id="1164735220">
                  <w:marLeft w:val="0"/>
                  <w:marRight w:val="0"/>
                  <w:marTop w:val="0"/>
                  <w:marBottom w:val="0"/>
                  <w:divBdr>
                    <w:top w:val="none" w:sz="0" w:space="0" w:color="auto"/>
                    <w:left w:val="none" w:sz="0" w:space="0" w:color="auto"/>
                    <w:bottom w:val="none" w:sz="0" w:space="0" w:color="auto"/>
                    <w:right w:val="none" w:sz="0" w:space="0" w:color="auto"/>
                  </w:divBdr>
                </w:div>
              </w:divsChild>
            </w:div>
            <w:div w:id="1154562815">
              <w:marLeft w:val="0"/>
              <w:marRight w:val="0"/>
              <w:marTop w:val="0"/>
              <w:marBottom w:val="0"/>
              <w:divBdr>
                <w:top w:val="none" w:sz="0" w:space="0" w:color="auto"/>
                <w:left w:val="none" w:sz="0" w:space="0" w:color="auto"/>
                <w:bottom w:val="none" w:sz="0" w:space="0" w:color="auto"/>
                <w:right w:val="none" w:sz="0" w:space="0" w:color="auto"/>
              </w:divBdr>
              <w:divsChild>
                <w:div w:id="1009792028">
                  <w:marLeft w:val="0"/>
                  <w:marRight w:val="0"/>
                  <w:marTop w:val="0"/>
                  <w:marBottom w:val="0"/>
                  <w:divBdr>
                    <w:top w:val="none" w:sz="0" w:space="0" w:color="auto"/>
                    <w:left w:val="none" w:sz="0" w:space="0" w:color="auto"/>
                    <w:bottom w:val="none" w:sz="0" w:space="0" w:color="auto"/>
                    <w:right w:val="none" w:sz="0" w:space="0" w:color="auto"/>
                  </w:divBdr>
                </w:div>
                <w:div w:id="1830320382">
                  <w:marLeft w:val="0"/>
                  <w:marRight w:val="0"/>
                  <w:marTop w:val="0"/>
                  <w:marBottom w:val="0"/>
                  <w:divBdr>
                    <w:top w:val="none" w:sz="0" w:space="0" w:color="auto"/>
                    <w:left w:val="none" w:sz="0" w:space="0" w:color="auto"/>
                    <w:bottom w:val="none" w:sz="0" w:space="0" w:color="auto"/>
                    <w:right w:val="none" w:sz="0" w:space="0" w:color="auto"/>
                  </w:divBdr>
                </w:div>
              </w:divsChild>
            </w:div>
            <w:div w:id="1744715559">
              <w:marLeft w:val="0"/>
              <w:marRight w:val="0"/>
              <w:marTop w:val="0"/>
              <w:marBottom w:val="0"/>
              <w:divBdr>
                <w:top w:val="none" w:sz="0" w:space="0" w:color="auto"/>
                <w:left w:val="none" w:sz="0" w:space="0" w:color="auto"/>
                <w:bottom w:val="none" w:sz="0" w:space="0" w:color="auto"/>
                <w:right w:val="none" w:sz="0" w:space="0" w:color="auto"/>
              </w:divBdr>
            </w:div>
          </w:divsChild>
        </w:div>
        <w:div w:id="1088573627">
          <w:marLeft w:val="0"/>
          <w:marRight w:val="0"/>
          <w:marTop w:val="0"/>
          <w:marBottom w:val="0"/>
          <w:divBdr>
            <w:top w:val="none" w:sz="0" w:space="0" w:color="auto"/>
            <w:left w:val="none" w:sz="0" w:space="0" w:color="auto"/>
            <w:bottom w:val="none" w:sz="0" w:space="0" w:color="auto"/>
            <w:right w:val="none" w:sz="0" w:space="0" w:color="auto"/>
          </w:divBdr>
          <w:divsChild>
            <w:div w:id="1801877664">
              <w:marLeft w:val="0"/>
              <w:marRight w:val="0"/>
              <w:marTop w:val="0"/>
              <w:marBottom w:val="0"/>
              <w:divBdr>
                <w:top w:val="none" w:sz="0" w:space="0" w:color="auto"/>
                <w:left w:val="none" w:sz="0" w:space="0" w:color="auto"/>
                <w:bottom w:val="none" w:sz="0" w:space="0" w:color="auto"/>
                <w:right w:val="none" w:sz="0" w:space="0" w:color="auto"/>
              </w:divBdr>
              <w:divsChild>
                <w:div w:id="14603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7994">
      <w:bodyDiv w:val="1"/>
      <w:marLeft w:val="0"/>
      <w:marRight w:val="0"/>
      <w:marTop w:val="0"/>
      <w:marBottom w:val="0"/>
      <w:divBdr>
        <w:top w:val="none" w:sz="0" w:space="0" w:color="auto"/>
        <w:left w:val="none" w:sz="0" w:space="0" w:color="auto"/>
        <w:bottom w:val="none" w:sz="0" w:space="0" w:color="auto"/>
        <w:right w:val="none" w:sz="0" w:space="0" w:color="auto"/>
      </w:divBdr>
    </w:div>
    <w:div w:id="1112094257">
      <w:bodyDiv w:val="1"/>
      <w:marLeft w:val="0"/>
      <w:marRight w:val="0"/>
      <w:marTop w:val="0"/>
      <w:marBottom w:val="0"/>
      <w:divBdr>
        <w:top w:val="none" w:sz="0" w:space="0" w:color="auto"/>
        <w:left w:val="none" w:sz="0" w:space="0" w:color="auto"/>
        <w:bottom w:val="none" w:sz="0" w:space="0" w:color="auto"/>
        <w:right w:val="none" w:sz="0" w:space="0" w:color="auto"/>
      </w:divBdr>
    </w:div>
    <w:div w:id="1367296167">
      <w:bodyDiv w:val="1"/>
      <w:marLeft w:val="0"/>
      <w:marRight w:val="0"/>
      <w:marTop w:val="0"/>
      <w:marBottom w:val="0"/>
      <w:divBdr>
        <w:top w:val="none" w:sz="0" w:space="0" w:color="auto"/>
        <w:left w:val="none" w:sz="0" w:space="0" w:color="auto"/>
        <w:bottom w:val="none" w:sz="0" w:space="0" w:color="auto"/>
        <w:right w:val="none" w:sz="0" w:space="0" w:color="auto"/>
      </w:divBdr>
    </w:div>
    <w:div w:id="1401173822">
      <w:bodyDiv w:val="1"/>
      <w:marLeft w:val="0"/>
      <w:marRight w:val="0"/>
      <w:marTop w:val="0"/>
      <w:marBottom w:val="0"/>
      <w:divBdr>
        <w:top w:val="none" w:sz="0" w:space="0" w:color="auto"/>
        <w:left w:val="none" w:sz="0" w:space="0" w:color="auto"/>
        <w:bottom w:val="none" w:sz="0" w:space="0" w:color="auto"/>
        <w:right w:val="none" w:sz="0" w:space="0" w:color="auto"/>
      </w:divBdr>
    </w:div>
    <w:div w:id="1417437400">
      <w:bodyDiv w:val="1"/>
      <w:marLeft w:val="0"/>
      <w:marRight w:val="0"/>
      <w:marTop w:val="0"/>
      <w:marBottom w:val="0"/>
      <w:divBdr>
        <w:top w:val="none" w:sz="0" w:space="0" w:color="auto"/>
        <w:left w:val="none" w:sz="0" w:space="0" w:color="auto"/>
        <w:bottom w:val="none" w:sz="0" w:space="0" w:color="auto"/>
        <w:right w:val="none" w:sz="0" w:space="0" w:color="auto"/>
      </w:divBdr>
    </w:div>
    <w:div w:id="1518348508">
      <w:bodyDiv w:val="1"/>
      <w:marLeft w:val="0"/>
      <w:marRight w:val="0"/>
      <w:marTop w:val="0"/>
      <w:marBottom w:val="0"/>
      <w:divBdr>
        <w:top w:val="none" w:sz="0" w:space="0" w:color="auto"/>
        <w:left w:val="none" w:sz="0" w:space="0" w:color="auto"/>
        <w:bottom w:val="none" w:sz="0" w:space="0" w:color="auto"/>
        <w:right w:val="none" w:sz="0" w:space="0" w:color="auto"/>
      </w:divBdr>
    </w:div>
    <w:div w:id="1577549107">
      <w:bodyDiv w:val="1"/>
      <w:marLeft w:val="0"/>
      <w:marRight w:val="0"/>
      <w:marTop w:val="0"/>
      <w:marBottom w:val="0"/>
      <w:divBdr>
        <w:top w:val="none" w:sz="0" w:space="0" w:color="auto"/>
        <w:left w:val="none" w:sz="0" w:space="0" w:color="auto"/>
        <w:bottom w:val="none" w:sz="0" w:space="0" w:color="auto"/>
        <w:right w:val="none" w:sz="0" w:space="0" w:color="auto"/>
      </w:divBdr>
    </w:div>
    <w:div w:id="1781339299">
      <w:bodyDiv w:val="1"/>
      <w:marLeft w:val="0"/>
      <w:marRight w:val="0"/>
      <w:marTop w:val="0"/>
      <w:marBottom w:val="0"/>
      <w:divBdr>
        <w:top w:val="none" w:sz="0" w:space="0" w:color="auto"/>
        <w:left w:val="none" w:sz="0" w:space="0" w:color="auto"/>
        <w:bottom w:val="none" w:sz="0" w:space="0" w:color="auto"/>
        <w:right w:val="none" w:sz="0" w:space="0" w:color="auto"/>
      </w:divBdr>
    </w:div>
    <w:div w:id="1800494278">
      <w:bodyDiv w:val="1"/>
      <w:marLeft w:val="0"/>
      <w:marRight w:val="0"/>
      <w:marTop w:val="0"/>
      <w:marBottom w:val="0"/>
      <w:divBdr>
        <w:top w:val="none" w:sz="0" w:space="0" w:color="auto"/>
        <w:left w:val="none" w:sz="0" w:space="0" w:color="auto"/>
        <w:bottom w:val="none" w:sz="0" w:space="0" w:color="auto"/>
        <w:right w:val="none" w:sz="0" w:space="0" w:color="auto"/>
      </w:divBdr>
    </w:div>
    <w:div w:id="1885097502">
      <w:bodyDiv w:val="1"/>
      <w:marLeft w:val="0"/>
      <w:marRight w:val="0"/>
      <w:marTop w:val="0"/>
      <w:marBottom w:val="0"/>
      <w:divBdr>
        <w:top w:val="none" w:sz="0" w:space="0" w:color="auto"/>
        <w:left w:val="none" w:sz="0" w:space="0" w:color="auto"/>
        <w:bottom w:val="none" w:sz="0" w:space="0" w:color="auto"/>
        <w:right w:val="none" w:sz="0" w:space="0" w:color="auto"/>
      </w:divBdr>
    </w:div>
    <w:div w:id="1919485253">
      <w:bodyDiv w:val="1"/>
      <w:marLeft w:val="0"/>
      <w:marRight w:val="0"/>
      <w:marTop w:val="0"/>
      <w:marBottom w:val="0"/>
      <w:divBdr>
        <w:top w:val="none" w:sz="0" w:space="0" w:color="auto"/>
        <w:left w:val="none" w:sz="0" w:space="0" w:color="auto"/>
        <w:bottom w:val="none" w:sz="0" w:space="0" w:color="auto"/>
        <w:right w:val="none" w:sz="0" w:space="0" w:color="auto"/>
      </w:divBdr>
    </w:div>
    <w:div w:id="2037922412">
      <w:bodyDiv w:val="1"/>
      <w:marLeft w:val="0"/>
      <w:marRight w:val="0"/>
      <w:marTop w:val="0"/>
      <w:marBottom w:val="0"/>
      <w:divBdr>
        <w:top w:val="none" w:sz="0" w:space="0" w:color="auto"/>
        <w:left w:val="none" w:sz="0" w:space="0" w:color="auto"/>
        <w:bottom w:val="none" w:sz="0" w:space="0" w:color="auto"/>
        <w:right w:val="none" w:sz="0" w:space="0" w:color="auto"/>
      </w:divBdr>
    </w:div>
    <w:div w:id="2062897530">
      <w:bodyDiv w:val="1"/>
      <w:marLeft w:val="0"/>
      <w:marRight w:val="0"/>
      <w:marTop w:val="0"/>
      <w:marBottom w:val="0"/>
      <w:divBdr>
        <w:top w:val="none" w:sz="0" w:space="0" w:color="auto"/>
        <w:left w:val="none" w:sz="0" w:space="0" w:color="auto"/>
        <w:bottom w:val="none" w:sz="0" w:space="0" w:color="auto"/>
        <w:right w:val="none" w:sz="0" w:space="0" w:color="auto"/>
      </w:divBdr>
    </w:div>
    <w:div w:id="212618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awava.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wava.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wava.org.au/2017/10/12/submissions/era-awava-letter-state-territory-governments-re-gender-responsive-national-housing-homelessness-agreement" TargetMode="External"/><Relationship Id="rId4" Type="http://schemas.openxmlformats.org/officeDocument/2006/relationships/settings" Target="settings.xml"/><Relationship Id="rId9" Type="http://schemas.openxmlformats.org/officeDocument/2006/relationships/hyperlink" Target="http://chp.org.au/news-and-events/enewsletters/sector-bulletin-1-november-national-housing-homelessness-agreement-nhh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chp.org.au/news-and-events/enewsletters/sector-bulletin-1-november-national-housing-homelessness-agreement-nhha/" TargetMode="External"/><Relationship Id="rId3" Type="http://schemas.openxmlformats.org/officeDocument/2006/relationships/hyperlink" Target="https://www.aihw.gov.au/reports/australias-welfare/australias-welfare-2017-in-brief/contents/housing-and-homelessness" TargetMode="External"/><Relationship Id="rId7" Type="http://schemas.openxmlformats.org/officeDocument/2006/relationships/hyperlink" Target="https://static.treasury.gov.au/uploads/sites/1/2017/06/C2016-052_Australian-Women-Against-Violence-Alliance.pdf" TargetMode="External"/><Relationship Id="rId2" Type="http://schemas.openxmlformats.org/officeDocument/2006/relationships/hyperlink" Target="http://www.aihw.gov.au/homelessness/specialist-homelessness-services-2014-15/clients-services-outcomes/" TargetMode="External"/><Relationship Id="rId1" Type="http://schemas.openxmlformats.org/officeDocument/2006/relationships/hyperlink" Target="http://www.equalityrightsalliance.org.au/wp-content/uploads/2017/07/AWAVA-and-ERA-Submission-to-PC-Draft-Report-on-Human-Services-20170714.pdf" TargetMode="External"/><Relationship Id="rId6" Type="http://schemas.openxmlformats.org/officeDocument/2006/relationships/hyperlink" Target="https://files.tenants.org.au/resources/2017-NSW-Housing-and-Homelessness-peaks-Statement-on-the-confirmation-of-Commonwealth-funding" TargetMode="External"/><Relationship Id="rId5" Type="http://schemas.openxmlformats.org/officeDocument/2006/relationships/hyperlink" Target="https://awava.org.au/2017/10/12/submissions/era-awava-letter-state-territory-governments-re-gender-responsive-national-housing-homelessness-agreement" TargetMode="External"/><Relationship Id="rId10" Type="http://schemas.openxmlformats.org/officeDocument/2006/relationships/hyperlink" Target="https://awava.org.au/2017/08/10/research/brochure-unique-role-specialist-womens-services" TargetMode="External"/><Relationship Id="rId4" Type="http://schemas.openxmlformats.org/officeDocument/2006/relationships/hyperlink" Target="https://www.aihw.gov.au/reports/homelessness-services/specialist-homelessness-services-2016-17/contents/client-groups-of-interest/clients-who-have-experienced-domestic-and-family-violence" TargetMode="External"/><Relationship Id="rId9" Type="http://schemas.openxmlformats.org/officeDocument/2006/relationships/hyperlink" Target="https://awava.org.au/2017/10/12/submissions/era-awava-letter-state-territory-governments-re-gender-responsive-national-housing-homelessness-agre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76BF-F242-4E51-AB02-DBCE22BA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ProgramManager</cp:lastModifiedBy>
  <cp:revision>2</cp:revision>
  <dcterms:created xsi:type="dcterms:W3CDTF">2018-01-01T23:40:00Z</dcterms:created>
  <dcterms:modified xsi:type="dcterms:W3CDTF">2018-01-01T23:40:00Z</dcterms:modified>
</cp:coreProperties>
</file>