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7143E" w14:textId="17B947EA" w:rsidR="00125AA8" w:rsidRDefault="00125AA8" w:rsidP="00125AA8">
      <w:pPr>
        <w:spacing w:line="240" w:lineRule="auto"/>
        <w:rPr>
          <w:lang w:val="en-US"/>
        </w:rPr>
      </w:pPr>
      <w:r>
        <w:t>Senate Standing Committees</w:t>
      </w:r>
      <w:r>
        <w:br/>
        <w:t>on Legal and Constitutional Affairs </w:t>
      </w:r>
      <w:r>
        <w:br/>
        <w:t xml:space="preserve">Via </w:t>
      </w:r>
      <w:r w:rsidR="00BD41E2">
        <w:t>email:</w:t>
      </w:r>
      <w:r w:rsidR="00BD41E2" w:rsidRPr="00BD41E2">
        <w:rPr>
          <w:rFonts w:cstheme="minorHAnsi"/>
        </w:rPr>
        <w:t xml:space="preserve"> </w:t>
      </w:r>
      <w:hyperlink r:id="rId8" w:history="1">
        <w:r w:rsidR="00BD41E2" w:rsidRPr="009E00AC">
          <w:rPr>
            <w:rStyle w:val="Hyperlink"/>
            <w:rFonts w:cstheme="minorHAnsi"/>
            <w:color w:val="4275AE"/>
            <w:shd w:val="clear" w:color="auto" w:fill="FFFFFF"/>
          </w:rPr>
          <w:t>legcon.sen@aph.gov.au</w:t>
        </w:r>
      </w:hyperlink>
      <w:r>
        <w:br/>
      </w:r>
      <w:r>
        <w:rPr>
          <w:lang w:val="en-US"/>
        </w:rPr>
        <w:t xml:space="preserve">Date: </w:t>
      </w:r>
      <w:r w:rsidR="00BD41E2">
        <w:rPr>
          <w:lang w:val="en-US"/>
        </w:rPr>
        <w:t xml:space="preserve">20 </w:t>
      </w:r>
      <w:r>
        <w:rPr>
          <w:lang w:val="en-US"/>
        </w:rPr>
        <w:t>October 2017</w:t>
      </w:r>
    </w:p>
    <w:p w14:paraId="2E9082BD" w14:textId="77777777" w:rsidR="00125AA8" w:rsidRDefault="00125AA8" w:rsidP="00125AA8">
      <w:pPr>
        <w:pStyle w:val="NoSpacing"/>
        <w:rPr>
          <w:lang w:val="en-US"/>
        </w:rPr>
      </w:pPr>
    </w:p>
    <w:p w14:paraId="78F45C02" w14:textId="77777777" w:rsidR="00125AA8" w:rsidRPr="00125AA8" w:rsidRDefault="00125AA8" w:rsidP="00125AA8">
      <w:pPr>
        <w:jc w:val="center"/>
        <w:rPr>
          <w:b/>
          <w:sz w:val="28"/>
          <w:szCs w:val="32"/>
          <w:lang w:val="en-US"/>
        </w:rPr>
      </w:pPr>
      <w:r w:rsidRPr="00125AA8">
        <w:rPr>
          <w:b/>
          <w:sz w:val="28"/>
          <w:szCs w:val="32"/>
          <w:lang w:val="en-US"/>
        </w:rPr>
        <w:t>Submission in response to the inquiry on the adequacy of existing offences in the Commonwealth Criminal Code and of state and territory criminal laws to capture cyberbullying</w:t>
      </w:r>
    </w:p>
    <w:p w14:paraId="517AA047" w14:textId="77777777" w:rsidR="00125AA8" w:rsidRPr="00125AA8" w:rsidRDefault="00125AA8" w:rsidP="00125AA8">
      <w:pPr>
        <w:jc w:val="both"/>
      </w:pPr>
      <w:r>
        <w:t xml:space="preserve">Thank-you for the opportunity to make a submission in response to the inquiry on the </w:t>
      </w:r>
      <w:r w:rsidRPr="00125AA8">
        <w:t>adequacy of existing offences in the Commonwealth Criminal Code and of state and territory criminal laws to capture cyberbullying</w:t>
      </w:r>
      <w:r>
        <w:t xml:space="preserve">. </w:t>
      </w:r>
    </w:p>
    <w:p w14:paraId="68639ED4" w14:textId="77777777" w:rsidR="00125AA8" w:rsidRPr="00125AA8" w:rsidRDefault="00125AA8" w:rsidP="00125AA8">
      <w:pPr>
        <w:pStyle w:val="Heading1"/>
        <w:rPr>
          <w:rFonts w:asciiTheme="minorHAnsi" w:hAnsiTheme="minorHAnsi"/>
          <w:sz w:val="24"/>
          <w:szCs w:val="22"/>
        </w:rPr>
      </w:pPr>
      <w:r w:rsidRPr="00125AA8">
        <w:rPr>
          <w:rFonts w:asciiTheme="minorHAnsi" w:hAnsiTheme="minorHAnsi"/>
          <w:sz w:val="24"/>
          <w:szCs w:val="22"/>
        </w:rPr>
        <w:t>About the Australian Women Against Violence Alliance (AWAVA)</w:t>
      </w:r>
    </w:p>
    <w:p w14:paraId="50D11F74" w14:textId="77777777" w:rsidR="00125AA8" w:rsidRDefault="00125AA8" w:rsidP="00125AA8">
      <w:pPr>
        <w:jc w:val="both"/>
      </w:pPr>
      <w:r>
        <w:t>Australian Women Against Violence Alliance (AWAVA) is one of the six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and women’s legal services, as well as organisations representing Aboriginal and Torres Strait Islander women, young women, women educators, women in the sex industry and other groups. AWAVA's lead agency is the Women's Services Network (WESNET).</w:t>
      </w:r>
    </w:p>
    <w:p w14:paraId="6C90E302" w14:textId="77777777" w:rsidR="00125AA8" w:rsidRPr="00125AA8" w:rsidRDefault="00125AA8" w:rsidP="00125AA8">
      <w:pPr>
        <w:pStyle w:val="Heading1"/>
        <w:rPr>
          <w:rFonts w:asciiTheme="minorHAnsi" w:hAnsiTheme="minorHAnsi"/>
          <w:sz w:val="24"/>
          <w:szCs w:val="22"/>
        </w:rPr>
      </w:pPr>
      <w:r w:rsidRPr="00125AA8">
        <w:rPr>
          <w:rFonts w:asciiTheme="minorHAnsi" w:hAnsiTheme="minorHAnsi"/>
          <w:sz w:val="24"/>
          <w:szCs w:val="22"/>
        </w:rPr>
        <w:t>General comments</w:t>
      </w:r>
    </w:p>
    <w:p w14:paraId="4DD637F1" w14:textId="0B86DAF5" w:rsidR="00821E14" w:rsidRDefault="009E00AC" w:rsidP="00191392">
      <w:pPr>
        <w:spacing w:line="276" w:lineRule="auto"/>
        <w:jc w:val="both"/>
        <w:rPr>
          <w:rFonts w:cs="Arial"/>
          <w:shd w:val="clear" w:color="auto" w:fill="FFFFFF"/>
        </w:rPr>
      </w:pPr>
      <w:r>
        <w:rPr>
          <w:rFonts w:cs="Arial"/>
          <w:shd w:val="clear" w:color="auto" w:fill="FFFFFF"/>
        </w:rPr>
        <w:t>While cyberbullying is the focus of this inquiry, and the terms of reference suggest a particular interest in the issue as it applies to children and young people, we wish to highlight the fact that c</w:t>
      </w:r>
      <w:r w:rsidR="00191392">
        <w:rPr>
          <w:rFonts w:cs="Arial"/>
          <w:shd w:val="clear" w:color="auto" w:fill="FFFFFF"/>
        </w:rPr>
        <w:t xml:space="preserve">yberbullying </w:t>
      </w:r>
      <w:r w:rsidR="00821E14">
        <w:rPr>
          <w:rFonts w:cs="Arial"/>
          <w:shd w:val="clear" w:color="auto" w:fill="FFFFFF"/>
        </w:rPr>
        <w:t xml:space="preserve">is </w:t>
      </w:r>
      <w:r>
        <w:rPr>
          <w:rFonts w:cs="Arial"/>
          <w:shd w:val="clear" w:color="auto" w:fill="FFFFFF"/>
        </w:rPr>
        <w:t xml:space="preserve">also </w:t>
      </w:r>
      <w:r w:rsidR="00191392">
        <w:rPr>
          <w:rFonts w:cs="Arial"/>
          <w:shd w:val="clear" w:color="auto" w:fill="FFFFFF"/>
        </w:rPr>
        <w:t>one of the manifestations of technology-facilitated abuse</w:t>
      </w:r>
      <w:r w:rsidR="00821E14">
        <w:rPr>
          <w:rFonts w:cs="Arial"/>
          <w:shd w:val="clear" w:color="auto" w:fill="FFFFFF"/>
        </w:rPr>
        <w:t xml:space="preserve">, which is a broader category. Other </w:t>
      </w:r>
      <w:r>
        <w:rPr>
          <w:rFonts w:cs="Arial"/>
          <w:shd w:val="clear" w:color="auto" w:fill="FFFFFF"/>
        </w:rPr>
        <w:t xml:space="preserve">forms of such abuse include the </w:t>
      </w:r>
      <w:r w:rsidR="00191392">
        <w:rPr>
          <w:rFonts w:cs="Arial"/>
          <w:shd w:val="clear" w:color="auto" w:fill="FFFFFF"/>
        </w:rPr>
        <w:t>non-consensual sharing of intimate images</w:t>
      </w:r>
      <w:r>
        <w:rPr>
          <w:rFonts w:cs="Arial"/>
          <w:shd w:val="clear" w:color="auto" w:fill="FFFFFF"/>
        </w:rPr>
        <w:t xml:space="preserve"> (image-based abuse)</w:t>
      </w:r>
      <w:r w:rsidR="00191392">
        <w:rPr>
          <w:rFonts w:cs="Arial"/>
          <w:shd w:val="clear" w:color="auto" w:fill="FFFFFF"/>
        </w:rPr>
        <w:t>, stalking, surveillance, installing</w:t>
      </w:r>
      <w:r w:rsidR="00197E00">
        <w:rPr>
          <w:rFonts w:cs="Arial"/>
          <w:shd w:val="clear" w:color="auto" w:fill="FFFFFF"/>
        </w:rPr>
        <w:t xml:space="preserve"> </w:t>
      </w:r>
      <w:r w:rsidR="00191392">
        <w:rPr>
          <w:rFonts w:cs="Arial"/>
          <w:shd w:val="clear" w:color="auto" w:fill="FFFFFF"/>
        </w:rPr>
        <w:t>hidden application</w:t>
      </w:r>
      <w:r w:rsidR="008C2BEE">
        <w:rPr>
          <w:rFonts w:cs="Arial"/>
          <w:shd w:val="clear" w:color="auto" w:fill="FFFFFF"/>
        </w:rPr>
        <w:t>s</w:t>
      </w:r>
      <w:r w:rsidR="00191392">
        <w:rPr>
          <w:rFonts w:cs="Arial"/>
          <w:shd w:val="clear" w:color="auto" w:fill="FFFFFF"/>
        </w:rPr>
        <w:t xml:space="preserve"> to track </w:t>
      </w:r>
      <w:r w:rsidR="008C2BEE">
        <w:rPr>
          <w:rFonts w:cs="Arial"/>
          <w:shd w:val="clear" w:color="auto" w:fill="FFFFFF"/>
        </w:rPr>
        <w:t xml:space="preserve">a </w:t>
      </w:r>
      <w:r w:rsidR="00191392">
        <w:rPr>
          <w:rFonts w:cs="Arial"/>
          <w:shd w:val="clear" w:color="auto" w:fill="FFFFFF"/>
        </w:rPr>
        <w:t>woman’s location</w:t>
      </w:r>
      <w:r w:rsidR="00191392">
        <w:rPr>
          <w:rStyle w:val="FootnoteReference"/>
          <w:rFonts w:cs="Arial"/>
          <w:shd w:val="clear" w:color="auto" w:fill="FFFFFF"/>
        </w:rPr>
        <w:footnoteReference w:id="1"/>
      </w:r>
      <w:r w:rsidR="00191392">
        <w:rPr>
          <w:rFonts w:cs="Arial"/>
          <w:shd w:val="clear" w:color="auto" w:fill="FFFFFF"/>
        </w:rPr>
        <w:t xml:space="preserve"> or to obtain access to her email or messages, the use of communications technologies to enable a sexual assault and/or to coerce a victim into an unwanted sexual act. </w:t>
      </w:r>
      <w:r w:rsidR="00A6489F">
        <w:rPr>
          <w:rFonts w:cs="Arial"/>
          <w:shd w:val="clear" w:color="auto" w:fill="FFFFFF"/>
        </w:rPr>
        <w:t xml:space="preserve">There are forms </w:t>
      </w:r>
      <w:r w:rsidR="008C2BEE">
        <w:rPr>
          <w:rFonts w:cs="Arial"/>
          <w:shd w:val="clear" w:color="auto" w:fill="FFFFFF"/>
        </w:rPr>
        <w:t>of cyberbullying</w:t>
      </w:r>
      <w:r w:rsidR="00A6489F">
        <w:rPr>
          <w:rFonts w:cs="Arial"/>
          <w:shd w:val="clear" w:color="auto" w:fill="FFFFFF"/>
        </w:rPr>
        <w:t xml:space="preserve"> that do not fit the definition of technology facilitated violence and abuse against women, such as cyberbullying between school children or the broadcasting of assaults by men upon other men. However, it is important to understand that violence and bullying generally are strongly interlinked with dynamics of gender and sexuality.</w:t>
      </w:r>
      <w:r w:rsidR="008C2BEE">
        <w:rPr>
          <w:rFonts w:cs="Arial"/>
          <w:shd w:val="clear" w:color="auto" w:fill="FFFFFF"/>
        </w:rPr>
        <w:t xml:space="preserve"> </w:t>
      </w:r>
      <w:r w:rsidR="00A6489F">
        <w:rPr>
          <w:rFonts w:cs="Arial"/>
          <w:shd w:val="clear" w:color="auto" w:fill="FFFFFF"/>
        </w:rPr>
        <w:t xml:space="preserve">The normalisation of male violence and restrictive expectations about women and girls are some of the key drivers of </w:t>
      </w:r>
      <w:r w:rsidR="00AB04E2">
        <w:rPr>
          <w:rFonts w:cs="Arial"/>
          <w:shd w:val="clear" w:color="auto" w:fill="FFFFFF"/>
        </w:rPr>
        <w:t>violence and bullying generally.</w:t>
      </w:r>
      <w:r w:rsidR="00A6489F">
        <w:rPr>
          <w:rFonts w:cs="Arial"/>
          <w:shd w:val="clear" w:color="auto" w:fill="FFFFFF"/>
        </w:rPr>
        <w:t xml:space="preserve"> </w:t>
      </w:r>
    </w:p>
    <w:p w14:paraId="07562266" w14:textId="585F6564" w:rsidR="00191392" w:rsidRDefault="00125AA8" w:rsidP="00821E14">
      <w:pPr>
        <w:spacing w:line="276" w:lineRule="auto"/>
        <w:jc w:val="both"/>
        <w:rPr>
          <w:rFonts w:cs="Arial"/>
          <w:shd w:val="clear" w:color="auto" w:fill="FFFFFF"/>
        </w:rPr>
      </w:pPr>
      <w:r>
        <w:rPr>
          <w:rFonts w:cs="Arial"/>
          <w:shd w:val="clear" w:color="auto" w:fill="FFFFFF"/>
        </w:rPr>
        <w:t>Technology-facilitated abuse has become a tool of perpetrators of domestic and family violence to threaten, harass and/or control both current and former partners.</w:t>
      </w:r>
      <w:r>
        <w:rPr>
          <w:rFonts w:cs="Arial"/>
          <w:shd w:val="clear" w:color="auto" w:fill="FFFFFF"/>
          <w:vertAlign w:val="superscript"/>
        </w:rPr>
        <w:footnoteReference w:id="2"/>
      </w:r>
      <w:r>
        <w:rPr>
          <w:rFonts w:cs="Arial"/>
          <w:shd w:val="clear" w:color="auto" w:fill="FFFFFF"/>
        </w:rPr>
        <w:t xml:space="preserve"> </w:t>
      </w:r>
      <w:r w:rsidR="00191392">
        <w:rPr>
          <w:rFonts w:cs="Arial"/>
        </w:rPr>
        <w:t>The national survey of technology-facilitated abuse drawing on the experience of family violence practitioners across Australia</w:t>
      </w:r>
      <w:r w:rsidR="00191392">
        <w:rPr>
          <w:vertAlign w:val="superscript"/>
        </w:rPr>
        <w:footnoteReference w:id="3"/>
      </w:r>
      <w:r w:rsidR="00191392">
        <w:rPr>
          <w:rFonts w:cs="Arial"/>
          <w:vertAlign w:val="superscript"/>
        </w:rPr>
        <w:t xml:space="preserve"> </w:t>
      </w:r>
      <w:r w:rsidR="00EA2B29">
        <w:rPr>
          <w:rFonts w:cs="Arial"/>
          <w:vertAlign w:val="superscript"/>
        </w:rPr>
        <w:t xml:space="preserve"> </w:t>
      </w:r>
      <w:r w:rsidR="00191392">
        <w:rPr>
          <w:rFonts w:cs="Arial"/>
        </w:rPr>
        <w:t xml:space="preserve">stated that almost all survey respondents (98 per cent) </w:t>
      </w:r>
      <w:r w:rsidR="00EA2B29">
        <w:rPr>
          <w:rFonts w:cs="Arial"/>
        </w:rPr>
        <w:t>indicated</w:t>
      </w:r>
      <w:r w:rsidR="00191392">
        <w:rPr>
          <w:rFonts w:cs="Arial"/>
        </w:rPr>
        <w:t xml:space="preserve"> that they had clients who had experienced technology-facilitated stalking and abuse. </w:t>
      </w:r>
      <w:r w:rsidR="001E71D2">
        <w:rPr>
          <w:rFonts w:cs="Arial"/>
        </w:rPr>
        <w:t xml:space="preserve">Another survey of survivors who had received unwanted contact from a partner or ex-partner via the phone or internet found that </w:t>
      </w:r>
      <w:r w:rsidR="00191392">
        <w:rPr>
          <w:rFonts w:cs="Arial"/>
        </w:rPr>
        <w:t>80 per had been abused via text messages</w:t>
      </w:r>
      <w:r w:rsidR="001E71D2">
        <w:rPr>
          <w:rFonts w:cs="Arial"/>
        </w:rPr>
        <w:t xml:space="preserve">, while </w:t>
      </w:r>
      <w:r w:rsidR="00191392">
        <w:rPr>
          <w:rFonts w:cs="Arial"/>
        </w:rPr>
        <w:t>Facebook was the next most commonly used technology.</w:t>
      </w:r>
      <w:r w:rsidR="001E71D2">
        <w:rPr>
          <w:rStyle w:val="FootnoteReference"/>
          <w:rFonts w:cs="Arial"/>
        </w:rPr>
        <w:footnoteReference w:id="4"/>
      </w:r>
      <w:r w:rsidR="00FC0B25">
        <w:rPr>
          <w:rFonts w:cs="Arial"/>
        </w:rPr>
        <w:t xml:space="preserve"> </w:t>
      </w:r>
      <w:r w:rsidR="001E71D2">
        <w:rPr>
          <w:rFonts w:cs="Arial"/>
        </w:rPr>
        <w:t>In this context</w:t>
      </w:r>
      <w:r w:rsidR="00191392">
        <w:t>, efforts to reduce violence against women can be strengthened by legal sanctions</w:t>
      </w:r>
      <w:r w:rsidR="00B604CF">
        <w:t>,</w:t>
      </w:r>
      <w:r w:rsidR="00191392">
        <w:t xml:space="preserve"> </w:t>
      </w:r>
      <w:r w:rsidR="00B604CF">
        <w:t xml:space="preserve">together with appropriate interpretation and implementation of these sanctions, </w:t>
      </w:r>
      <w:r w:rsidR="00191392">
        <w:t>against all forms of technology-facilitated abuse.</w:t>
      </w:r>
    </w:p>
    <w:p w14:paraId="566DEE8C" w14:textId="43A194D1" w:rsidR="003E5EE0" w:rsidRPr="00B604CF" w:rsidRDefault="00C21238" w:rsidP="003E5EE0">
      <w:pPr>
        <w:spacing w:line="276" w:lineRule="auto"/>
        <w:jc w:val="both"/>
      </w:pPr>
      <w:r w:rsidRPr="003E5EE0">
        <w:t>Legislation to capture cyberbullying differs by jurisdiction. The very term ‘cyberbullying’ is only used in the Enhancing Online Safety for Children Act (2015)</w:t>
      </w:r>
      <w:r w:rsidR="001E71D2">
        <w:t>, which</w:t>
      </w:r>
      <w:r w:rsidRPr="003E5EE0">
        <w:t xml:space="preserve"> gives powers to the eSafety Commissioner to investigate </w:t>
      </w:r>
      <w:r w:rsidR="001E71D2">
        <w:t xml:space="preserve">and act against </w:t>
      </w:r>
      <w:r w:rsidRPr="003E5EE0">
        <w:t>reported cyberbullying</w:t>
      </w:r>
      <w:r w:rsidR="003E5EE0" w:rsidRPr="003E5EE0">
        <w:t xml:space="preserve"> against children</w:t>
      </w:r>
      <w:r w:rsidRPr="003E5EE0">
        <w:t>.</w:t>
      </w:r>
      <w:r w:rsidR="003E5EE0" w:rsidRPr="003E5EE0">
        <w:t xml:space="preserve"> </w:t>
      </w:r>
      <w:r w:rsidR="00821E14">
        <w:t>T</w:t>
      </w:r>
      <w:r w:rsidR="003E5EE0" w:rsidRPr="003E5EE0">
        <w:t xml:space="preserve">he eSafety Commissioner has also </w:t>
      </w:r>
      <w:r w:rsidR="00B604CF">
        <w:t xml:space="preserve">established </w:t>
      </w:r>
      <w:r w:rsidR="003E5EE0" w:rsidRPr="003E5EE0">
        <w:t xml:space="preserve">a portal for women </w:t>
      </w:r>
      <w:r w:rsidR="003E5EE0">
        <w:t xml:space="preserve">to report image-based abuse. </w:t>
      </w:r>
      <w:r w:rsidR="00B604CF">
        <w:t xml:space="preserve"> </w:t>
      </w:r>
      <w:r w:rsidR="003E5EE0">
        <w:t xml:space="preserve">We refer to you to our </w:t>
      </w:r>
      <w:hyperlink r:id="rId9" w:history="1">
        <w:r w:rsidR="003E5EE0" w:rsidRPr="003E5EE0">
          <w:rPr>
            <w:rStyle w:val="Hyperlink"/>
          </w:rPr>
          <w:t>submission</w:t>
        </w:r>
      </w:hyperlink>
      <w:r w:rsidR="003E5EE0">
        <w:t xml:space="preserve"> </w:t>
      </w:r>
      <w:r w:rsidR="003E5EE0">
        <w:rPr>
          <w:lang w:val="en-US"/>
        </w:rPr>
        <w:t>on the proposed civil penalties regime for non-consensual sharing of intimate images to the Department of Communication and the Arts</w:t>
      </w:r>
      <w:r w:rsidR="00B604CF">
        <w:rPr>
          <w:lang w:val="en-US"/>
        </w:rPr>
        <w:t xml:space="preserve">, as well as </w:t>
      </w:r>
      <w:hyperlink r:id="rId10" w:history="1">
        <w:r w:rsidR="00B604CF" w:rsidRPr="00B604CF">
          <w:rPr>
            <w:rStyle w:val="Hyperlink"/>
            <w:lang w:val="en-US"/>
          </w:rPr>
          <w:t>Women’s Legal Services Australia’s</w:t>
        </w:r>
      </w:hyperlink>
      <w:r w:rsidR="00B604CF">
        <w:rPr>
          <w:lang w:val="en-US"/>
        </w:rPr>
        <w:t xml:space="preserve"> and </w:t>
      </w:r>
      <w:hyperlink r:id="rId11" w:history="1">
        <w:r w:rsidR="00B604CF" w:rsidRPr="00B604CF">
          <w:rPr>
            <w:rStyle w:val="Hyperlink"/>
            <w:lang w:val="en-US"/>
          </w:rPr>
          <w:t>WESNET Safety Net Australia</w:t>
        </w:r>
      </w:hyperlink>
      <w:r w:rsidR="00B604CF">
        <w:rPr>
          <w:lang w:val="en-US"/>
        </w:rPr>
        <w:t>’s submissions to the same consultation</w:t>
      </w:r>
      <w:r w:rsidR="003E5EE0">
        <w:rPr>
          <w:lang w:val="en-US"/>
        </w:rPr>
        <w:t>.</w:t>
      </w:r>
    </w:p>
    <w:p w14:paraId="52655676" w14:textId="43538427" w:rsidR="003E5EE0" w:rsidRDefault="003E5EE0" w:rsidP="003E5EE0">
      <w:pPr>
        <w:spacing w:line="276" w:lineRule="auto"/>
        <w:jc w:val="both"/>
        <w:rPr>
          <w:lang w:val="en-US"/>
        </w:rPr>
      </w:pPr>
      <w:r>
        <w:rPr>
          <w:lang w:val="en-US"/>
        </w:rPr>
        <w:t xml:space="preserve">We believe that the </w:t>
      </w:r>
      <w:r w:rsidR="001E71D2">
        <w:rPr>
          <w:lang w:val="en-US"/>
        </w:rPr>
        <w:t xml:space="preserve">work </w:t>
      </w:r>
      <w:r>
        <w:rPr>
          <w:lang w:val="en-US"/>
        </w:rPr>
        <w:t xml:space="preserve">of the eSafety Commissioner should be extended to </w:t>
      </w:r>
      <w:r w:rsidR="001E71D2">
        <w:rPr>
          <w:lang w:val="en-US"/>
        </w:rPr>
        <w:t xml:space="preserve">focus </w:t>
      </w:r>
      <w:r>
        <w:rPr>
          <w:lang w:val="en-US"/>
        </w:rPr>
        <w:t xml:space="preserve">not only </w:t>
      </w:r>
      <w:r w:rsidR="001E71D2">
        <w:rPr>
          <w:lang w:val="en-US"/>
        </w:rPr>
        <w:t xml:space="preserve">on </w:t>
      </w:r>
      <w:r>
        <w:rPr>
          <w:lang w:val="en-US"/>
        </w:rPr>
        <w:t xml:space="preserve">cyberbullying directed at children but also </w:t>
      </w:r>
      <w:r w:rsidR="001E71D2">
        <w:rPr>
          <w:lang w:val="en-US"/>
        </w:rPr>
        <w:t xml:space="preserve">on </w:t>
      </w:r>
      <w:r>
        <w:rPr>
          <w:lang w:val="en-US"/>
        </w:rPr>
        <w:t xml:space="preserve">other groups at risk. In the most recent survey by Powell </w:t>
      </w:r>
      <w:r>
        <w:rPr>
          <w:lang w:val="en-US"/>
        </w:rPr>
        <w:lastRenderedPageBreak/>
        <w:t xml:space="preserve">and Henry it was concluded that people with disability, Aboriginal and Torres Strait Islander people and people who identify as LGBTIQ are </w:t>
      </w:r>
      <w:r w:rsidR="001E71D2">
        <w:rPr>
          <w:lang w:val="en-US"/>
        </w:rPr>
        <w:t xml:space="preserve">particularly </w:t>
      </w:r>
      <w:r>
        <w:rPr>
          <w:lang w:val="en-US"/>
        </w:rPr>
        <w:t>vulnerable to technology-facilitated abuse.</w:t>
      </w:r>
      <w:r>
        <w:rPr>
          <w:rStyle w:val="FootnoteReference"/>
          <w:lang w:val="en-US"/>
        </w:rPr>
        <w:footnoteReference w:id="5"/>
      </w:r>
      <w:r>
        <w:rPr>
          <w:lang w:val="en-US"/>
        </w:rPr>
        <w:t xml:space="preserve"> </w:t>
      </w:r>
    </w:p>
    <w:p w14:paraId="7601A6AE" w14:textId="28D6E919" w:rsidR="00B604CF" w:rsidRDefault="00B604CF" w:rsidP="00B604CF">
      <w:pPr>
        <w:spacing w:line="276" w:lineRule="auto"/>
        <w:jc w:val="both"/>
        <w:rPr>
          <w:lang w:val="en-US"/>
        </w:rPr>
      </w:pPr>
      <w:r>
        <w:rPr>
          <w:lang w:val="en-US"/>
        </w:rPr>
        <w:t xml:space="preserve">We also refer you to the </w:t>
      </w:r>
      <w:hyperlink r:id="rId12" w:history="1">
        <w:r w:rsidRPr="00B604CF">
          <w:rPr>
            <w:rStyle w:val="Hyperlink"/>
            <w:lang w:val="en-US"/>
          </w:rPr>
          <w:t>submission made by Project Respect</w:t>
        </w:r>
      </w:hyperlink>
      <w:r w:rsidRPr="00B604CF">
        <w:rPr>
          <w:lang w:val="en-US"/>
        </w:rPr>
        <w:t xml:space="preserve"> </w:t>
      </w:r>
      <w:r>
        <w:rPr>
          <w:lang w:val="en-US"/>
        </w:rPr>
        <w:t xml:space="preserve">to the Senate Legal and Constitutional </w:t>
      </w:r>
      <w:r w:rsidRPr="00B604CF">
        <w:rPr>
          <w:lang w:val="en-US"/>
        </w:rPr>
        <w:t>Affairs References Committ</w:t>
      </w:r>
      <w:r>
        <w:rPr>
          <w:lang w:val="en-US"/>
        </w:rPr>
        <w:t xml:space="preserve">ee Inquiry into the ‘Phenomenon </w:t>
      </w:r>
      <w:r w:rsidRPr="00B604CF">
        <w:rPr>
          <w:lang w:val="en-US"/>
        </w:rPr>
        <w:t>colloquially referred to as ‘revenge porn’, which involves sharing private</w:t>
      </w:r>
      <w:r>
        <w:rPr>
          <w:lang w:val="en-US"/>
        </w:rPr>
        <w:t xml:space="preserve"> </w:t>
      </w:r>
      <w:r w:rsidRPr="00B604CF">
        <w:rPr>
          <w:lang w:val="en-US"/>
        </w:rPr>
        <w:t xml:space="preserve">images and recordings of a person </w:t>
      </w:r>
      <w:r>
        <w:rPr>
          <w:lang w:val="en-US"/>
        </w:rPr>
        <w:t xml:space="preserve">without their consent, with the </w:t>
      </w:r>
      <w:r w:rsidRPr="00B604CF">
        <w:rPr>
          <w:lang w:val="en-US"/>
        </w:rPr>
        <w:t>intention to cause that person harm’.</w:t>
      </w:r>
      <w:r>
        <w:rPr>
          <w:lang w:val="en-US"/>
        </w:rPr>
        <w:t xml:space="preserve"> This submission contains important information about how women</w:t>
      </w:r>
      <w:r w:rsidR="00821E14">
        <w:rPr>
          <w:lang w:val="en-US"/>
        </w:rPr>
        <w:t xml:space="preserve"> working</w:t>
      </w:r>
      <w:r>
        <w:rPr>
          <w:lang w:val="en-US"/>
        </w:rPr>
        <w:t xml:space="preserve"> in the sex industry are subjected to technology-facilitated abuse and the issues involved. </w:t>
      </w:r>
    </w:p>
    <w:p w14:paraId="698F116F" w14:textId="5EDB09F2" w:rsidR="00B604CF" w:rsidRPr="003E5EE0" w:rsidRDefault="00B604CF" w:rsidP="00B604CF">
      <w:pPr>
        <w:spacing w:line="276" w:lineRule="auto"/>
        <w:jc w:val="both"/>
        <w:rPr>
          <w:lang w:val="en-US"/>
        </w:rPr>
      </w:pPr>
      <w:r>
        <w:rPr>
          <w:rFonts w:cs="Arial"/>
        </w:rPr>
        <w:t>There is a need for a consistent legislation in relation to all forms of technology-facilitated abuse across all jurisdictions. More importantly, it is vital to ensure that appropriate magistrates, lawyers and police are interpreting and applying the legislation correctly. Appropriate training on violence against women and technology is required</w:t>
      </w:r>
      <w:r w:rsidR="00821E14">
        <w:rPr>
          <w:rFonts w:cs="Arial"/>
        </w:rPr>
        <w:t xml:space="preserve"> to achieve this end</w:t>
      </w:r>
      <w:r>
        <w:rPr>
          <w:rFonts w:cs="Arial"/>
        </w:rPr>
        <w:t xml:space="preserve">. </w:t>
      </w:r>
    </w:p>
    <w:p w14:paraId="6BD3417F" w14:textId="7DD6EDDD" w:rsidR="00CF46FF" w:rsidRDefault="00CF46FF" w:rsidP="00CF46FF">
      <w:pPr>
        <w:pStyle w:val="Heading2"/>
        <w:jc w:val="both"/>
        <w:rPr>
          <w:rFonts w:asciiTheme="minorHAnsi" w:hAnsiTheme="minorHAnsi"/>
        </w:rPr>
      </w:pPr>
      <w:r w:rsidRPr="00CF46FF">
        <w:rPr>
          <w:rFonts w:asciiTheme="minorHAnsi" w:hAnsiTheme="minorHAnsi"/>
        </w:rPr>
        <w:t xml:space="preserve">Cyberbullying and </w:t>
      </w:r>
      <w:r w:rsidR="00F176F4">
        <w:rPr>
          <w:rFonts w:asciiTheme="minorHAnsi" w:hAnsiTheme="minorHAnsi"/>
        </w:rPr>
        <w:t>diverse populations</w:t>
      </w:r>
    </w:p>
    <w:p w14:paraId="356AB7DA" w14:textId="1F25BD73" w:rsidR="00F176F4" w:rsidRPr="00F176F4" w:rsidRDefault="00CF46FF" w:rsidP="00F176F4">
      <w:pPr>
        <w:jc w:val="both"/>
        <w:rPr>
          <w:rFonts w:cs="Arial"/>
        </w:rPr>
      </w:pPr>
      <w:r w:rsidRPr="00684773">
        <w:rPr>
          <w:rFonts w:cs="Arial"/>
        </w:rPr>
        <w:t xml:space="preserve">Reports </w:t>
      </w:r>
      <w:r w:rsidR="00B52DBB">
        <w:rPr>
          <w:rFonts w:cs="Arial"/>
        </w:rPr>
        <w:t>over</w:t>
      </w:r>
      <w:r w:rsidR="00B52DBB" w:rsidRPr="00684773">
        <w:rPr>
          <w:rFonts w:cs="Arial"/>
        </w:rPr>
        <w:t xml:space="preserve"> </w:t>
      </w:r>
      <w:r w:rsidRPr="00684773">
        <w:rPr>
          <w:rFonts w:cs="Arial"/>
        </w:rPr>
        <w:t>the last 10 years indicate that from 60 to 80 per cent of people who identify as LGBTIQ have experienced homophobic abuse including cyberbullying.</w:t>
      </w:r>
      <w:r w:rsidR="008F2031" w:rsidRPr="00684773">
        <w:rPr>
          <w:rFonts w:cs="Arial"/>
          <w:vertAlign w:val="superscript"/>
        </w:rPr>
        <w:footnoteReference w:id="6"/>
      </w:r>
      <w:r w:rsidR="00684773" w:rsidRPr="00684773">
        <w:rPr>
          <w:rFonts w:cs="Arial"/>
        </w:rPr>
        <w:t xml:space="preserve"> Transgender women and men experience significantly higher rates of non-physical and physical abuse compared with women and men who identify as homosexual.</w:t>
      </w:r>
      <w:r w:rsidR="00684773" w:rsidRPr="00684773">
        <w:rPr>
          <w:vertAlign w:val="superscript"/>
        </w:rPr>
        <w:footnoteReference w:id="7"/>
      </w:r>
      <w:r w:rsidR="00684773" w:rsidRPr="00684773">
        <w:rPr>
          <w:rFonts w:cs="Arial"/>
        </w:rPr>
        <w:t xml:space="preserve"> </w:t>
      </w:r>
      <w:r w:rsidR="00F176F4" w:rsidRPr="00684773">
        <w:rPr>
          <w:rFonts w:cs="Arial"/>
        </w:rPr>
        <w:t>The</w:t>
      </w:r>
      <w:r w:rsidR="00F176F4">
        <w:rPr>
          <w:rFonts w:cs="Arial"/>
        </w:rPr>
        <w:t xml:space="preserve"> National LGBTI Health Alliance states that </w:t>
      </w:r>
      <w:r w:rsidR="00F176F4" w:rsidRPr="00F176F4">
        <w:rPr>
          <w:rFonts w:cs="Arial"/>
        </w:rPr>
        <w:t>LGBTI young people aged 16 to 27 are</w:t>
      </w:r>
      <w:r w:rsidR="006D39E3">
        <w:rPr>
          <w:rFonts w:cs="Arial"/>
        </w:rPr>
        <w:t xml:space="preserve"> </w:t>
      </w:r>
      <w:r w:rsidR="00F176F4" w:rsidRPr="00F176F4">
        <w:rPr>
          <w:rFonts w:cs="Arial"/>
        </w:rPr>
        <w:t>five times more likely to attempt suicide.</w:t>
      </w:r>
      <w:r w:rsidR="00F176F4" w:rsidRPr="00F176F4">
        <w:rPr>
          <w:rFonts w:cs="Arial"/>
          <w:vertAlign w:val="superscript"/>
        </w:rPr>
        <w:footnoteReference w:id="8"/>
      </w:r>
      <w:r w:rsidR="00F176F4" w:rsidRPr="00F176F4">
        <w:rPr>
          <w:rFonts w:cs="Arial"/>
        </w:rPr>
        <w:t xml:space="preserve"> When experienced bullying and harassment, the risk is higher. </w:t>
      </w:r>
    </w:p>
    <w:p w14:paraId="6DAD17DC" w14:textId="158897BD" w:rsidR="00331D6E" w:rsidRDefault="00331D6E" w:rsidP="00684773">
      <w:pPr>
        <w:jc w:val="both"/>
        <w:rPr>
          <w:rFonts w:cs="Arial"/>
          <w:vertAlign w:val="superscript"/>
        </w:rPr>
      </w:pPr>
      <w:r w:rsidRPr="00684773">
        <w:rPr>
          <w:rFonts w:cs="Arial"/>
        </w:rPr>
        <w:t>Chatrooms have been identified as the place where young LGBTI people are most likely to feel threatened.</w:t>
      </w:r>
      <w:r w:rsidRPr="00684773">
        <w:rPr>
          <w:vertAlign w:val="superscript"/>
        </w:rPr>
        <w:footnoteReference w:id="9"/>
      </w:r>
      <w:r w:rsidR="00684773">
        <w:rPr>
          <w:rFonts w:cs="Arial"/>
        </w:rPr>
        <w:t xml:space="preserve"> </w:t>
      </w:r>
      <w:r w:rsidRPr="00684773">
        <w:rPr>
          <w:rFonts w:cs="Arial"/>
        </w:rPr>
        <w:t>The incidence of cyberbullying has increased greatly in recent years with the proliferation of online social networking tools.</w:t>
      </w:r>
      <w:r w:rsidRPr="00684773">
        <w:rPr>
          <w:vertAlign w:val="superscript"/>
        </w:rPr>
        <w:footnoteReference w:id="10"/>
      </w:r>
      <w:r w:rsidRPr="00684773">
        <w:rPr>
          <w:rFonts w:cs="Arial"/>
          <w:vertAlign w:val="superscript"/>
        </w:rPr>
        <w:t xml:space="preserve"> </w:t>
      </w:r>
      <w:r w:rsidRPr="00684773">
        <w:rPr>
          <w:rFonts w:cs="Arial"/>
        </w:rPr>
        <w:t>There have been high profile cases of LGBTI young people being bullied and harassed online that have resulted in self harm and suicide.</w:t>
      </w:r>
      <w:bookmarkStart w:id="0" w:name="fnB61"/>
      <w:r w:rsidRPr="00684773">
        <w:rPr>
          <w:rFonts w:cs="Arial"/>
          <w:vertAlign w:val="superscript"/>
        </w:rPr>
        <w:fldChar w:fldCharType="begin"/>
      </w:r>
      <w:r w:rsidRPr="00684773">
        <w:rPr>
          <w:rFonts w:cs="Arial"/>
          <w:vertAlign w:val="superscript"/>
        </w:rPr>
        <w:instrText xml:space="preserve"> HYPERLINK "https://bullying.humanrights.gov.au/lesbian-gay-bisexual-trans-and-intersex-equality-1" \l "fn61" </w:instrText>
      </w:r>
      <w:r w:rsidRPr="00684773">
        <w:rPr>
          <w:rFonts w:cs="Arial"/>
          <w:vertAlign w:val="superscript"/>
        </w:rPr>
        <w:fldChar w:fldCharType="separate"/>
      </w:r>
      <w:r w:rsidRPr="00684773">
        <w:rPr>
          <w:vertAlign w:val="superscript"/>
        </w:rPr>
        <w:footnoteReference w:id="11"/>
      </w:r>
      <w:r w:rsidRPr="00684773">
        <w:rPr>
          <w:rFonts w:cs="Arial"/>
          <w:vertAlign w:val="superscript"/>
        </w:rPr>
        <w:fldChar w:fldCharType="end"/>
      </w:r>
      <w:bookmarkEnd w:id="0"/>
    </w:p>
    <w:p w14:paraId="2288F717" w14:textId="6A9F6994" w:rsidR="00F176F4" w:rsidRDefault="009E00AC" w:rsidP="00684773">
      <w:pPr>
        <w:jc w:val="both"/>
        <w:rPr>
          <w:rFonts w:cs="Arial"/>
        </w:rPr>
      </w:pPr>
      <w:r>
        <w:rPr>
          <w:rFonts w:cs="Arial"/>
        </w:rPr>
        <w:t xml:space="preserve">As noted above, researchers </w:t>
      </w:r>
      <w:r w:rsidR="00F176F4">
        <w:rPr>
          <w:rFonts w:cs="Arial"/>
        </w:rPr>
        <w:t xml:space="preserve">Henry and Powell also </w:t>
      </w:r>
      <w:r>
        <w:rPr>
          <w:rFonts w:cs="Arial"/>
        </w:rPr>
        <w:t xml:space="preserve">found </w:t>
      </w:r>
      <w:r w:rsidR="00F176F4">
        <w:rPr>
          <w:rFonts w:cs="Arial"/>
        </w:rPr>
        <w:t>that people with disabilities and Aboriginal and Torres Strait Islander</w:t>
      </w:r>
      <w:r w:rsidR="00B604CF">
        <w:rPr>
          <w:rFonts w:cs="Arial"/>
        </w:rPr>
        <w:t xml:space="preserve"> people </w:t>
      </w:r>
      <w:r w:rsidR="00F176F4">
        <w:rPr>
          <w:rFonts w:cs="Arial"/>
        </w:rPr>
        <w:t>are among populations vulnerable to the increased rates of technology-fac</w:t>
      </w:r>
      <w:r w:rsidR="00B52DBB">
        <w:rPr>
          <w:rFonts w:cs="Arial"/>
        </w:rPr>
        <w:t xml:space="preserve">ilitated </w:t>
      </w:r>
      <w:r w:rsidR="00F176F4">
        <w:rPr>
          <w:rFonts w:cs="Arial"/>
        </w:rPr>
        <w:t>abuse.</w:t>
      </w:r>
      <w:r>
        <w:rPr>
          <w:rFonts w:cs="Arial"/>
        </w:rPr>
        <w:t xml:space="preserve"> </w:t>
      </w:r>
      <w:r w:rsidRPr="009E00AC">
        <w:rPr>
          <w:rFonts w:cs="Arial"/>
        </w:rPr>
        <w:t>The suicide rate amongst Aboriginal and Torres Strait Islander peoples is more than double the national rate.</w:t>
      </w:r>
      <w:r w:rsidR="00F176F4">
        <w:rPr>
          <w:rStyle w:val="FootnoteReference"/>
          <w:rFonts w:cs="Arial"/>
        </w:rPr>
        <w:footnoteReference w:id="12"/>
      </w:r>
      <w:r w:rsidR="00F176F4">
        <w:rPr>
          <w:rFonts w:cs="Arial"/>
        </w:rPr>
        <w:t xml:space="preserve"> </w:t>
      </w:r>
    </w:p>
    <w:p w14:paraId="635247E0" w14:textId="5AC32D9B" w:rsidR="00684773" w:rsidRDefault="00F176F4" w:rsidP="00684773">
      <w:pPr>
        <w:jc w:val="both"/>
        <w:rPr>
          <w:rFonts w:cs="Arial"/>
        </w:rPr>
      </w:pPr>
      <w:r>
        <w:rPr>
          <w:rFonts w:cs="Arial"/>
        </w:rPr>
        <w:t xml:space="preserve">Thus, </w:t>
      </w:r>
      <w:r w:rsidR="00377EFF">
        <w:rPr>
          <w:rFonts w:cs="Arial"/>
        </w:rPr>
        <w:t xml:space="preserve">we recommend that in pursuing law reform, jurisdictions consider how </w:t>
      </w:r>
      <w:r>
        <w:rPr>
          <w:rFonts w:cs="Arial"/>
        </w:rPr>
        <w:t xml:space="preserve">criminal penalties </w:t>
      </w:r>
      <w:r w:rsidR="00377EFF">
        <w:rPr>
          <w:rFonts w:cs="Arial"/>
        </w:rPr>
        <w:t xml:space="preserve">can </w:t>
      </w:r>
      <w:r>
        <w:rPr>
          <w:rFonts w:cs="Arial"/>
        </w:rPr>
        <w:t xml:space="preserve">work together with antidiscrimination laws </w:t>
      </w:r>
      <w:r w:rsidR="00377EFF">
        <w:rPr>
          <w:rFonts w:cs="Arial"/>
        </w:rPr>
        <w:t xml:space="preserve">to </w:t>
      </w:r>
      <w:r w:rsidR="00065CE4">
        <w:rPr>
          <w:rFonts w:cs="Arial"/>
        </w:rPr>
        <w:t>treat</w:t>
      </w:r>
      <w:r>
        <w:rPr>
          <w:rFonts w:cs="Arial"/>
        </w:rPr>
        <w:t xml:space="preserve"> cyberbullying on the grounds of sexuality, culture, race, gender, </w:t>
      </w:r>
      <w:r w:rsidR="009E00AC">
        <w:rPr>
          <w:rFonts w:cs="Arial"/>
        </w:rPr>
        <w:t xml:space="preserve">disability and </w:t>
      </w:r>
      <w:r>
        <w:rPr>
          <w:rFonts w:cs="Arial"/>
        </w:rPr>
        <w:t xml:space="preserve">religion </w:t>
      </w:r>
      <w:r w:rsidR="00065CE4">
        <w:rPr>
          <w:rFonts w:cs="Arial"/>
        </w:rPr>
        <w:t xml:space="preserve">as </w:t>
      </w:r>
      <w:r w:rsidR="00377EFF">
        <w:rPr>
          <w:rFonts w:cs="Arial"/>
        </w:rPr>
        <w:t>particularly serious offences</w:t>
      </w:r>
      <w:r w:rsidR="00065CE4">
        <w:rPr>
          <w:rFonts w:cs="Arial"/>
        </w:rPr>
        <w:t xml:space="preserve">. </w:t>
      </w:r>
    </w:p>
    <w:p w14:paraId="28EBC493" w14:textId="352EA5C5" w:rsidR="000E5C3A" w:rsidRDefault="000E5C3A" w:rsidP="009E00AC">
      <w:pPr>
        <w:pStyle w:val="Heading2"/>
      </w:pPr>
      <w:r>
        <w:t>Adequate consultation process regarding legislation changes</w:t>
      </w:r>
    </w:p>
    <w:p w14:paraId="599A4670" w14:textId="28CB9868" w:rsidR="000E5C3A" w:rsidRPr="00684773" w:rsidRDefault="000E5C3A" w:rsidP="00684773">
      <w:pPr>
        <w:jc w:val="both"/>
        <w:rPr>
          <w:rFonts w:cs="Arial"/>
        </w:rPr>
      </w:pPr>
      <w:r>
        <w:rPr>
          <w:rFonts w:cs="Arial"/>
        </w:rPr>
        <w:t>It is important to ensure that a wide range of stakeholders working in the areas of violence against women, technology-facilitated abuse, children and technological safety, lawyers, police, magistrates and other relevant bodies are consulted on the changes and implementation of the legislation. It is also important to include victims/survivors in the consultation process to ensure that their experiences are heard and</w:t>
      </w:r>
      <w:r w:rsidR="006D12E8">
        <w:rPr>
          <w:rFonts w:cs="Arial"/>
        </w:rPr>
        <w:t xml:space="preserve"> anticipated</w:t>
      </w:r>
      <w:r>
        <w:rPr>
          <w:rFonts w:cs="Arial"/>
        </w:rPr>
        <w:t xml:space="preserve"> legislative changes meet their needs in accessing justice. </w:t>
      </w:r>
    </w:p>
    <w:p w14:paraId="06520B15" w14:textId="1010A4E0" w:rsidR="00684773" w:rsidRDefault="00F176F4" w:rsidP="00F176F4">
      <w:pPr>
        <w:pStyle w:val="Heading2"/>
        <w:jc w:val="both"/>
        <w:rPr>
          <w:rFonts w:asciiTheme="minorHAnsi" w:hAnsiTheme="minorHAnsi"/>
        </w:rPr>
      </w:pPr>
      <w:r w:rsidRPr="00F176F4">
        <w:rPr>
          <w:rFonts w:asciiTheme="minorHAnsi" w:hAnsiTheme="minorHAnsi"/>
        </w:rPr>
        <w:t xml:space="preserve">Training for </w:t>
      </w:r>
      <w:r w:rsidR="000E5C3A">
        <w:rPr>
          <w:rFonts w:asciiTheme="minorHAnsi" w:hAnsiTheme="minorHAnsi"/>
        </w:rPr>
        <w:t xml:space="preserve">magistrates, lawyers and </w:t>
      </w:r>
      <w:r w:rsidRPr="00F176F4">
        <w:rPr>
          <w:rFonts w:asciiTheme="minorHAnsi" w:hAnsiTheme="minorHAnsi"/>
        </w:rPr>
        <w:t xml:space="preserve">police </w:t>
      </w:r>
      <w:r w:rsidR="000E5C3A">
        <w:rPr>
          <w:rFonts w:asciiTheme="minorHAnsi" w:hAnsiTheme="minorHAnsi"/>
        </w:rPr>
        <w:t xml:space="preserve">on violence against women and technology </w:t>
      </w:r>
    </w:p>
    <w:p w14:paraId="229A97BD" w14:textId="4A329261" w:rsidR="00065CE4" w:rsidRDefault="00065CE4" w:rsidP="00065CE4">
      <w:pPr>
        <w:jc w:val="both"/>
      </w:pPr>
      <w:r w:rsidRPr="003220DD">
        <w:t>Police training is important in ensuring their ability to investigate and prosecute perpetrators</w:t>
      </w:r>
      <w:r>
        <w:t>, as well increasing public trust in obtaining justice in the instances of technology-facilitated abuse. Powell and Henry argue that police lack sufficient training to cope with the increased rates of crimes committed in the online realm.</w:t>
      </w:r>
      <w:r>
        <w:rPr>
          <w:rStyle w:val="FootnoteReference"/>
        </w:rPr>
        <w:footnoteReference w:id="13"/>
      </w:r>
      <w:r>
        <w:t xml:space="preserve"> </w:t>
      </w:r>
    </w:p>
    <w:p w14:paraId="11267985" w14:textId="315509E4" w:rsidR="007164BF" w:rsidRDefault="007164BF" w:rsidP="00065CE4">
      <w:pPr>
        <w:jc w:val="both"/>
      </w:pPr>
      <w:r>
        <w:t xml:space="preserve">It is equally important to train lawyers and appropriate magistrates on violence against women and technology-facilitated abuse. </w:t>
      </w:r>
      <w:r w:rsidR="006D4083">
        <w:t>We refer you to the Safety Net Australia, a project run by WESNET for training available.</w:t>
      </w:r>
      <w:r w:rsidR="006D4083">
        <w:rPr>
          <w:rStyle w:val="FootnoteReference"/>
        </w:rPr>
        <w:footnoteReference w:id="14"/>
      </w:r>
      <w:r w:rsidR="006D4083">
        <w:t xml:space="preserve"> </w:t>
      </w:r>
    </w:p>
    <w:p w14:paraId="14079A83" w14:textId="10374259" w:rsidR="00F71303" w:rsidRDefault="000E5C3A" w:rsidP="00172177">
      <w:pPr>
        <w:pStyle w:val="Heading2"/>
      </w:pPr>
      <w:r>
        <w:t>Adequate and sustainable funding to service providers</w:t>
      </w:r>
    </w:p>
    <w:p w14:paraId="32F91BC9" w14:textId="17DBDFB9" w:rsidR="000E5C3A" w:rsidRPr="000E5C3A" w:rsidRDefault="00340F68" w:rsidP="009E00AC">
      <w:r>
        <w:t xml:space="preserve">It is imperative to ensure adequate and sustainable funding </w:t>
      </w:r>
      <w:r w:rsidR="00B567B3">
        <w:t xml:space="preserve">to organisations working in women’s sector for continuing service provision, training and resource development of technology-facilitated violence against women. </w:t>
      </w:r>
    </w:p>
    <w:p w14:paraId="6495EF41" w14:textId="67086FC5" w:rsidR="00B52DBB" w:rsidRDefault="00B52DBB" w:rsidP="00172177">
      <w:pPr>
        <w:pStyle w:val="Heading2"/>
      </w:pPr>
      <w:r>
        <w:t>Image-based abuse</w:t>
      </w:r>
    </w:p>
    <w:p w14:paraId="7C7BA039" w14:textId="2185350D" w:rsidR="00F71303" w:rsidRDefault="00B52DBB" w:rsidP="00F71303">
      <w:pPr>
        <w:jc w:val="both"/>
      </w:pPr>
      <w:r>
        <w:t>In relation to image-based abuse, w</w:t>
      </w:r>
      <w:r w:rsidR="00F71303">
        <w:t>e reiterate that t</w:t>
      </w:r>
      <w:r w:rsidR="00F71303" w:rsidRPr="00294BE2">
        <w:t xml:space="preserve">he best protection in the Australian context will be achieved by a specific purpose Commonwealth law </w:t>
      </w:r>
      <w:r>
        <w:t xml:space="preserve">(in the Criminal Code) </w:t>
      </w:r>
      <w:r w:rsidR="00F71303" w:rsidRPr="00294BE2">
        <w:t>mirrored by consistent and uniform State and Territory laws. Penalties for the offence should be substantial, reflecting the harm caused and the need to deter potential offenders. It should also focus on the potential harm caused to the victim, rather than the intention of the offender, with culpability framed in terms of recklessness with regard to the likely impacts on the victim, rather than depending on intention per se, which can be difficult to establish.</w:t>
      </w:r>
      <w:r w:rsidR="00F71303" w:rsidRPr="00F71303">
        <w:t xml:space="preserve"> </w:t>
      </w:r>
      <w:r w:rsidR="00F71303" w:rsidRPr="00F71303">
        <w:rPr>
          <w:vertAlign w:val="superscript"/>
        </w:rPr>
        <w:footnoteReference w:id="15"/>
      </w:r>
    </w:p>
    <w:p w14:paraId="463A16C0" w14:textId="77777777" w:rsidR="0045746B" w:rsidRPr="0045746B" w:rsidRDefault="0045746B" w:rsidP="0045746B">
      <w:pPr>
        <w:jc w:val="both"/>
      </w:pPr>
      <w:bookmarkStart w:id="1" w:name="_GoBack"/>
      <w:bookmarkEnd w:id="1"/>
    </w:p>
    <w:p w14:paraId="3D87A89B" w14:textId="77777777" w:rsidR="0045746B" w:rsidRPr="0045746B" w:rsidRDefault="0045746B" w:rsidP="0045746B">
      <w:pPr>
        <w:jc w:val="both"/>
      </w:pPr>
      <w:r w:rsidRPr="0045746B">
        <w:t>If you would like to discuss the contents of the AWAVA submission further, please contact Merrindahl Andrew, AWAVA Program Manager, using the details below.</w:t>
      </w:r>
    </w:p>
    <w:p w14:paraId="185C0885" w14:textId="77777777" w:rsidR="0045746B" w:rsidRPr="0045746B" w:rsidRDefault="0045746B" w:rsidP="0045746B">
      <w:pPr>
        <w:jc w:val="both"/>
      </w:pPr>
      <w:r w:rsidRPr="0045746B">
        <w:t xml:space="preserve"> </w:t>
      </w:r>
    </w:p>
    <w:p w14:paraId="1DBF915D" w14:textId="77777777" w:rsidR="0045746B" w:rsidRDefault="0045746B" w:rsidP="0045746B">
      <w:pPr>
        <w:jc w:val="both"/>
        <w:rPr>
          <w:rFonts w:cstheme="minorHAnsi"/>
        </w:rPr>
      </w:pPr>
      <w:r>
        <w:rPr>
          <w:rFonts w:cstheme="minorHAnsi"/>
        </w:rPr>
        <w:t>Merrindahl Andrew</w:t>
      </w:r>
    </w:p>
    <w:p w14:paraId="5938555B" w14:textId="77777777" w:rsidR="0045746B" w:rsidRDefault="0045746B" w:rsidP="0045746B">
      <w:pPr>
        <w:jc w:val="both"/>
        <w:rPr>
          <w:rFonts w:cstheme="minorHAnsi"/>
        </w:rPr>
      </w:pPr>
      <w:r>
        <w:rPr>
          <w:rFonts w:cstheme="minorHAnsi"/>
        </w:rPr>
        <w:t>Program Manager</w:t>
      </w:r>
    </w:p>
    <w:p w14:paraId="612F6337" w14:textId="77777777" w:rsidR="0045746B" w:rsidRDefault="0045746B" w:rsidP="0045746B">
      <w:pPr>
        <w:jc w:val="both"/>
        <w:rPr>
          <w:rFonts w:cstheme="minorHAnsi"/>
        </w:rPr>
      </w:pPr>
      <w:r>
        <w:rPr>
          <w:rFonts w:cstheme="minorHAnsi"/>
        </w:rPr>
        <w:t>Australian Women Against Violence Alliance</w:t>
      </w:r>
    </w:p>
    <w:p w14:paraId="71FE290B" w14:textId="77777777" w:rsidR="0045746B" w:rsidRDefault="00483A1C" w:rsidP="0045746B">
      <w:pPr>
        <w:jc w:val="both"/>
      </w:pPr>
      <w:hyperlink r:id="rId13" w:history="1">
        <w:r w:rsidR="0045746B">
          <w:rPr>
            <w:rStyle w:val="Hyperlink"/>
            <w:rFonts w:cstheme="minorHAnsi"/>
          </w:rPr>
          <w:t>www.awava.org.au</w:t>
        </w:r>
      </w:hyperlink>
      <w:r w:rsidR="0045746B">
        <w:rPr>
          <w:rFonts w:cstheme="minorHAnsi"/>
        </w:rPr>
        <w:t xml:space="preserve"> | </w:t>
      </w:r>
      <w:hyperlink r:id="rId14" w:history="1">
        <w:r w:rsidR="0045746B">
          <w:rPr>
            <w:rStyle w:val="Hyperlink"/>
            <w:rFonts w:cstheme="minorHAnsi"/>
          </w:rPr>
          <w:t>pm@awava.org.au</w:t>
        </w:r>
      </w:hyperlink>
      <w:r w:rsidR="0045746B">
        <w:rPr>
          <w:rFonts w:cstheme="minorHAnsi"/>
        </w:rPr>
        <w:t xml:space="preserve"> | ph: 0428 541 396</w:t>
      </w:r>
    </w:p>
    <w:p w14:paraId="7F1348F9" w14:textId="292E9E4C" w:rsidR="00F71303" w:rsidRPr="00065CE4" w:rsidRDefault="00F71303" w:rsidP="00F71303">
      <w:pPr>
        <w:jc w:val="both"/>
      </w:pPr>
    </w:p>
    <w:sectPr w:rsidR="00F71303" w:rsidRPr="00065CE4" w:rsidSect="00125AA8">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066EA" w14:textId="77777777" w:rsidR="004774B4" w:rsidRDefault="004774B4" w:rsidP="004774B4">
      <w:pPr>
        <w:spacing w:after="0" w:line="240" w:lineRule="auto"/>
      </w:pPr>
      <w:r>
        <w:separator/>
      </w:r>
    </w:p>
  </w:endnote>
  <w:endnote w:type="continuationSeparator" w:id="0">
    <w:p w14:paraId="25DA4006" w14:textId="77777777" w:rsidR="004774B4" w:rsidRDefault="004774B4" w:rsidP="0047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97200"/>
      <w:docPartObj>
        <w:docPartGallery w:val="Page Numbers (Bottom of Page)"/>
        <w:docPartUnique/>
      </w:docPartObj>
    </w:sdtPr>
    <w:sdtEndPr>
      <w:rPr>
        <w:noProof/>
      </w:rPr>
    </w:sdtEndPr>
    <w:sdtContent>
      <w:p w14:paraId="4AF7500D" w14:textId="439DF6C5" w:rsidR="008C4F13" w:rsidRDefault="008C4F13">
        <w:pPr>
          <w:pStyle w:val="Footer"/>
          <w:jc w:val="right"/>
        </w:pPr>
        <w:r>
          <w:fldChar w:fldCharType="begin"/>
        </w:r>
        <w:r>
          <w:instrText xml:space="preserve"> PAGE   \* MERGEFORMAT </w:instrText>
        </w:r>
        <w:r>
          <w:fldChar w:fldCharType="separate"/>
        </w:r>
        <w:r w:rsidR="00483A1C">
          <w:rPr>
            <w:noProof/>
          </w:rPr>
          <w:t>4</w:t>
        </w:r>
        <w:r>
          <w:rPr>
            <w:noProof/>
          </w:rPr>
          <w:fldChar w:fldCharType="end"/>
        </w:r>
      </w:p>
    </w:sdtContent>
  </w:sdt>
  <w:p w14:paraId="0A22D1A2" w14:textId="77777777" w:rsidR="008C4F13" w:rsidRDefault="008C4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F83FD" w14:textId="77777777" w:rsidR="004774B4" w:rsidRDefault="004774B4" w:rsidP="004774B4">
      <w:pPr>
        <w:spacing w:after="0" w:line="240" w:lineRule="auto"/>
      </w:pPr>
      <w:r>
        <w:separator/>
      </w:r>
    </w:p>
  </w:footnote>
  <w:footnote w:type="continuationSeparator" w:id="0">
    <w:p w14:paraId="14E4DB96" w14:textId="77777777" w:rsidR="004774B4" w:rsidRDefault="004774B4" w:rsidP="004774B4">
      <w:pPr>
        <w:spacing w:after="0" w:line="240" w:lineRule="auto"/>
      </w:pPr>
      <w:r>
        <w:continuationSeparator/>
      </w:r>
    </w:p>
  </w:footnote>
  <w:footnote w:id="1">
    <w:p w14:paraId="1F9A480B" w14:textId="77777777" w:rsidR="00191392" w:rsidRDefault="00191392" w:rsidP="00191392">
      <w:pPr>
        <w:pStyle w:val="FootnoteText"/>
        <w:rPr>
          <w:lang w:val="en-US"/>
        </w:rPr>
      </w:pPr>
      <w:r>
        <w:rPr>
          <w:rStyle w:val="FootnoteReference"/>
        </w:rPr>
        <w:footnoteRef/>
      </w:r>
      <w:r>
        <w:t xml:space="preserve"> </w:t>
      </w:r>
      <w:r>
        <w:rPr>
          <w:lang w:val="en-US"/>
        </w:rPr>
        <w:t xml:space="preserve">See </w:t>
      </w:r>
      <w:hyperlink r:id="rId1" w:history="1">
        <w:r>
          <w:rPr>
            <w:rStyle w:val="Hyperlink"/>
            <w:lang w:val="en-US"/>
          </w:rPr>
          <w:t>http://www.smartsafe.org.au/disturbing-new-trend-domestic-violence-offenders-use-car-tracking</w:t>
        </w:r>
      </w:hyperlink>
      <w:r>
        <w:rPr>
          <w:lang w:val="en-US"/>
        </w:rPr>
        <w:t xml:space="preserve"> </w:t>
      </w:r>
    </w:p>
  </w:footnote>
  <w:footnote w:id="2">
    <w:p w14:paraId="7CCA97DF" w14:textId="77777777" w:rsidR="00125AA8" w:rsidRPr="00065CE4" w:rsidRDefault="00125AA8" w:rsidP="00065CE4">
      <w:pPr>
        <w:pStyle w:val="FootnoteText"/>
        <w:rPr>
          <w:rFonts w:cstheme="minorHAnsi"/>
          <w:color w:val="000000"/>
          <w:shd w:val="clear" w:color="auto" w:fill="FFFFFF"/>
        </w:rPr>
      </w:pPr>
      <w:r w:rsidRPr="00065CE4">
        <w:rPr>
          <w:color w:val="000000"/>
          <w:shd w:val="clear" w:color="auto" w:fill="FFFFFF"/>
          <w:vertAlign w:val="superscript"/>
        </w:rPr>
        <w:footnoteRef/>
      </w:r>
      <w:r w:rsidRPr="00065CE4">
        <w:rPr>
          <w:rFonts w:cstheme="minorHAnsi"/>
          <w:color w:val="000000"/>
          <w:shd w:val="clear" w:color="auto" w:fill="FFFFFF"/>
        </w:rPr>
        <w:t xml:space="preserve"> Henry, N., Powell A. (2015) Beyond the ‘sext’: Technology facilitated sexual violence and harassment against adult women. Australian &amp; New Zealand Journal of Criminology. Vol. 48(1) 104–118</w:t>
      </w:r>
    </w:p>
  </w:footnote>
  <w:footnote w:id="3">
    <w:p w14:paraId="033149F7" w14:textId="77777777" w:rsidR="00191392" w:rsidRPr="00065CE4" w:rsidRDefault="00191392" w:rsidP="00191392">
      <w:pPr>
        <w:pStyle w:val="FootnoteText"/>
        <w:rPr>
          <w:rFonts w:cstheme="minorHAnsi"/>
          <w:color w:val="000000"/>
          <w:shd w:val="clear" w:color="auto" w:fill="FFFFFF"/>
        </w:rPr>
      </w:pPr>
      <w:r w:rsidRPr="00065CE4">
        <w:rPr>
          <w:rFonts w:cstheme="minorHAnsi"/>
          <w:color w:val="000000"/>
          <w:shd w:val="clear" w:color="auto" w:fill="FFFFFF"/>
          <w:vertAlign w:val="superscript"/>
        </w:rPr>
        <w:footnoteRef/>
      </w:r>
      <w:r w:rsidRPr="00065CE4">
        <w:rPr>
          <w:rFonts w:cstheme="minorHAnsi"/>
          <w:color w:val="000000"/>
          <w:shd w:val="clear" w:color="auto" w:fill="FFFFFF"/>
          <w:vertAlign w:val="superscript"/>
        </w:rPr>
        <w:t xml:space="preserve"> </w:t>
      </w:r>
      <w:r w:rsidRPr="00065CE4">
        <w:rPr>
          <w:rFonts w:cstheme="minorHAnsi"/>
          <w:color w:val="000000"/>
          <w:shd w:val="clear" w:color="auto" w:fill="FFFFFF"/>
        </w:rPr>
        <w:t>Woodlock, Delanie (2015) ReCharge: Women’s Technology Safety, Legal Resources, Research and Training, Women’s Legal Service NSW, Domestic Violence Resource Centre Victoria and WESNET, Collingwood.</w:t>
      </w:r>
    </w:p>
  </w:footnote>
  <w:footnote w:id="4">
    <w:p w14:paraId="55296124" w14:textId="341B6FC7" w:rsidR="001E71D2" w:rsidRDefault="001E71D2" w:rsidP="001E71D2">
      <w:pPr>
        <w:pStyle w:val="FootnoteText"/>
      </w:pPr>
      <w:r>
        <w:rPr>
          <w:rStyle w:val="FootnoteReference"/>
        </w:rPr>
        <w:footnoteRef/>
      </w:r>
      <w:r>
        <w:t xml:space="preserve"> Woodlock, Delanie (2013) Technology-facilitated Stalking: Findings and Recommendations from the SmartSafe Project, Domestic Violence Resource Centre Victoria, Collingwood </w:t>
      </w:r>
      <w:hyperlink r:id="rId2" w:history="1">
        <w:r w:rsidRPr="0071258C">
          <w:rPr>
            <w:rStyle w:val="Hyperlink"/>
          </w:rPr>
          <w:t>http://www.smartsafe.org.au/sites/default/files/SmartSafe-Findings-Booklet.pdf</w:t>
        </w:r>
      </w:hyperlink>
      <w:r>
        <w:t xml:space="preserve"> </w:t>
      </w:r>
    </w:p>
  </w:footnote>
  <w:footnote w:id="5">
    <w:p w14:paraId="14EF3744" w14:textId="77777777" w:rsidR="003E5EE0" w:rsidRPr="003E5EE0" w:rsidRDefault="003E5EE0">
      <w:pPr>
        <w:pStyle w:val="FootnoteText"/>
        <w:rPr>
          <w:lang w:val="en-US"/>
        </w:rPr>
      </w:pPr>
      <w:r w:rsidRPr="00065CE4">
        <w:rPr>
          <w:rFonts w:cstheme="minorHAnsi"/>
          <w:color w:val="000000"/>
          <w:shd w:val="clear" w:color="auto" w:fill="FFFFFF"/>
          <w:vertAlign w:val="superscript"/>
        </w:rPr>
        <w:footnoteRef/>
      </w:r>
      <w:r w:rsidRPr="00065CE4">
        <w:rPr>
          <w:rFonts w:cstheme="minorHAnsi"/>
          <w:color w:val="000000"/>
          <w:shd w:val="clear" w:color="auto" w:fill="FFFFFF"/>
        </w:rPr>
        <w:t xml:space="preserve"> Henry, N., Powell A., Flynn A. (2017) Not Just ‘Revenge Pornography’: Australians’ Experiences of Image-Based Abuse. A SUMMARY REPORT. RMIT University. Available at</w:t>
      </w:r>
      <w:r>
        <w:rPr>
          <w:rFonts w:cstheme="minorHAnsi"/>
        </w:rPr>
        <w:t xml:space="preserve"> </w:t>
      </w:r>
      <w:hyperlink r:id="rId3" w:history="1">
        <w:r w:rsidRPr="008C67C6">
          <w:rPr>
            <w:rStyle w:val="Hyperlink"/>
            <w:lang w:val="en-US"/>
          </w:rPr>
          <w:t>https://www.rmit.edu.au/news/all-news/2017/may/not-just-_revenge-porn--image-based-abuse-hits-1-in-5-australian</w:t>
        </w:r>
      </w:hyperlink>
      <w:r>
        <w:rPr>
          <w:rFonts w:cstheme="minorHAnsi"/>
        </w:rPr>
        <w:t>.</w:t>
      </w:r>
    </w:p>
  </w:footnote>
  <w:footnote w:id="6">
    <w:p w14:paraId="45545052" w14:textId="3D339428" w:rsidR="008F2031" w:rsidRPr="00684773" w:rsidRDefault="008F2031" w:rsidP="00684773">
      <w:pPr>
        <w:pStyle w:val="FootnoteText"/>
        <w:rPr>
          <w:rFonts w:cstheme="minorHAnsi"/>
          <w:lang w:val="en-US"/>
        </w:rPr>
      </w:pPr>
      <w:r w:rsidRPr="00684773">
        <w:rPr>
          <w:rStyle w:val="FootnoteReference"/>
          <w:rFonts w:cstheme="minorHAnsi"/>
        </w:rPr>
        <w:footnoteRef/>
      </w:r>
      <w:r w:rsidRPr="00684773">
        <w:rPr>
          <w:rFonts w:cstheme="minorHAnsi"/>
        </w:rPr>
        <w:t xml:space="preserve"> </w:t>
      </w:r>
      <w:r w:rsidRPr="00684773">
        <w:rPr>
          <w:rFonts w:cstheme="minorHAnsi"/>
          <w:color w:val="000000"/>
          <w:shd w:val="clear" w:color="auto" w:fill="FFFFFF"/>
        </w:rPr>
        <w:t>Australian Research Centre in Sex, Health and Society, La Trobe University, </w:t>
      </w:r>
      <w:hyperlink r:id="rId4" w:history="1">
        <w:r w:rsidRPr="00684773">
          <w:rPr>
            <w:rStyle w:val="Hyperlink"/>
            <w:rFonts w:cstheme="minorHAnsi"/>
            <w:color w:val="0000CC"/>
            <w:shd w:val="clear" w:color="auto" w:fill="FFFFFF"/>
          </w:rPr>
          <w:t>Writing Themselves in 3: The third national study on the sexual health and wellbeing of same sex attracted and gender questioning young people</w:t>
        </w:r>
      </w:hyperlink>
      <w:r w:rsidRPr="00684773">
        <w:rPr>
          <w:rFonts w:cstheme="minorHAnsi"/>
          <w:color w:val="000000"/>
          <w:shd w:val="clear" w:color="auto" w:fill="FFFFFF"/>
        </w:rPr>
        <w:t>(2010)</w:t>
      </w:r>
      <w:r w:rsidR="00684773" w:rsidRPr="00684773">
        <w:rPr>
          <w:rFonts w:cstheme="minorHAnsi"/>
          <w:color w:val="000000"/>
          <w:shd w:val="clear" w:color="auto" w:fill="FFFFFF"/>
        </w:rPr>
        <w:t>;</w:t>
      </w:r>
      <w:r w:rsidRPr="00684773">
        <w:rPr>
          <w:rFonts w:cstheme="minorHAnsi"/>
          <w:color w:val="000000"/>
          <w:shd w:val="clear" w:color="auto" w:fill="FFFFFF"/>
        </w:rPr>
        <w:t xml:space="preserve"> </w:t>
      </w:r>
      <w:r w:rsidR="00684773" w:rsidRPr="00684773">
        <w:rPr>
          <w:rFonts w:cstheme="minorHAnsi"/>
          <w:color w:val="000000"/>
          <w:shd w:val="clear" w:color="auto" w:fill="FFFFFF"/>
        </w:rPr>
        <w:t xml:space="preserve">ACON, Submission to the House of Representatives Standing Committee on Family, Community, Housing and Youth inquiry into the impact of violence on young Australians (2009), p.4; Also see Tomsen &amp; Mason 2001; </w:t>
      </w:r>
      <w:r w:rsidR="00684773" w:rsidRPr="00684773">
        <w:rPr>
          <w:rFonts w:cstheme="minorHAnsi"/>
          <w:lang w:val="en-US"/>
        </w:rPr>
        <w:t xml:space="preserve">Australian Human Rights Commission </w:t>
      </w:r>
      <w:r w:rsidR="00684773" w:rsidRPr="00684773">
        <w:rPr>
          <w:rFonts w:cstheme="minorHAnsi"/>
        </w:rPr>
        <w:t xml:space="preserve">Violence, Harassment and Bullying and the LGBTI Communities </w:t>
      </w:r>
      <w:hyperlink r:id="rId5" w:history="1">
        <w:r w:rsidR="00684773" w:rsidRPr="00684773">
          <w:rPr>
            <w:rStyle w:val="Hyperlink"/>
            <w:rFonts w:cstheme="minorHAnsi"/>
          </w:rPr>
          <w:t>https://bullying.humanrights.gov.au/sites/default/files/content/pdf/bullying/VHB_LGBTI.pdf</w:t>
        </w:r>
      </w:hyperlink>
    </w:p>
  </w:footnote>
  <w:footnote w:id="7">
    <w:p w14:paraId="4AD71072" w14:textId="2753E247" w:rsidR="00684773" w:rsidRPr="00684773" w:rsidRDefault="00684773" w:rsidP="00684773">
      <w:pPr>
        <w:pStyle w:val="FootnoteText"/>
        <w:rPr>
          <w:rFonts w:cstheme="minorHAnsi"/>
          <w:lang w:val="en-US"/>
        </w:rPr>
      </w:pPr>
      <w:r w:rsidRPr="00684773">
        <w:rPr>
          <w:rStyle w:val="FootnoteReference"/>
          <w:rFonts w:cstheme="minorHAnsi"/>
        </w:rPr>
        <w:footnoteRef/>
      </w:r>
      <w:r w:rsidRPr="00684773">
        <w:rPr>
          <w:rFonts w:cstheme="minorHAnsi"/>
        </w:rPr>
        <w:t xml:space="preserve"> </w:t>
      </w:r>
      <w:r w:rsidRPr="00684773">
        <w:rPr>
          <w:rFonts w:cstheme="minorHAnsi"/>
          <w:color w:val="000000"/>
          <w:shd w:val="clear" w:color="auto" w:fill="FFFFFF"/>
        </w:rPr>
        <w:t>Australian Research Centre in Sex, Health and Society, La Trobe University, </w:t>
      </w:r>
      <w:hyperlink r:id="rId6" w:history="1">
        <w:r w:rsidRPr="00684773">
          <w:rPr>
            <w:rStyle w:val="Hyperlink"/>
            <w:rFonts w:cstheme="minorHAnsi"/>
            <w:color w:val="0000CC"/>
            <w:shd w:val="clear" w:color="auto" w:fill="FFFFFF"/>
          </w:rPr>
          <w:t>Writing Themselves in 3: The third national study on the sexual health and wellbeing of same sex attracted and gender questioning young people</w:t>
        </w:r>
      </w:hyperlink>
      <w:r w:rsidRPr="00684773">
        <w:rPr>
          <w:rFonts w:cstheme="minorHAnsi"/>
          <w:color w:val="000000"/>
          <w:shd w:val="clear" w:color="auto" w:fill="FFFFFF"/>
        </w:rPr>
        <w:t>(2010);</w:t>
      </w:r>
    </w:p>
  </w:footnote>
  <w:footnote w:id="8">
    <w:p w14:paraId="5A1BFF5C" w14:textId="77777777" w:rsidR="00F176F4" w:rsidRPr="00F176F4" w:rsidRDefault="00F176F4" w:rsidP="00F176F4">
      <w:pPr>
        <w:pStyle w:val="FootnoteText"/>
        <w:rPr>
          <w:lang w:val="en-US"/>
        </w:rPr>
      </w:pPr>
      <w:r>
        <w:rPr>
          <w:rStyle w:val="FootnoteReference"/>
        </w:rPr>
        <w:footnoteRef/>
      </w:r>
      <w:r>
        <w:t xml:space="preserve"> </w:t>
      </w:r>
      <w:r>
        <w:rPr>
          <w:lang w:val="en-US"/>
        </w:rPr>
        <w:t xml:space="preserve">See National LGBTI Health Alliance </w:t>
      </w:r>
      <w:hyperlink r:id="rId7" w:anchor="_ftn1" w:history="1">
        <w:r w:rsidRPr="001C1A97">
          <w:rPr>
            <w:rStyle w:val="Hyperlink"/>
            <w:lang w:val="en-US"/>
          </w:rPr>
          <w:t>http://lgbtihealth.org.au/statistics/#_ftn1</w:t>
        </w:r>
      </w:hyperlink>
      <w:r>
        <w:rPr>
          <w:lang w:val="en-US"/>
        </w:rPr>
        <w:t xml:space="preserve"> </w:t>
      </w:r>
    </w:p>
  </w:footnote>
  <w:footnote w:id="9">
    <w:p w14:paraId="32AC5FAE" w14:textId="31599B6C" w:rsidR="00331D6E" w:rsidRPr="00331D6E" w:rsidRDefault="00331D6E" w:rsidP="00684773">
      <w:pPr>
        <w:pStyle w:val="FootnoteText"/>
        <w:rPr>
          <w:lang w:val="en-US"/>
        </w:rPr>
      </w:pPr>
      <w:r w:rsidRPr="00684773">
        <w:rPr>
          <w:rStyle w:val="FootnoteReference"/>
          <w:rFonts w:cstheme="minorHAnsi"/>
        </w:rPr>
        <w:footnoteRef/>
      </w:r>
      <w:r w:rsidRPr="00684773">
        <w:rPr>
          <w:rFonts w:cstheme="minorHAnsi"/>
        </w:rPr>
        <w:t xml:space="preserve"> </w:t>
      </w:r>
      <w:r w:rsidRPr="00684773">
        <w:rPr>
          <w:rFonts w:cstheme="minorHAnsi"/>
          <w:color w:val="000000"/>
          <w:shd w:val="clear" w:color="auto" w:fill="FFFFFF"/>
        </w:rPr>
        <w:t>Hillier, Horsely and Kurdas, “It made me feel braver, I was no longer alone’: The Internet and same sex attracted young people, published in J. Nieto. Sexuality in the Pacific, Spanish Association of studies in the Pacific, 2004, p15.</w:t>
      </w:r>
    </w:p>
  </w:footnote>
  <w:footnote w:id="10">
    <w:p w14:paraId="6F3471F5" w14:textId="511B5294" w:rsidR="00331D6E" w:rsidRPr="00684773" w:rsidRDefault="00331D6E" w:rsidP="00684773">
      <w:pPr>
        <w:pStyle w:val="FootnoteText"/>
        <w:rPr>
          <w:rFonts w:cstheme="minorHAnsi"/>
          <w:lang w:val="en-US"/>
        </w:rPr>
      </w:pPr>
      <w:r w:rsidRPr="00684773">
        <w:rPr>
          <w:rStyle w:val="FootnoteReference"/>
          <w:rFonts w:cstheme="minorHAnsi"/>
        </w:rPr>
        <w:footnoteRef/>
      </w:r>
      <w:r w:rsidRPr="00684773">
        <w:rPr>
          <w:rFonts w:cstheme="minorHAnsi"/>
        </w:rPr>
        <w:t xml:space="preserve"> </w:t>
      </w:r>
      <w:r w:rsidRPr="00684773">
        <w:rPr>
          <w:rFonts w:cstheme="minorHAnsi"/>
          <w:color w:val="000000"/>
          <w:shd w:val="clear" w:color="auto" w:fill="FFFFFF"/>
        </w:rPr>
        <w:t>Sh</w:t>
      </w:r>
      <w:r w:rsidR="00684773">
        <w:rPr>
          <w:rFonts w:cstheme="minorHAnsi"/>
          <w:color w:val="000000"/>
          <w:shd w:val="clear" w:color="auto" w:fill="FFFFFF"/>
        </w:rPr>
        <w:t xml:space="preserve">aheen Shariff (2008) </w:t>
      </w:r>
      <w:r w:rsidRPr="00684773">
        <w:rPr>
          <w:rFonts w:cstheme="minorHAnsi"/>
          <w:color w:val="000000"/>
          <w:shd w:val="clear" w:color="auto" w:fill="FFFFFF"/>
        </w:rPr>
        <w:t>Cyber-bullying: Issues and Solutions for the Scho</w:t>
      </w:r>
      <w:r w:rsidR="00684773">
        <w:rPr>
          <w:rFonts w:cstheme="minorHAnsi"/>
          <w:color w:val="000000"/>
          <w:shd w:val="clear" w:color="auto" w:fill="FFFFFF"/>
        </w:rPr>
        <w:t>ol, the Classroom and the Home</w:t>
      </w:r>
    </w:p>
  </w:footnote>
  <w:footnote w:id="11">
    <w:p w14:paraId="69BC3D59" w14:textId="51888B43" w:rsidR="00331D6E" w:rsidRPr="00331D6E" w:rsidRDefault="00331D6E" w:rsidP="00684773">
      <w:pPr>
        <w:pStyle w:val="FootnoteText"/>
        <w:rPr>
          <w:lang w:val="en-US"/>
        </w:rPr>
      </w:pPr>
      <w:r w:rsidRPr="00684773">
        <w:rPr>
          <w:rStyle w:val="FootnoteReference"/>
          <w:rFonts w:cstheme="minorHAnsi"/>
        </w:rPr>
        <w:footnoteRef/>
      </w:r>
      <w:r w:rsidRPr="00684773">
        <w:rPr>
          <w:rFonts w:cstheme="minorHAnsi"/>
        </w:rPr>
        <w:t xml:space="preserve"> </w:t>
      </w:r>
      <w:r w:rsidR="00684773">
        <w:rPr>
          <w:rFonts w:cstheme="minorHAnsi"/>
        </w:rPr>
        <w:t>S</w:t>
      </w:r>
      <w:r w:rsidRPr="00684773">
        <w:rPr>
          <w:rFonts w:cstheme="minorHAnsi"/>
          <w:color w:val="000000"/>
          <w:shd w:val="clear" w:color="auto" w:fill="FFFFFF"/>
        </w:rPr>
        <w:t>ee for example,</w:t>
      </w:r>
      <w:r w:rsidRPr="00684773">
        <w:rPr>
          <w:rFonts w:cstheme="minorHAnsi"/>
          <w:shd w:val="clear" w:color="auto" w:fill="FFFFFF"/>
        </w:rPr>
        <w:t xml:space="preserve"> J Schwartx</w:t>
      </w:r>
      <w:r w:rsidRPr="00684773">
        <w:rPr>
          <w:rFonts w:cstheme="minorHAnsi"/>
          <w:color w:val="000000"/>
          <w:shd w:val="clear" w:color="auto" w:fill="FFFFFF"/>
        </w:rPr>
        <w:t>., ‘Bullying, Suicide, Punishment’, New York Times, 2 October, 2010. At</w:t>
      </w:r>
      <w:r w:rsidR="00684773">
        <w:rPr>
          <w:rFonts w:cstheme="minorHAnsi"/>
          <w:color w:val="000000"/>
          <w:shd w:val="clear" w:color="auto" w:fill="FFFFFF"/>
        </w:rPr>
        <w:t xml:space="preserve"> </w:t>
      </w:r>
      <w:hyperlink r:id="rId8" w:history="1">
        <w:r w:rsidRPr="00684773">
          <w:rPr>
            <w:rStyle w:val="Hyperlink"/>
            <w:rFonts w:cstheme="minorHAnsi"/>
            <w:color w:val="0000CC"/>
            <w:shd w:val="clear" w:color="auto" w:fill="FFFFFF"/>
          </w:rPr>
          <w:t>www.nytimes.com/2010/10/03/weekinreview/03schwartz.html?_r=1&amp;ref=tyler_clementi</w:t>
        </w:r>
      </w:hyperlink>
    </w:p>
  </w:footnote>
  <w:footnote w:id="12">
    <w:p w14:paraId="63CC29EE" w14:textId="733788E3" w:rsidR="00F176F4" w:rsidRPr="00F176F4" w:rsidRDefault="00F176F4">
      <w:pPr>
        <w:pStyle w:val="FootnoteText"/>
        <w:rPr>
          <w:lang w:val="en-US"/>
        </w:rPr>
      </w:pPr>
      <w:r>
        <w:rPr>
          <w:rStyle w:val="FootnoteReference"/>
        </w:rPr>
        <w:footnoteRef/>
      </w:r>
      <w:r w:rsidR="009E00AC">
        <w:rPr>
          <w:lang w:val="en-US"/>
        </w:rPr>
        <w:t xml:space="preserve"> See </w:t>
      </w:r>
      <w:hyperlink r:id="rId9" w:history="1">
        <w:r w:rsidR="009E00AC" w:rsidRPr="00875D2F">
          <w:rPr>
            <w:rStyle w:val="Hyperlink"/>
            <w:lang w:val="en-US"/>
          </w:rPr>
          <w:t>https://www.lifeline.org.au/about-lifeline/lifeline-information/statistics-on-suicide-in-australia</w:t>
        </w:r>
      </w:hyperlink>
      <w:r w:rsidR="009E00AC">
        <w:rPr>
          <w:lang w:val="en-US"/>
        </w:rPr>
        <w:t xml:space="preserve"> </w:t>
      </w:r>
      <w:r>
        <w:rPr>
          <w:lang w:val="en-US"/>
        </w:rPr>
        <w:t xml:space="preserve"> </w:t>
      </w:r>
    </w:p>
  </w:footnote>
  <w:footnote w:id="13">
    <w:p w14:paraId="6DE54BD8" w14:textId="12248409" w:rsidR="00065CE4" w:rsidRPr="00065CE4" w:rsidRDefault="00065CE4" w:rsidP="00065CE4">
      <w:pPr>
        <w:autoSpaceDE w:val="0"/>
        <w:autoSpaceDN w:val="0"/>
        <w:adjustRightInd w:val="0"/>
        <w:spacing w:after="0" w:line="240" w:lineRule="auto"/>
        <w:rPr>
          <w:rFonts w:ascii="ArialUnicodeMS" w:hAnsi="ArialUnicodeMS" w:cs="ArialUnicodeMS"/>
          <w:sz w:val="20"/>
          <w:szCs w:val="20"/>
        </w:rPr>
      </w:pPr>
      <w:r>
        <w:rPr>
          <w:rStyle w:val="FootnoteReference"/>
        </w:rPr>
        <w:footnoteRef/>
      </w:r>
      <w:r>
        <w:t xml:space="preserve"> </w:t>
      </w:r>
      <w:r w:rsidRPr="00065CE4">
        <w:rPr>
          <w:rFonts w:cs="ArialUnicodeMS"/>
          <w:sz w:val="20"/>
          <w:szCs w:val="20"/>
        </w:rPr>
        <w:t>Anastasia Powell &amp; Nicola Henry (2016): Policing technology-facilitated sexual</w:t>
      </w:r>
      <w:r>
        <w:rPr>
          <w:rFonts w:cs="ArialUnicodeMS"/>
          <w:sz w:val="20"/>
          <w:szCs w:val="20"/>
        </w:rPr>
        <w:t xml:space="preserve"> </w:t>
      </w:r>
      <w:r w:rsidRPr="00065CE4">
        <w:rPr>
          <w:rFonts w:cs="ArialUnicodeMS"/>
          <w:sz w:val="20"/>
          <w:szCs w:val="20"/>
        </w:rPr>
        <w:t>violence against adult victims: police and service sector perspectives, Policing and Society.</w:t>
      </w:r>
    </w:p>
  </w:footnote>
  <w:footnote w:id="14">
    <w:p w14:paraId="26693836" w14:textId="50B306DF" w:rsidR="006D4083" w:rsidRPr="009E00AC" w:rsidRDefault="006D4083">
      <w:pPr>
        <w:pStyle w:val="FootnoteText"/>
        <w:rPr>
          <w:lang w:val="en-US"/>
        </w:rPr>
      </w:pPr>
      <w:r>
        <w:rPr>
          <w:rStyle w:val="FootnoteReference"/>
        </w:rPr>
        <w:footnoteRef/>
      </w:r>
      <w:r>
        <w:t xml:space="preserve"> </w:t>
      </w:r>
      <w:r>
        <w:rPr>
          <w:lang w:val="en-US"/>
        </w:rPr>
        <w:t xml:space="preserve">See </w:t>
      </w:r>
      <w:hyperlink r:id="rId10" w:history="1">
        <w:r w:rsidRPr="000C235F">
          <w:rPr>
            <w:rStyle w:val="Hyperlink"/>
            <w:lang w:val="en-US"/>
          </w:rPr>
          <w:t>https://wesnet.org.au/safetynet/</w:t>
        </w:r>
      </w:hyperlink>
      <w:r>
        <w:rPr>
          <w:lang w:val="en-US"/>
        </w:rPr>
        <w:t xml:space="preserve"> </w:t>
      </w:r>
    </w:p>
  </w:footnote>
  <w:footnote w:id="15">
    <w:p w14:paraId="2DBEAA03" w14:textId="77777777" w:rsidR="00F71303" w:rsidRDefault="00F71303" w:rsidP="00F71303">
      <w:pPr>
        <w:pStyle w:val="FootnoteText"/>
      </w:pPr>
      <w:r>
        <w:rPr>
          <w:rStyle w:val="FootnoteReference"/>
        </w:rPr>
        <w:footnoteRef/>
      </w:r>
      <w:r>
        <w:t xml:space="preserve"> Ibid.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D2BA" w14:textId="77777777" w:rsidR="00125AA8" w:rsidRDefault="00125AA8">
    <w:pPr>
      <w:pStyle w:val="Header"/>
    </w:pPr>
    <w:r>
      <w:rPr>
        <w:noProof/>
        <w:lang w:eastAsia="en-AU"/>
      </w:rPr>
      <w:drawing>
        <wp:anchor distT="0" distB="0" distL="114300" distR="114300" simplePos="0" relativeHeight="251658240" behindDoc="0" locked="0" layoutInCell="1" allowOverlap="1" wp14:anchorId="64851FF2" wp14:editId="62277AAE">
          <wp:simplePos x="0" y="0"/>
          <wp:positionH relativeFrom="column">
            <wp:posOffset>-923925</wp:posOffset>
          </wp:positionH>
          <wp:positionV relativeFrom="paragraph">
            <wp:posOffset>-478790</wp:posOffset>
          </wp:positionV>
          <wp:extent cx="7543800" cy="1752600"/>
          <wp:effectExtent l="0" t="0" r="0" b="0"/>
          <wp:wrapThrough wrapText="bothSides">
            <wp:wrapPolygon edited="0">
              <wp:start x="0" y="0"/>
              <wp:lineTo x="0" y="21365"/>
              <wp:lineTo x="21545" y="21365"/>
              <wp:lineTo x="21545" y="0"/>
              <wp:lineTo x="0" y="0"/>
            </wp:wrapPolygon>
          </wp:wrapThrough>
          <wp:docPr id="1" name="Picture 1" descr="Wordpress AWAVA Banner.jpg"/>
          <wp:cNvGraphicFramePr/>
          <a:graphic xmlns:a="http://schemas.openxmlformats.org/drawingml/2006/main">
            <a:graphicData uri="http://schemas.openxmlformats.org/drawingml/2006/picture">
              <pic:pic xmlns:pic="http://schemas.openxmlformats.org/drawingml/2006/picture">
                <pic:nvPicPr>
                  <pic:cNvPr id="2" name="Picture 2" descr="Wordpress AWAVA Banner.jpg"/>
                  <pic:cNvPicPr/>
                </pic:nvPicPr>
                <pic:blipFill>
                  <a:blip r:embed="rId1" cstate="print">
                    <a:extLst>
                      <a:ext uri="{28A0092B-C50C-407E-A947-70E740481C1C}">
                        <a14:useLocalDpi xmlns:a14="http://schemas.microsoft.com/office/drawing/2010/main" val="0"/>
                      </a:ext>
                    </a:extLst>
                  </a:blip>
                  <a:srcRect t="20148" r="3958" b="19802"/>
                  <a:stretch>
                    <a:fillRect/>
                  </a:stretch>
                </pic:blipFill>
                <pic:spPr>
                  <a:xfrm>
                    <a:off x="0" y="0"/>
                    <a:ext cx="7543800" cy="1752600"/>
                  </a:xfrm>
                  <a:prstGeom prst="rect">
                    <a:avLst/>
                  </a:prstGeom>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67F84"/>
    <w:multiLevelType w:val="hybridMultilevel"/>
    <w:tmpl w:val="97921F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8E5611"/>
    <w:multiLevelType w:val="multilevel"/>
    <w:tmpl w:val="1C8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80793"/>
    <w:multiLevelType w:val="multilevel"/>
    <w:tmpl w:val="A720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73062"/>
    <w:multiLevelType w:val="multilevel"/>
    <w:tmpl w:val="AD6A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F4DCE"/>
    <w:multiLevelType w:val="hybridMultilevel"/>
    <w:tmpl w:val="4F224518"/>
    <w:lvl w:ilvl="0" w:tplc="60EE29E4">
      <w:numFmt w:val="bullet"/>
      <w:lvlText w:val="-"/>
      <w:lvlJc w:val="left"/>
      <w:pPr>
        <w:ind w:left="720" w:hanging="360"/>
      </w:pPr>
      <w:rPr>
        <w:rFonts w:ascii="inherit" w:eastAsiaTheme="minorHAnsi" w:hAnsi="inheri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22432A"/>
    <w:multiLevelType w:val="multilevel"/>
    <w:tmpl w:val="B72A5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D06607C"/>
    <w:multiLevelType w:val="multilevel"/>
    <w:tmpl w:val="941EE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0495765"/>
    <w:multiLevelType w:val="multilevel"/>
    <w:tmpl w:val="230E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5255D"/>
    <w:multiLevelType w:val="hybridMultilevel"/>
    <w:tmpl w:val="55D2B6A0"/>
    <w:lvl w:ilvl="0" w:tplc="60EE29E4">
      <w:numFmt w:val="bullet"/>
      <w:lvlText w:val="-"/>
      <w:lvlJc w:val="left"/>
      <w:pPr>
        <w:ind w:left="720" w:hanging="360"/>
      </w:pPr>
      <w:rPr>
        <w:rFonts w:ascii="inherit" w:eastAsiaTheme="minorHAnsi" w:hAnsi="inheri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7D658C"/>
    <w:multiLevelType w:val="multilevel"/>
    <w:tmpl w:val="E0D6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8"/>
  </w:num>
  <w:num w:numId="6">
    <w:abstractNumId w:val="0"/>
  </w:num>
  <w:num w:numId="7">
    <w:abstractNumId w:val="4"/>
  </w:num>
  <w:num w:numId="8">
    <w:abstractNumId w:val="4"/>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C2"/>
    <w:rsid w:val="00065CE4"/>
    <w:rsid w:val="00094D15"/>
    <w:rsid w:val="000E5C3A"/>
    <w:rsid w:val="00125AA8"/>
    <w:rsid w:val="00172177"/>
    <w:rsid w:val="00174F3D"/>
    <w:rsid w:val="00191392"/>
    <w:rsid w:val="00197E00"/>
    <w:rsid w:val="001E71D2"/>
    <w:rsid w:val="00246D08"/>
    <w:rsid w:val="00287EF8"/>
    <w:rsid w:val="0029511C"/>
    <w:rsid w:val="002B7869"/>
    <w:rsid w:val="002C4D84"/>
    <w:rsid w:val="00331D6E"/>
    <w:rsid w:val="00340F68"/>
    <w:rsid w:val="00377EFF"/>
    <w:rsid w:val="003E064A"/>
    <w:rsid w:val="003E5EE0"/>
    <w:rsid w:val="004216A2"/>
    <w:rsid w:val="00422068"/>
    <w:rsid w:val="0045746B"/>
    <w:rsid w:val="004774B4"/>
    <w:rsid w:val="00483A1C"/>
    <w:rsid w:val="004E1D9B"/>
    <w:rsid w:val="00540720"/>
    <w:rsid w:val="005B3E40"/>
    <w:rsid w:val="00633251"/>
    <w:rsid w:val="00641950"/>
    <w:rsid w:val="0064330A"/>
    <w:rsid w:val="00684773"/>
    <w:rsid w:val="006D12E8"/>
    <w:rsid w:val="006D39E3"/>
    <w:rsid w:val="006D4083"/>
    <w:rsid w:val="006E56C9"/>
    <w:rsid w:val="007164BF"/>
    <w:rsid w:val="00733804"/>
    <w:rsid w:val="008120DD"/>
    <w:rsid w:val="00821E14"/>
    <w:rsid w:val="00847140"/>
    <w:rsid w:val="00886BAB"/>
    <w:rsid w:val="008C2BEE"/>
    <w:rsid w:val="008C4F13"/>
    <w:rsid w:val="008F01C2"/>
    <w:rsid w:val="008F2031"/>
    <w:rsid w:val="009837A2"/>
    <w:rsid w:val="009A4D24"/>
    <w:rsid w:val="009C7D92"/>
    <w:rsid w:val="009E00AC"/>
    <w:rsid w:val="00A6489F"/>
    <w:rsid w:val="00AB04E2"/>
    <w:rsid w:val="00AB19D9"/>
    <w:rsid w:val="00AE1BB6"/>
    <w:rsid w:val="00B1210D"/>
    <w:rsid w:val="00B52DBB"/>
    <w:rsid w:val="00B567B3"/>
    <w:rsid w:val="00B604CF"/>
    <w:rsid w:val="00BD41E2"/>
    <w:rsid w:val="00BD5D62"/>
    <w:rsid w:val="00BD6FF0"/>
    <w:rsid w:val="00BE3313"/>
    <w:rsid w:val="00C05B6D"/>
    <w:rsid w:val="00C20688"/>
    <w:rsid w:val="00C21238"/>
    <w:rsid w:val="00C301CC"/>
    <w:rsid w:val="00C51C4B"/>
    <w:rsid w:val="00C848D5"/>
    <w:rsid w:val="00CB3C78"/>
    <w:rsid w:val="00CC555C"/>
    <w:rsid w:val="00CE7EE2"/>
    <w:rsid w:val="00CF0732"/>
    <w:rsid w:val="00CF46FF"/>
    <w:rsid w:val="00D159CC"/>
    <w:rsid w:val="00DF2F15"/>
    <w:rsid w:val="00E87F1B"/>
    <w:rsid w:val="00EA2B29"/>
    <w:rsid w:val="00EB5802"/>
    <w:rsid w:val="00EE05EC"/>
    <w:rsid w:val="00F176F4"/>
    <w:rsid w:val="00F71303"/>
    <w:rsid w:val="00FC0B25"/>
    <w:rsid w:val="00FC5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764A65"/>
  <w15:chartTrackingRefBased/>
  <w15:docId w15:val="{8C96AE9F-4155-4EB5-A1F5-CADDAAC6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D9"/>
  </w:style>
  <w:style w:type="paragraph" w:styleId="Heading1">
    <w:name w:val="heading 1"/>
    <w:basedOn w:val="Normal"/>
    <w:link w:val="Heading1Char"/>
    <w:uiPriority w:val="9"/>
    <w:qFormat/>
    <w:rsid w:val="008F01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6E56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7F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1C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8F01C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E87F1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87F1B"/>
    <w:rPr>
      <w:color w:val="0000FF"/>
      <w:u w:val="single"/>
    </w:rPr>
  </w:style>
  <w:style w:type="character" w:styleId="Strong">
    <w:name w:val="Strong"/>
    <w:basedOn w:val="DefaultParagraphFont"/>
    <w:uiPriority w:val="22"/>
    <w:qFormat/>
    <w:rsid w:val="00E87F1B"/>
    <w:rPr>
      <w:b/>
      <w:bCs/>
    </w:rPr>
  </w:style>
  <w:style w:type="paragraph" w:styleId="ListParagraph">
    <w:name w:val="List Paragraph"/>
    <w:basedOn w:val="Normal"/>
    <w:uiPriority w:val="34"/>
    <w:qFormat/>
    <w:rsid w:val="00C51C4B"/>
    <w:pPr>
      <w:ind w:left="720"/>
      <w:contextualSpacing/>
    </w:pPr>
  </w:style>
  <w:style w:type="paragraph" w:customStyle="1" w:styleId="m3983505539442945671gmail-ueberschrpara">
    <w:name w:val="m_3983505539442945671gmail-ueberschrpara"/>
    <w:basedOn w:val="Normal"/>
    <w:rsid w:val="009C7D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3983505539442945671gmail-abs">
    <w:name w:val="m_3983505539442945671gmail-abs"/>
    <w:basedOn w:val="Normal"/>
    <w:rsid w:val="009C7D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3983505539442945671gmail-gldsymbol">
    <w:name w:val="m_3983505539442945671gmail-gldsymbol"/>
    <w:basedOn w:val="DefaultParagraphFont"/>
    <w:rsid w:val="009C7D92"/>
  </w:style>
  <w:style w:type="paragraph" w:customStyle="1" w:styleId="m3983505539442945671gmail-ziffere1">
    <w:name w:val="m_3983505539442945671gmail-ziffere1"/>
    <w:basedOn w:val="Normal"/>
    <w:rsid w:val="009C7D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3983505539442945671gmail-schlussteilabs">
    <w:name w:val="m_3983505539442945671gmail-schlussteilabs"/>
    <w:basedOn w:val="Normal"/>
    <w:rsid w:val="009C7D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aliases w:val="FN,fn,Footnote Text Char Char,Footnote Text Char1 Char Char,Footnote Text Char Char Char Char,Footnote Text Char Char1,Footnote Text Char1 Char,Footnote Text Char Char Char,Footnote ak,Ca,Footnote Text Char1"/>
    <w:basedOn w:val="Normal"/>
    <w:link w:val="FootnoteTextChar"/>
    <w:uiPriority w:val="99"/>
    <w:unhideWhenUsed/>
    <w:qFormat/>
    <w:rsid w:val="004774B4"/>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Footnote ak Char"/>
    <w:basedOn w:val="DefaultParagraphFont"/>
    <w:link w:val="FootnoteText"/>
    <w:uiPriority w:val="99"/>
    <w:rsid w:val="004774B4"/>
    <w:rPr>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4774B4"/>
    <w:rPr>
      <w:vertAlign w:val="superscript"/>
    </w:rPr>
  </w:style>
  <w:style w:type="character" w:customStyle="1" w:styleId="Heading2Char">
    <w:name w:val="Heading 2 Char"/>
    <w:basedOn w:val="DefaultParagraphFont"/>
    <w:link w:val="Heading2"/>
    <w:uiPriority w:val="9"/>
    <w:rsid w:val="006E56C9"/>
    <w:rPr>
      <w:rFonts w:asciiTheme="majorHAnsi" w:eastAsiaTheme="majorEastAsia" w:hAnsiTheme="majorHAnsi" w:cstheme="majorBidi"/>
      <w:color w:val="2E74B5" w:themeColor="accent1" w:themeShade="BF"/>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E1D9B"/>
    <w:pPr>
      <w:spacing w:before="120" w:after="120" w:line="240" w:lineRule="exact"/>
      <w:jc w:val="both"/>
    </w:pPr>
    <w:rPr>
      <w:vertAlign w:val="superscript"/>
    </w:rPr>
  </w:style>
  <w:style w:type="paragraph" w:styleId="Header">
    <w:name w:val="header"/>
    <w:basedOn w:val="Normal"/>
    <w:link w:val="HeaderChar"/>
    <w:uiPriority w:val="99"/>
    <w:unhideWhenUsed/>
    <w:rsid w:val="00125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AA8"/>
  </w:style>
  <w:style w:type="paragraph" w:styleId="Footer">
    <w:name w:val="footer"/>
    <w:basedOn w:val="Normal"/>
    <w:link w:val="FooterChar"/>
    <w:uiPriority w:val="99"/>
    <w:unhideWhenUsed/>
    <w:rsid w:val="00125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AA8"/>
  </w:style>
  <w:style w:type="paragraph" w:styleId="NoSpacing">
    <w:name w:val="No Spacing"/>
    <w:uiPriority w:val="1"/>
    <w:qFormat/>
    <w:rsid w:val="00125AA8"/>
    <w:pPr>
      <w:spacing w:after="0" w:line="240" w:lineRule="auto"/>
    </w:pPr>
  </w:style>
  <w:style w:type="character" w:styleId="CommentReference">
    <w:name w:val="annotation reference"/>
    <w:basedOn w:val="DefaultParagraphFont"/>
    <w:uiPriority w:val="99"/>
    <w:semiHidden/>
    <w:unhideWhenUsed/>
    <w:rsid w:val="008120DD"/>
    <w:rPr>
      <w:sz w:val="16"/>
      <w:szCs w:val="16"/>
    </w:rPr>
  </w:style>
  <w:style w:type="paragraph" w:styleId="CommentText">
    <w:name w:val="annotation text"/>
    <w:basedOn w:val="Normal"/>
    <w:link w:val="CommentTextChar"/>
    <w:uiPriority w:val="99"/>
    <w:unhideWhenUsed/>
    <w:rsid w:val="008120DD"/>
    <w:pPr>
      <w:spacing w:line="240" w:lineRule="auto"/>
    </w:pPr>
    <w:rPr>
      <w:sz w:val="20"/>
      <w:szCs w:val="20"/>
    </w:rPr>
  </w:style>
  <w:style w:type="character" w:customStyle="1" w:styleId="CommentTextChar">
    <w:name w:val="Comment Text Char"/>
    <w:basedOn w:val="DefaultParagraphFont"/>
    <w:link w:val="CommentText"/>
    <w:uiPriority w:val="99"/>
    <w:rsid w:val="008120DD"/>
    <w:rPr>
      <w:sz w:val="20"/>
      <w:szCs w:val="20"/>
    </w:rPr>
  </w:style>
  <w:style w:type="paragraph" w:styleId="CommentSubject">
    <w:name w:val="annotation subject"/>
    <w:basedOn w:val="CommentText"/>
    <w:next w:val="CommentText"/>
    <w:link w:val="CommentSubjectChar"/>
    <w:uiPriority w:val="99"/>
    <w:semiHidden/>
    <w:unhideWhenUsed/>
    <w:rsid w:val="008120DD"/>
    <w:rPr>
      <w:b/>
      <w:bCs/>
    </w:rPr>
  </w:style>
  <w:style w:type="character" w:customStyle="1" w:styleId="CommentSubjectChar">
    <w:name w:val="Comment Subject Char"/>
    <w:basedOn w:val="CommentTextChar"/>
    <w:link w:val="CommentSubject"/>
    <w:uiPriority w:val="99"/>
    <w:semiHidden/>
    <w:rsid w:val="008120DD"/>
    <w:rPr>
      <w:b/>
      <w:bCs/>
      <w:sz w:val="20"/>
      <w:szCs w:val="20"/>
    </w:rPr>
  </w:style>
  <w:style w:type="paragraph" w:styleId="BalloonText">
    <w:name w:val="Balloon Text"/>
    <w:basedOn w:val="Normal"/>
    <w:link w:val="BalloonTextChar"/>
    <w:uiPriority w:val="99"/>
    <w:semiHidden/>
    <w:unhideWhenUsed/>
    <w:rsid w:val="00812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0DD"/>
    <w:rPr>
      <w:rFonts w:ascii="Segoe UI" w:hAnsi="Segoe UI" w:cs="Segoe UI"/>
      <w:sz w:val="18"/>
      <w:szCs w:val="18"/>
    </w:rPr>
  </w:style>
  <w:style w:type="character" w:styleId="FollowedHyperlink">
    <w:name w:val="FollowedHyperlink"/>
    <w:basedOn w:val="DefaultParagraphFont"/>
    <w:uiPriority w:val="99"/>
    <w:semiHidden/>
    <w:unhideWhenUsed/>
    <w:rsid w:val="00684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7039">
      <w:bodyDiv w:val="1"/>
      <w:marLeft w:val="0"/>
      <w:marRight w:val="0"/>
      <w:marTop w:val="0"/>
      <w:marBottom w:val="0"/>
      <w:divBdr>
        <w:top w:val="none" w:sz="0" w:space="0" w:color="auto"/>
        <w:left w:val="none" w:sz="0" w:space="0" w:color="auto"/>
        <w:bottom w:val="none" w:sz="0" w:space="0" w:color="auto"/>
        <w:right w:val="none" w:sz="0" w:space="0" w:color="auto"/>
      </w:divBdr>
    </w:div>
    <w:div w:id="49304527">
      <w:bodyDiv w:val="1"/>
      <w:marLeft w:val="0"/>
      <w:marRight w:val="0"/>
      <w:marTop w:val="0"/>
      <w:marBottom w:val="0"/>
      <w:divBdr>
        <w:top w:val="none" w:sz="0" w:space="0" w:color="auto"/>
        <w:left w:val="none" w:sz="0" w:space="0" w:color="auto"/>
        <w:bottom w:val="none" w:sz="0" w:space="0" w:color="auto"/>
        <w:right w:val="none" w:sz="0" w:space="0" w:color="auto"/>
      </w:divBdr>
      <w:divsChild>
        <w:div w:id="1270164902">
          <w:marLeft w:val="0"/>
          <w:marRight w:val="0"/>
          <w:marTop w:val="240"/>
          <w:marBottom w:val="0"/>
          <w:divBdr>
            <w:top w:val="none" w:sz="0" w:space="0" w:color="auto"/>
            <w:left w:val="none" w:sz="0" w:space="0" w:color="auto"/>
            <w:bottom w:val="none" w:sz="0" w:space="0" w:color="auto"/>
            <w:right w:val="none" w:sz="0" w:space="0" w:color="auto"/>
          </w:divBdr>
        </w:div>
        <w:div w:id="1223372268">
          <w:marLeft w:val="0"/>
          <w:marRight w:val="0"/>
          <w:marTop w:val="240"/>
          <w:marBottom w:val="0"/>
          <w:divBdr>
            <w:top w:val="none" w:sz="0" w:space="0" w:color="auto"/>
            <w:left w:val="none" w:sz="0" w:space="0" w:color="auto"/>
            <w:bottom w:val="none" w:sz="0" w:space="0" w:color="auto"/>
            <w:right w:val="none" w:sz="0" w:space="0" w:color="auto"/>
          </w:divBdr>
        </w:div>
        <w:div w:id="646054563">
          <w:marLeft w:val="0"/>
          <w:marRight w:val="0"/>
          <w:marTop w:val="240"/>
          <w:marBottom w:val="0"/>
          <w:divBdr>
            <w:top w:val="none" w:sz="0" w:space="0" w:color="auto"/>
            <w:left w:val="none" w:sz="0" w:space="0" w:color="auto"/>
            <w:bottom w:val="none" w:sz="0" w:space="0" w:color="auto"/>
            <w:right w:val="none" w:sz="0" w:space="0" w:color="auto"/>
          </w:divBdr>
          <w:divsChild>
            <w:div w:id="1217738988">
              <w:marLeft w:val="0"/>
              <w:marRight w:val="480"/>
              <w:marTop w:val="0"/>
              <w:marBottom w:val="0"/>
              <w:divBdr>
                <w:top w:val="none" w:sz="0" w:space="0" w:color="auto"/>
                <w:left w:val="none" w:sz="0" w:space="0" w:color="auto"/>
                <w:bottom w:val="none" w:sz="0" w:space="0" w:color="auto"/>
                <w:right w:val="none" w:sz="0" w:space="0" w:color="auto"/>
              </w:divBdr>
            </w:div>
            <w:div w:id="1380863940">
              <w:marLeft w:val="0"/>
              <w:marRight w:val="480"/>
              <w:marTop w:val="0"/>
              <w:marBottom w:val="0"/>
              <w:divBdr>
                <w:top w:val="none" w:sz="0" w:space="0" w:color="auto"/>
                <w:left w:val="none" w:sz="0" w:space="0" w:color="auto"/>
                <w:bottom w:val="none" w:sz="0" w:space="0" w:color="auto"/>
                <w:right w:val="none" w:sz="0" w:space="0" w:color="auto"/>
              </w:divBdr>
            </w:div>
          </w:divsChild>
        </w:div>
        <w:div w:id="494566891">
          <w:marLeft w:val="0"/>
          <w:marRight w:val="0"/>
          <w:marTop w:val="240"/>
          <w:marBottom w:val="0"/>
          <w:divBdr>
            <w:top w:val="none" w:sz="0" w:space="0" w:color="auto"/>
            <w:left w:val="none" w:sz="0" w:space="0" w:color="auto"/>
            <w:bottom w:val="none" w:sz="0" w:space="0" w:color="auto"/>
            <w:right w:val="none" w:sz="0" w:space="0" w:color="auto"/>
          </w:divBdr>
        </w:div>
        <w:div w:id="995184753">
          <w:marLeft w:val="0"/>
          <w:marRight w:val="0"/>
          <w:marTop w:val="240"/>
          <w:marBottom w:val="0"/>
          <w:divBdr>
            <w:top w:val="none" w:sz="0" w:space="0" w:color="auto"/>
            <w:left w:val="none" w:sz="0" w:space="0" w:color="auto"/>
            <w:bottom w:val="none" w:sz="0" w:space="0" w:color="auto"/>
            <w:right w:val="none" w:sz="0" w:space="0" w:color="auto"/>
          </w:divBdr>
        </w:div>
        <w:div w:id="1191145538">
          <w:marLeft w:val="0"/>
          <w:marRight w:val="0"/>
          <w:marTop w:val="240"/>
          <w:marBottom w:val="240"/>
          <w:divBdr>
            <w:top w:val="none" w:sz="0" w:space="0" w:color="auto"/>
            <w:left w:val="none" w:sz="0" w:space="0" w:color="auto"/>
            <w:bottom w:val="none" w:sz="0" w:space="0" w:color="auto"/>
            <w:right w:val="none" w:sz="0" w:space="0" w:color="auto"/>
          </w:divBdr>
          <w:divsChild>
            <w:div w:id="213202402">
              <w:marLeft w:val="0"/>
              <w:marRight w:val="0"/>
              <w:marTop w:val="0"/>
              <w:marBottom w:val="0"/>
              <w:divBdr>
                <w:top w:val="none" w:sz="0" w:space="0" w:color="auto"/>
                <w:left w:val="none" w:sz="0" w:space="0" w:color="auto"/>
                <w:bottom w:val="none" w:sz="0" w:space="0" w:color="auto"/>
                <w:right w:val="none" w:sz="0" w:space="0" w:color="auto"/>
              </w:divBdr>
              <w:divsChild>
                <w:div w:id="4177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0132">
          <w:marLeft w:val="0"/>
          <w:marRight w:val="0"/>
          <w:marTop w:val="240"/>
          <w:marBottom w:val="0"/>
          <w:divBdr>
            <w:top w:val="none" w:sz="0" w:space="0" w:color="auto"/>
            <w:left w:val="none" w:sz="0" w:space="0" w:color="auto"/>
            <w:bottom w:val="none" w:sz="0" w:space="0" w:color="auto"/>
            <w:right w:val="none" w:sz="0" w:space="0" w:color="auto"/>
          </w:divBdr>
          <w:divsChild>
            <w:div w:id="936986762">
              <w:marLeft w:val="0"/>
              <w:marRight w:val="480"/>
              <w:marTop w:val="0"/>
              <w:marBottom w:val="0"/>
              <w:divBdr>
                <w:top w:val="none" w:sz="0" w:space="0" w:color="auto"/>
                <w:left w:val="none" w:sz="0" w:space="0" w:color="auto"/>
                <w:bottom w:val="none" w:sz="0" w:space="0" w:color="auto"/>
                <w:right w:val="none" w:sz="0" w:space="0" w:color="auto"/>
              </w:divBdr>
            </w:div>
            <w:div w:id="1826117396">
              <w:marLeft w:val="0"/>
              <w:marRight w:val="480"/>
              <w:marTop w:val="0"/>
              <w:marBottom w:val="0"/>
              <w:divBdr>
                <w:top w:val="none" w:sz="0" w:space="0" w:color="auto"/>
                <w:left w:val="none" w:sz="0" w:space="0" w:color="auto"/>
                <w:bottom w:val="none" w:sz="0" w:space="0" w:color="auto"/>
                <w:right w:val="none" w:sz="0" w:space="0" w:color="auto"/>
              </w:divBdr>
            </w:div>
          </w:divsChild>
        </w:div>
        <w:div w:id="831794184">
          <w:marLeft w:val="0"/>
          <w:marRight w:val="0"/>
          <w:marTop w:val="240"/>
          <w:marBottom w:val="0"/>
          <w:divBdr>
            <w:top w:val="none" w:sz="0" w:space="0" w:color="auto"/>
            <w:left w:val="none" w:sz="0" w:space="0" w:color="auto"/>
            <w:bottom w:val="none" w:sz="0" w:space="0" w:color="auto"/>
            <w:right w:val="none" w:sz="0" w:space="0" w:color="auto"/>
          </w:divBdr>
        </w:div>
        <w:div w:id="1619558132">
          <w:marLeft w:val="0"/>
          <w:marRight w:val="0"/>
          <w:marTop w:val="240"/>
          <w:marBottom w:val="0"/>
          <w:divBdr>
            <w:top w:val="none" w:sz="0" w:space="0" w:color="auto"/>
            <w:left w:val="none" w:sz="0" w:space="0" w:color="auto"/>
            <w:bottom w:val="none" w:sz="0" w:space="0" w:color="auto"/>
            <w:right w:val="none" w:sz="0" w:space="0" w:color="auto"/>
          </w:divBdr>
          <w:divsChild>
            <w:div w:id="124892408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1919666">
      <w:bodyDiv w:val="1"/>
      <w:marLeft w:val="0"/>
      <w:marRight w:val="0"/>
      <w:marTop w:val="0"/>
      <w:marBottom w:val="0"/>
      <w:divBdr>
        <w:top w:val="none" w:sz="0" w:space="0" w:color="auto"/>
        <w:left w:val="none" w:sz="0" w:space="0" w:color="auto"/>
        <w:bottom w:val="none" w:sz="0" w:space="0" w:color="auto"/>
        <w:right w:val="none" w:sz="0" w:space="0" w:color="auto"/>
      </w:divBdr>
    </w:div>
    <w:div w:id="231936569">
      <w:bodyDiv w:val="1"/>
      <w:marLeft w:val="0"/>
      <w:marRight w:val="0"/>
      <w:marTop w:val="0"/>
      <w:marBottom w:val="0"/>
      <w:divBdr>
        <w:top w:val="none" w:sz="0" w:space="0" w:color="auto"/>
        <w:left w:val="none" w:sz="0" w:space="0" w:color="auto"/>
        <w:bottom w:val="none" w:sz="0" w:space="0" w:color="auto"/>
        <w:right w:val="none" w:sz="0" w:space="0" w:color="auto"/>
      </w:divBdr>
    </w:div>
    <w:div w:id="260721219">
      <w:bodyDiv w:val="1"/>
      <w:marLeft w:val="0"/>
      <w:marRight w:val="0"/>
      <w:marTop w:val="0"/>
      <w:marBottom w:val="0"/>
      <w:divBdr>
        <w:top w:val="none" w:sz="0" w:space="0" w:color="auto"/>
        <w:left w:val="none" w:sz="0" w:space="0" w:color="auto"/>
        <w:bottom w:val="none" w:sz="0" w:space="0" w:color="auto"/>
        <w:right w:val="none" w:sz="0" w:space="0" w:color="auto"/>
      </w:divBdr>
    </w:div>
    <w:div w:id="425419845">
      <w:bodyDiv w:val="1"/>
      <w:marLeft w:val="0"/>
      <w:marRight w:val="0"/>
      <w:marTop w:val="0"/>
      <w:marBottom w:val="0"/>
      <w:divBdr>
        <w:top w:val="none" w:sz="0" w:space="0" w:color="auto"/>
        <w:left w:val="none" w:sz="0" w:space="0" w:color="auto"/>
        <w:bottom w:val="none" w:sz="0" w:space="0" w:color="auto"/>
        <w:right w:val="none" w:sz="0" w:space="0" w:color="auto"/>
      </w:divBdr>
    </w:div>
    <w:div w:id="429088466">
      <w:bodyDiv w:val="1"/>
      <w:marLeft w:val="0"/>
      <w:marRight w:val="0"/>
      <w:marTop w:val="0"/>
      <w:marBottom w:val="0"/>
      <w:divBdr>
        <w:top w:val="none" w:sz="0" w:space="0" w:color="auto"/>
        <w:left w:val="none" w:sz="0" w:space="0" w:color="auto"/>
        <w:bottom w:val="none" w:sz="0" w:space="0" w:color="auto"/>
        <w:right w:val="none" w:sz="0" w:space="0" w:color="auto"/>
      </w:divBdr>
    </w:div>
    <w:div w:id="640502226">
      <w:bodyDiv w:val="1"/>
      <w:marLeft w:val="0"/>
      <w:marRight w:val="0"/>
      <w:marTop w:val="0"/>
      <w:marBottom w:val="0"/>
      <w:divBdr>
        <w:top w:val="none" w:sz="0" w:space="0" w:color="auto"/>
        <w:left w:val="none" w:sz="0" w:space="0" w:color="auto"/>
        <w:bottom w:val="none" w:sz="0" w:space="0" w:color="auto"/>
        <w:right w:val="none" w:sz="0" w:space="0" w:color="auto"/>
      </w:divBdr>
    </w:div>
    <w:div w:id="685907278">
      <w:bodyDiv w:val="1"/>
      <w:marLeft w:val="0"/>
      <w:marRight w:val="0"/>
      <w:marTop w:val="0"/>
      <w:marBottom w:val="0"/>
      <w:divBdr>
        <w:top w:val="none" w:sz="0" w:space="0" w:color="auto"/>
        <w:left w:val="none" w:sz="0" w:space="0" w:color="auto"/>
        <w:bottom w:val="none" w:sz="0" w:space="0" w:color="auto"/>
        <w:right w:val="none" w:sz="0" w:space="0" w:color="auto"/>
      </w:divBdr>
      <w:divsChild>
        <w:div w:id="226692538">
          <w:marLeft w:val="0"/>
          <w:marRight w:val="0"/>
          <w:marTop w:val="0"/>
          <w:marBottom w:val="0"/>
          <w:divBdr>
            <w:top w:val="none" w:sz="0" w:space="0" w:color="auto"/>
            <w:left w:val="none" w:sz="0" w:space="0" w:color="auto"/>
            <w:bottom w:val="none" w:sz="0" w:space="0" w:color="auto"/>
            <w:right w:val="none" w:sz="0" w:space="0" w:color="auto"/>
          </w:divBdr>
          <w:divsChild>
            <w:div w:id="19288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5249">
      <w:bodyDiv w:val="1"/>
      <w:marLeft w:val="0"/>
      <w:marRight w:val="0"/>
      <w:marTop w:val="0"/>
      <w:marBottom w:val="0"/>
      <w:divBdr>
        <w:top w:val="none" w:sz="0" w:space="0" w:color="auto"/>
        <w:left w:val="none" w:sz="0" w:space="0" w:color="auto"/>
        <w:bottom w:val="none" w:sz="0" w:space="0" w:color="auto"/>
        <w:right w:val="none" w:sz="0" w:space="0" w:color="auto"/>
      </w:divBdr>
    </w:div>
    <w:div w:id="872502875">
      <w:bodyDiv w:val="1"/>
      <w:marLeft w:val="0"/>
      <w:marRight w:val="0"/>
      <w:marTop w:val="0"/>
      <w:marBottom w:val="0"/>
      <w:divBdr>
        <w:top w:val="none" w:sz="0" w:space="0" w:color="auto"/>
        <w:left w:val="none" w:sz="0" w:space="0" w:color="auto"/>
        <w:bottom w:val="none" w:sz="0" w:space="0" w:color="auto"/>
        <w:right w:val="none" w:sz="0" w:space="0" w:color="auto"/>
      </w:divBdr>
    </w:div>
    <w:div w:id="922182299">
      <w:bodyDiv w:val="1"/>
      <w:marLeft w:val="0"/>
      <w:marRight w:val="0"/>
      <w:marTop w:val="0"/>
      <w:marBottom w:val="0"/>
      <w:divBdr>
        <w:top w:val="none" w:sz="0" w:space="0" w:color="auto"/>
        <w:left w:val="none" w:sz="0" w:space="0" w:color="auto"/>
        <w:bottom w:val="none" w:sz="0" w:space="0" w:color="auto"/>
        <w:right w:val="none" w:sz="0" w:space="0" w:color="auto"/>
      </w:divBdr>
      <w:divsChild>
        <w:div w:id="1352607134">
          <w:marLeft w:val="0"/>
          <w:marRight w:val="0"/>
          <w:marTop w:val="0"/>
          <w:marBottom w:val="0"/>
          <w:divBdr>
            <w:top w:val="none" w:sz="0" w:space="0" w:color="auto"/>
            <w:left w:val="single" w:sz="18" w:space="0" w:color="4275AE"/>
            <w:bottom w:val="none" w:sz="0" w:space="0" w:color="auto"/>
            <w:right w:val="none" w:sz="0" w:space="0" w:color="auto"/>
          </w:divBdr>
          <w:divsChild>
            <w:div w:id="982848211">
              <w:marLeft w:val="0"/>
              <w:marRight w:val="0"/>
              <w:marTop w:val="0"/>
              <w:marBottom w:val="0"/>
              <w:divBdr>
                <w:top w:val="none" w:sz="0" w:space="0" w:color="auto"/>
                <w:left w:val="none" w:sz="0" w:space="0" w:color="auto"/>
                <w:bottom w:val="none" w:sz="0" w:space="0" w:color="auto"/>
                <w:right w:val="none" w:sz="0" w:space="0" w:color="auto"/>
              </w:divBdr>
              <w:divsChild>
                <w:div w:id="1164735220">
                  <w:marLeft w:val="0"/>
                  <w:marRight w:val="0"/>
                  <w:marTop w:val="0"/>
                  <w:marBottom w:val="0"/>
                  <w:divBdr>
                    <w:top w:val="none" w:sz="0" w:space="0" w:color="auto"/>
                    <w:left w:val="none" w:sz="0" w:space="0" w:color="auto"/>
                    <w:bottom w:val="none" w:sz="0" w:space="0" w:color="auto"/>
                    <w:right w:val="none" w:sz="0" w:space="0" w:color="auto"/>
                  </w:divBdr>
                </w:div>
              </w:divsChild>
            </w:div>
            <w:div w:id="1154562815">
              <w:marLeft w:val="0"/>
              <w:marRight w:val="0"/>
              <w:marTop w:val="0"/>
              <w:marBottom w:val="0"/>
              <w:divBdr>
                <w:top w:val="none" w:sz="0" w:space="0" w:color="auto"/>
                <w:left w:val="none" w:sz="0" w:space="0" w:color="auto"/>
                <w:bottom w:val="none" w:sz="0" w:space="0" w:color="auto"/>
                <w:right w:val="none" w:sz="0" w:space="0" w:color="auto"/>
              </w:divBdr>
              <w:divsChild>
                <w:div w:id="1009792028">
                  <w:marLeft w:val="0"/>
                  <w:marRight w:val="0"/>
                  <w:marTop w:val="0"/>
                  <w:marBottom w:val="0"/>
                  <w:divBdr>
                    <w:top w:val="none" w:sz="0" w:space="0" w:color="auto"/>
                    <w:left w:val="none" w:sz="0" w:space="0" w:color="auto"/>
                    <w:bottom w:val="none" w:sz="0" w:space="0" w:color="auto"/>
                    <w:right w:val="none" w:sz="0" w:space="0" w:color="auto"/>
                  </w:divBdr>
                </w:div>
                <w:div w:id="1830320382">
                  <w:marLeft w:val="0"/>
                  <w:marRight w:val="0"/>
                  <w:marTop w:val="0"/>
                  <w:marBottom w:val="0"/>
                  <w:divBdr>
                    <w:top w:val="none" w:sz="0" w:space="0" w:color="auto"/>
                    <w:left w:val="none" w:sz="0" w:space="0" w:color="auto"/>
                    <w:bottom w:val="none" w:sz="0" w:space="0" w:color="auto"/>
                    <w:right w:val="none" w:sz="0" w:space="0" w:color="auto"/>
                  </w:divBdr>
                </w:div>
              </w:divsChild>
            </w:div>
            <w:div w:id="1744715559">
              <w:marLeft w:val="0"/>
              <w:marRight w:val="0"/>
              <w:marTop w:val="0"/>
              <w:marBottom w:val="0"/>
              <w:divBdr>
                <w:top w:val="none" w:sz="0" w:space="0" w:color="auto"/>
                <w:left w:val="none" w:sz="0" w:space="0" w:color="auto"/>
                <w:bottom w:val="none" w:sz="0" w:space="0" w:color="auto"/>
                <w:right w:val="none" w:sz="0" w:space="0" w:color="auto"/>
              </w:divBdr>
            </w:div>
          </w:divsChild>
        </w:div>
        <w:div w:id="1088573627">
          <w:marLeft w:val="0"/>
          <w:marRight w:val="0"/>
          <w:marTop w:val="0"/>
          <w:marBottom w:val="0"/>
          <w:divBdr>
            <w:top w:val="none" w:sz="0" w:space="0" w:color="auto"/>
            <w:left w:val="none" w:sz="0" w:space="0" w:color="auto"/>
            <w:bottom w:val="none" w:sz="0" w:space="0" w:color="auto"/>
            <w:right w:val="none" w:sz="0" w:space="0" w:color="auto"/>
          </w:divBdr>
          <w:divsChild>
            <w:div w:id="1801877664">
              <w:marLeft w:val="0"/>
              <w:marRight w:val="0"/>
              <w:marTop w:val="0"/>
              <w:marBottom w:val="0"/>
              <w:divBdr>
                <w:top w:val="none" w:sz="0" w:space="0" w:color="auto"/>
                <w:left w:val="none" w:sz="0" w:space="0" w:color="auto"/>
                <w:bottom w:val="none" w:sz="0" w:space="0" w:color="auto"/>
                <w:right w:val="none" w:sz="0" w:space="0" w:color="auto"/>
              </w:divBdr>
              <w:divsChild>
                <w:div w:id="14603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7994">
      <w:bodyDiv w:val="1"/>
      <w:marLeft w:val="0"/>
      <w:marRight w:val="0"/>
      <w:marTop w:val="0"/>
      <w:marBottom w:val="0"/>
      <w:divBdr>
        <w:top w:val="none" w:sz="0" w:space="0" w:color="auto"/>
        <w:left w:val="none" w:sz="0" w:space="0" w:color="auto"/>
        <w:bottom w:val="none" w:sz="0" w:space="0" w:color="auto"/>
        <w:right w:val="none" w:sz="0" w:space="0" w:color="auto"/>
      </w:divBdr>
    </w:div>
    <w:div w:id="1112094257">
      <w:bodyDiv w:val="1"/>
      <w:marLeft w:val="0"/>
      <w:marRight w:val="0"/>
      <w:marTop w:val="0"/>
      <w:marBottom w:val="0"/>
      <w:divBdr>
        <w:top w:val="none" w:sz="0" w:space="0" w:color="auto"/>
        <w:left w:val="none" w:sz="0" w:space="0" w:color="auto"/>
        <w:bottom w:val="none" w:sz="0" w:space="0" w:color="auto"/>
        <w:right w:val="none" w:sz="0" w:space="0" w:color="auto"/>
      </w:divBdr>
    </w:div>
    <w:div w:id="1367296167">
      <w:bodyDiv w:val="1"/>
      <w:marLeft w:val="0"/>
      <w:marRight w:val="0"/>
      <w:marTop w:val="0"/>
      <w:marBottom w:val="0"/>
      <w:divBdr>
        <w:top w:val="none" w:sz="0" w:space="0" w:color="auto"/>
        <w:left w:val="none" w:sz="0" w:space="0" w:color="auto"/>
        <w:bottom w:val="none" w:sz="0" w:space="0" w:color="auto"/>
        <w:right w:val="none" w:sz="0" w:space="0" w:color="auto"/>
      </w:divBdr>
    </w:div>
    <w:div w:id="1401173822">
      <w:bodyDiv w:val="1"/>
      <w:marLeft w:val="0"/>
      <w:marRight w:val="0"/>
      <w:marTop w:val="0"/>
      <w:marBottom w:val="0"/>
      <w:divBdr>
        <w:top w:val="none" w:sz="0" w:space="0" w:color="auto"/>
        <w:left w:val="none" w:sz="0" w:space="0" w:color="auto"/>
        <w:bottom w:val="none" w:sz="0" w:space="0" w:color="auto"/>
        <w:right w:val="none" w:sz="0" w:space="0" w:color="auto"/>
      </w:divBdr>
    </w:div>
    <w:div w:id="1417437400">
      <w:bodyDiv w:val="1"/>
      <w:marLeft w:val="0"/>
      <w:marRight w:val="0"/>
      <w:marTop w:val="0"/>
      <w:marBottom w:val="0"/>
      <w:divBdr>
        <w:top w:val="none" w:sz="0" w:space="0" w:color="auto"/>
        <w:left w:val="none" w:sz="0" w:space="0" w:color="auto"/>
        <w:bottom w:val="none" w:sz="0" w:space="0" w:color="auto"/>
        <w:right w:val="none" w:sz="0" w:space="0" w:color="auto"/>
      </w:divBdr>
    </w:div>
    <w:div w:id="1518348508">
      <w:bodyDiv w:val="1"/>
      <w:marLeft w:val="0"/>
      <w:marRight w:val="0"/>
      <w:marTop w:val="0"/>
      <w:marBottom w:val="0"/>
      <w:divBdr>
        <w:top w:val="none" w:sz="0" w:space="0" w:color="auto"/>
        <w:left w:val="none" w:sz="0" w:space="0" w:color="auto"/>
        <w:bottom w:val="none" w:sz="0" w:space="0" w:color="auto"/>
        <w:right w:val="none" w:sz="0" w:space="0" w:color="auto"/>
      </w:divBdr>
    </w:div>
    <w:div w:id="1577549107">
      <w:bodyDiv w:val="1"/>
      <w:marLeft w:val="0"/>
      <w:marRight w:val="0"/>
      <w:marTop w:val="0"/>
      <w:marBottom w:val="0"/>
      <w:divBdr>
        <w:top w:val="none" w:sz="0" w:space="0" w:color="auto"/>
        <w:left w:val="none" w:sz="0" w:space="0" w:color="auto"/>
        <w:bottom w:val="none" w:sz="0" w:space="0" w:color="auto"/>
        <w:right w:val="none" w:sz="0" w:space="0" w:color="auto"/>
      </w:divBdr>
    </w:div>
    <w:div w:id="1781339299">
      <w:bodyDiv w:val="1"/>
      <w:marLeft w:val="0"/>
      <w:marRight w:val="0"/>
      <w:marTop w:val="0"/>
      <w:marBottom w:val="0"/>
      <w:divBdr>
        <w:top w:val="none" w:sz="0" w:space="0" w:color="auto"/>
        <w:left w:val="none" w:sz="0" w:space="0" w:color="auto"/>
        <w:bottom w:val="none" w:sz="0" w:space="0" w:color="auto"/>
        <w:right w:val="none" w:sz="0" w:space="0" w:color="auto"/>
      </w:divBdr>
    </w:div>
    <w:div w:id="1800494278">
      <w:bodyDiv w:val="1"/>
      <w:marLeft w:val="0"/>
      <w:marRight w:val="0"/>
      <w:marTop w:val="0"/>
      <w:marBottom w:val="0"/>
      <w:divBdr>
        <w:top w:val="none" w:sz="0" w:space="0" w:color="auto"/>
        <w:left w:val="none" w:sz="0" w:space="0" w:color="auto"/>
        <w:bottom w:val="none" w:sz="0" w:space="0" w:color="auto"/>
        <w:right w:val="none" w:sz="0" w:space="0" w:color="auto"/>
      </w:divBdr>
    </w:div>
    <w:div w:id="1885097502">
      <w:bodyDiv w:val="1"/>
      <w:marLeft w:val="0"/>
      <w:marRight w:val="0"/>
      <w:marTop w:val="0"/>
      <w:marBottom w:val="0"/>
      <w:divBdr>
        <w:top w:val="none" w:sz="0" w:space="0" w:color="auto"/>
        <w:left w:val="none" w:sz="0" w:space="0" w:color="auto"/>
        <w:bottom w:val="none" w:sz="0" w:space="0" w:color="auto"/>
        <w:right w:val="none" w:sz="0" w:space="0" w:color="auto"/>
      </w:divBdr>
    </w:div>
    <w:div w:id="1919485253">
      <w:bodyDiv w:val="1"/>
      <w:marLeft w:val="0"/>
      <w:marRight w:val="0"/>
      <w:marTop w:val="0"/>
      <w:marBottom w:val="0"/>
      <w:divBdr>
        <w:top w:val="none" w:sz="0" w:space="0" w:color="auto"/>
        <w:left w:val="none" w:sz="0" w:space="0" w:color="auto"/>
        <w:bottom w:val="none" w:sz="0" w:space="0" w:color="auto"/>
        <w:right w:val="none" w:sz="0" w:space="0" w:color="auto"/>
      </w:divBdr>
    </w:div>
    <w:div w:id="2037922412">
      <w:bodyDiv w:val="1"/>
      <w:marLeft w:val="0"/>
      <w:marRight w:val="0"/>
      <w:marTop w:val="0"/>
      <w:marBottom w:val="0"/>
      <w:divBdr>
        <w:top w:val="none" w:sz="0" w:space="0" w:color="auto"/>
        <w:left w:val="none" w:sz="0" w:space="0" w:color="auto"/>
        <w:bottom w:val="none" w:sz="0" w:space="0" w:color="auto"/>
        <w:right w:val="none" w:sz="0" w:space="0" w:color="auto"/>
      </w:divBdr>
    </w:div>
    <w:div w:id="2062897530">
      <w:bodyDiv w:val="1"/>
      <w:marLeft w:val="0"/>
      <w:marRight w:val="0"/>
      <w:marTop w:val="0"/>
      <w:marBottom w:val="0"/>
      <w:divBdr>
        <w:top w:val="none" w:sz="0" w:space="0" w:color="auto"/>
        <w:left w:val="none" w:sz="0" w:space="0" w:color="auto"/>
        <w:bottom w:val="none" w:sz="0" w:space="0" w:color="auto"/>
        <w:right w:val="none" w:sz="0" w:space="0" w:color="auto"/>
      </w:divBdr>
    </w:div>
    <w:div w:id="212618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con.sen@aph.gov.au" TargetMode="External"/><Relationship Id="rId13" Type="http://schemas.openxmlformats.org/officeDocument/2006/relationships/hyperlink" Target="http://www.awava.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3n8a8pro7vhmx.cloudfront.net/projectrespect/pages/15/attachments/original/1453939756/Revenge_Porn_Submission.pdf?14539397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cations.gov.au/sites/g/files/net301/f/submissions/wesne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mmunications.gov.au/sites/g/files/net301/f/submissions/womens_legal_services_australia.pdf" TargetMode="External"/><Relationship Id="rId4" Type="http://schemas.openxmlformats.org/officeDocument/2006/relationships/settings" Target="settings.xml"/><Relationship Id="rId9" Type="http://schemas.openxmlformats.org/officeDocument/2006/relationships/hyperlink" Target="http://awava.org.au/2017/07/20/submissions/submission-proposed-civil-penalties-regime-non-consensual-sharing-intimate-images" TargetMode="External"/><Relationship Id="rId14" Type="http://schemas.openxmlformats.org/officeDocument/2006/relationships/hyperlink" Target="mailto:pm@awava.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ytimes.com/2010/10/03/weekinreview/03schwartz.html?_r=1&amp;ref=tyler_clementi" TargetMode="External"/><Relationship Id="rId3" Type="http://schemas.openxmlformats.org/officeDocument/2006/relationships/hyperlink" Target="https://www.rmit.edu.au/news/all-news/2017/may/not-just-_revenge-porn--image-based-abuse-hits-1-in-5-australian" TargetMode="External"/><Relationship Id="rId7" Type="http://schemas.openxmlformats.org/officeDocument/2006/relationships/hyperlink" Target="http://lgbtihealth.org.au/statistics/" TargetMode="External"/><Relationship Id="rId2" Type="http://schemas.openxmlformats.org/officeDocument/2006/relationships/hyperlink" Target="http://www.smartsafe.org.au/sites/default/files/SmartSafe-Findings-Booklet.pdf" TargetMode="External"/><Relationship Id="rId1" Type="http://schemas.openxmlformats.org/officeDocument/2006/relationships/hyperlink" Target="http://www.smartsafe.org.au/disturbing-new-trend-domestic-violence-offenders-use-car-tracking" TargetMode="External"/><Relationship Id="rId6" Type="http://schemas.openxmlformats.org/officeDocument/2006/relationships/hyperlink" Target="http://www.glhv.org.au/files/wti3_web_sml.pdf" TargetMode="External"/><Relationship Id="rId5" Type="http://schemas.openxmlformats.org/officeDocument/2006/relationships/hyperlink" Target="https://bullying.humanrights.gov.au/sites/default/files/content/pdf/bullying/VHB_LGBTI.pdf" TargetMode="External"/><Relationship Id="rId10" Type="http://schemas.openxmlformats.org/officeDocument/2006/relationships/hyperlink" Target="https://wesnet.org.au/safetynet/" TargetMode="External"/><Relationship Id="rId4" Type="http://schemas.openxmlformats.org/officeDocument/2006/relationships/hyperlink" Target="http://www.glhv.org.au/files/wti3_web_sml.pdf" TargetMode="External"/><Relationship Id="rId9" Type="http://schemas.openxmlformats.org/officeDocument/2006/relationships/hyperlink" Target="https://www.lifeline.org.au/about-lifeline/lifeline-information/statistics-on-suicide-in-austral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77ED-163F-4C5E-940F-3AEFFF75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ProgramManager</cp:lastModifiedBy>
  <cp:revision>3</cp:revision>
  <dcterms:created xsi:type="dcterms:W3CDTF">2017-10-19T05:19:00Z</dcterms:created>
  <dcterms:modified xsi:type="dcterms:W3CDTF">2017-10-19T05:21:00Z</dcterms:modified>
</cp:coreProperties>
</file>