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AB" w:rsidRDefault="00F730AB" w:rsidP="00FB011B">
      <w:pPr>
        <w:rPr>
          <w:lang w:val="en-AU"/>
        </w:rPr>
      </w:pPr>
    </w:p>
    <w:p w:rsidR="00F730AB" w:rsidRDefault="00F730AB" w:rsidP="00F730AB">
      <w:pPr>
        <w:pStyle w:val="Heading1"/>
        <w:rPr>
          <w:lang w:val="en-AU"/>
        </w:rPr>
      </w:pPr>
      <w:r>
        <w:rPr>
          <w:lang w:val="en-AU"/>
        </w:rPr>
        <w:t>FAMILY VIOLENCE, CHILD PROTECTION AND FAMILY LAW</w:t>
      </w:r>
      <w:bookmarkStart w:id="0" w:name="_GoBack"/>
      <w:bookmarkEnd w:id="0"/>
    </w:p>
    <w:p w:rsidR="00F730AB" w:rsidRDefault="00F730AB" w:rsidP="00FB011B">
      <w:pPr>
        <w:rPr>
          <w:lang w:val="en-AU"/>
        </w:rPr>
      </w:pPr>
    </w:p>
    <w:p w:rsidR="00FB011B" w:rsidRDefault="00FB011B" w:rsidP="00FB011B">
      <w:pPr>
        <w:rPr>
          <w:lang w:val="en-AU"/>
        </w:rPr>
      </w:pPr>
      <w:r w:rsidRPr="00FC61E4">
        <w:rPr>
          <w:lang w:val="en-AU"/>
        </w:rPr>
        <w:t>Children and families are entering the child protection system with increasingly</w:t>
      </w:r>
      <w:r>
        <w:rPr>
          <w:lang w:val="en-AU"/>
        </w:rPr>
        <w:t xml:space="preserve"> </w:t>
      </w:r>
      <w:r w:rsidRPr="00FC61E4">
        <w:rPr>
          <w:lang w:val="en-AU"/>
        </w:rPr>
        <w:t>complex family circumstances</w:t>
      </w:r>
      <w:r>
        <w:rPr>
          <w:lang w:val="en-AU"/>
        </w:rPr>
        <w:t>, including domestic and family violence</w:t>
      </w:r>
      <w:r w:rsidRPr="00FC61E4">
        <w:rPr>
          <w:lang w:val="en-AU"/>
        </w:rPr>
        <w:t>.</w:t>
      </w:r>
      <w:r>
        <w:rPr>
          <w:lang w:val="en-AU"/>
        </w:rPr>
        <w:t xml:space="preserve"> Victims/survivors o</w:t>
      </w:r>
      <w:r w:rsidR="00A711F2">
        <w:rPr>
          <w:lang w:val="en-AU"/>
        </w:rPr>
        <w:t xml:space="preserve">f domestic and family violence </w:t>
      </w:r>
      <w:r>
        <w:rPr>
          <w:lang w:val="en-AU"/>
        </w:rPr>
        <w:t xml:space="preserve">often </w:t>
      </w:r>
      <w:r w:rsidR="008E08B5">
        <w:rPr>
          <w:lang w:val="en-AU"/>
        </w:rPr>
        <w:t>do not receive</w:t>
      </w:r>
      <w:r>
        <w:rPr>
          <w:lang w:val="en-AU"/>
        </w:rPr>
        <w:t xml:space="preserve"> the support they need to maintain </w:t>
      </w:r>
      <w:r w:rsidR="00660ADC">
        <w:rPr>
          <w:lang w:val="en-AU"/>
        </w:rPr>
        <w:t xml:space="preserve">or re-establish </w:t>
      </w:r>
      <w:r>
        <w:rPr>
          <w:lang w:val="en-AU"/>
        </w:rPr>
        <w:t xml:space="preserve">their caring roles while building lives that are safe from violence. </w:t>
      </w:r>
      <w:r w:rsidRPr="00347965">
        <w:rPr>
          <w:lang w:val="en-AU"/>
        </w:rPr>
        <w:t>The aim of this page is to provide</w:t>
      </w:r>
      <w:r>
        <w:rPr>
          <w:lang w:val="en-AU"/>
        </w:rPr>
        <w:t xml:space="preserve"> a guide to some available</w:t>
      </w:r>
      <w:r w:rsidRPr="00347965">
        <w:rPr>
          <w:lang w:val="en-AU"/>
        </w:rPr>
        <w:t xml:space="preserve"> </w:t>
      </w:r>
      <w:r w:rsidR="00B07745">
        <w:rPr>
          <w:lang w:val="en-AU"/>
        </w:rPr>
        <w:t>policy reports</w:t>
      </w:r>
      <w:r>
        <w:rPr>
          <w:lang w:val="en-AU"/>
        </w:rPr>
        <w:t xml:space="preserve">, information and links on the intersection of domestic and family violence, child protection and family law. </w:t>
      </w:r>
      <w:r w:rsidR="00B07745">
        <w:rPr>
          <w:lang w:val="en-AU"/>
        </w:rPr>
        <w:t xml:space="preserve">This resource </w:t>
      </w:r>
      <w:r>
        <w:rPr>
          <w:lang w:val="en-AU"/>
        </w:rPr>
        <w:t xml:space="preserve">does not compile existing recommendations or make new ones, although many of the reports referred to do contain proposals for reform. The content is relevant for June 2017. </w:t>
      </w:r>
    </w:p>
    <w:p w:rsidR="00FB011B" w:rsidRDefault="00FB011B" w:rsidP="00FB011B">
      <w:pPr>
        <w:rPr>
          <w:lang w:val="en-AU"/>
        </w:rPr>
      </w:pPr>
      <w:r>
        <w:rPr>
          <w:lang w:val="en-AU"/>
        </w:rPr>
        <w:t xml:space="preserve">If you have any feedback or wish to comment on the material listed here, please contact </w:t>
      </w:r>
      <w:hyperlink r:id="rId6" w:history="1">
        <w:r w:rsidRPr="008B4E50">
          <w:rPr>
            <w:rStyle w:val="Hyperlink"/>
            <w:lang w:val="en-AU"/>
          </w:rPr>
          <w:t>info@awava.org.au</w:t>
        </w:r>
      </w:hyperlink>
    </w:p>
    <w:p w:rsidR="00FB011B" w:rsidRDefault="00FB011B" w:rsidP="00FB011B">
      <w:pPr>
        <w:rPr>
          <w:lang w:val="en-AU"/>
        </w:rPr>
      </w:pPr>
    </w:p>
    <w:p w:rsidR="00FB011B" w:rsidRPr="00B07745" w:rsidRDefault="00FB011B" w:rsidP="00FB011B">
      <w:pPr>
        <w:rPr>
          <w:b/>
          <w:lang w:val="en-AU"/>
        </w:rPr>
      </w:pPr>
      <w:r w:rsidRPr="00B07745">
        <w:rPr>
          <w:b/>
          <w:lang w:val="en-AU"/>
        </w:rPr>
        <w:t>Relevant legislation</w:t>
      </w:r>
      <w:r w:rsidR="0038651C" w:rsidRPr="00B07745">
        <w:rPr>
          <w:b/>
          <w:lang w:val="en-AU"/>
        </w:rPr>
        <w:t xml:space="preserve"> and jurisdictions</w:t>
      </w:r>
    </w:p>
    <w:p w:rsidR="00FB011B" w:rsidRDefault="0038651C" w:rsidP="00FB011B">
      <w:pPr>
        <w:rPr>
          <w:lang w:val="en-AU"/>
        </w:rPr>
      </w:pPr>
      <w:r>
        <w:rPr>
          <w:lang w:val="en-AU"/>
        </w:rPr>
        <w:t>Work in the intersection of domestic and family violence, child protection and family law is complicated by overlapping jurisdictions, e.g. there may be S</w:t>
      </w:r>
      <w:r w:rsidR="00FB011B">
        <w:rPr>
          <w:lang w:val="en-AU"/>
        </w:rPr>
        <w:t>tate/</w:t>
      </w:r>
      <w:r>
        <w:rPr>
          <w:lang w:val="en-AU"/>
        </w:rPr>
        <w:t>T</w:t>
      </w:r>
      <w:r w:rsidR="00FB011B">
        <w:rPr>
          <w:lang w:val="en-AU"/>
        </w:rPr>
        <w:t xml:space="preserve">erritory interventions (child protection) </w:t>
      </w:r>
      <w:r>
        <w:rPr>
          <w:lang w:val="en-AU"/>
        </w:rPr>
        <w:t xml:space="preserve">at the same time as </w:t>
      </w:r>
      <w:r w:rsidR="00FB011B">
        <w:rPr>
          <w:lang w:val="en-AU"/>
        </w:rPr>
        <w:t xml:space="preserve">interventions </w:t>
      </w:r>
      <w:r w:rsidR="00B426A3">
        <w:rPr>
          <w:lang w:val="en-AU"/>
        </w:rPr>
        <w:t>at</w:t>
      </w:r>
      <w:r w:rsidR="00FB011B">
        <w:rPr>
          <w:lang w:val="en-AU"/>
        </w:rPr>
        <w:t xml:space="preserve"> the </w:t>
      </w:r>
      <w:r w:rsidR="00B426A3">
        <w:rPr>
          <w:lang w:val="en-AU"/>
        </w:rPr>
        <w:t>F</w:t>
      </w:r>
      <w:r w:rsidR="00FB011B">
        <w:rPr>
          <w:lang w:val="en-AU"/>
        </w:rPr>
        <w:t>ederal level (family law).</w:t>
      </w:r>
    </w:p>
    <w:p w:rsidR="0038651C" w:rsidRDefault="0038651C" w:rsidP="00FB011B">
      <w:pPr>
        <w:rPr>
          <w:lang w:val="en-AU"/>
        </w:rPr>
      </w:pPr>
      <w:r>
        <w:rPr>
          <w:lang w:val="en-AU"/>
        </w:rPr>
        <w:t>The</w:t>
      </w:r>
      <w:r w:rsidR="00B426A3">
        <w:rPr>
          <w:lang w:val="en-AU"/>
        </w:rPr>
        <w:t>se</w:t>
      </w:r>
      <w:r>
        <w:rPr>
          <w:lang w:val="en-AU"/>
        </w:rPr>
        <w:t xml:space="preserve"> overlapping jurisdictions and services are outlined in </w:t>
      </w:r>
      <w:r w:rsidR="009D620D">
        <w:rPr>
          <w:lang w:val="en-AU"/>
        </w:rPr>
        <w:t>a</w:t>
      </w:r>
      <w:r>
        <w:rPr>
          <w:lang w:val="en-AU"/>
        </w:rPr>
        <w:t xml:space="preserve"> report on </w:t>
      </w:r>
      <w:r w:rsidRPr="0038651C">
        <w:rPr>
          <w:i/>
          <w:lang w:val="en-AU"/>
        </w:rPr>
        <w:t>Collaborative work across the child protection and specialist domestic and family violence interface</w:t>
      </w:r>
      <w:r>
        <w:rPr>
          <w:lang w:val="en-AU"/>
        </w:rPr>
        <w:t xml:space="preserve">  by Cathy Humphries and Lucy Healey for ANROWS’s </w:t>
      </w:r>
      <w:proofErr w:type="spellStart"/>
      <w:r w:rsidRPr="0038651C">
        <w:rPr>
          <w:lang w:val="en-AU"/>
        </w:rPr>
        <w:t>PAThways</w:t>
      </w:r>
      <w:proofErr w:type="spellEnd"/>
      <w:r w:rsidRPr="0038651C">
        <w:rPr>
          <w:lang w:val="en-AU"/>
        </w:rPr>
        <w:t xml:space="preserve"> and Research </w:t>
      </w:r>
      <w:r>
        <w:rPr>
          <w:lang w:val="en-AU"/>
        </w:rPr>
        <w:t xml:space="preserve">Into Collaborative Inter-Agency </w:t>
      </w:r>
      <w:r w:rsidRPr="0038651C">
        <w:rPr>
          <w:lang w:val="en-AU"/>
        </w:rPr>
        <w:t>practice</w:t>
      </w:r>
      <w:r>
        <w:rPr>
          <w:lang w:val="en-AU"/>
        </w:rPr>
        <w:t xml:space="preserve"> – PATRICIA project: </w:t>
      </w:r>
      <w:hyperlink r:id="rId7" w:history="1">
        <w:r w:rsidRPr="008B4E50">
          <w:rPr>
            <w:rStyle w:val="Hyperlink"/>
            <w:lang w:val="en-AU"/>
          </w:rPr>
          <w:t>https://d2c0ikyv46o3b1.cloudfront.net/anrows.org.au/Patricia_Horizons_final.pdf</w:t>
        </w:r>
      </w:hyperlink>
    </w:p>
    <w:p w:rsidR="0038651C" w:rsidRDefault="0038651C" w:rsidP="00FB011B">
      <w:pPr>
        <w:rPr>
          <w:lang w:val="en-AU"/>
        </w:rPr>
      </w:pPr>
      <w:r>
        <w:rPr>
          <w:lang w:val="en-AU"/>
        </w:rPr>
        <w:t>The relevant pieces of legislation in Australian jurisdictions are outlined in the table below</w:t>
      </w:r>
      <w:r w:rsidR="009D620D">
        <w:rPr>
          <w:lang w:val="en-AU"/>
        </w:rPr>
        <w:t>:</w:t>
      </w:r>
    </w:p>
    <w:tbl>
      <w:tblPr>
        <w:tblStyle w:val="GridTable5Dark-Accent3"/>
        <w:tblW w:w="8642" w:type="dxa"/>
        <w:tblLook w:val="04A0" w:firstRow="1" w:lastRow="0" w:firstColumn="1" w:lastColumn="0" w:noHBand="0" w:noVBand="1"/>
      </w:tblPr>
      <w:tblGrid>
        <w:gridCol w:w="1555"/>
        <w:gridCol w:w="7087"/>
      </w:tblGrid>
      <w:tr w:rsidR="0038651C" w:rsidRPr="00C86F74" w:rsidTr="003A69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jc w:val="center"/>
              <w:rPr>
                <w:b w:val="0"/>
                <w:color w:val="auto"/>
                <w:lang w:val="en-AU"/>
              </w:rPr>
            </w:pPr>
            <w:r w:rsidRPr="00C86F74">
              <w:rPr>
                <w:b w:val="0"/>
                <w:color w:val="auto"/>
                <w:lang w:val="en-AU"/>
              </w:rPr>
              <w:t>Jurisdiction</w:t>
            </w:r>
          </w:p>
        </w:tc>
        <w:tc>
          <w:tcPr>
            <w:tcW w:w="7087" w:type="dxa"/>
          </w:tcPr>
          <w:p w:rsidR="0038651C" w:rsidRPr="00C86F74" w:rsidRDefault="0038651C" w:rsidP="003A693A">
            <w:pPr>
              <w:jc w:val="center"/>
              <w:cnfStyle w:val="100000000000" w:firstRow="1" w:lastRow="0" w:firstColumn="0" w:lastColumn="0" w:oddVBand="0" w:evenVBand="0" w:oddHBand="0" w:evenHBand="0" w:firstRowFirstColumn="0" w:firstRowLastColumn="0" w:lastRowFirstColumn="0" w:lastRowLastColumn="0"/>
              <w:rPr>
                <w:b w:val="0"/>
                <w:color w:val="auto"/>
                <w:lang w:val="en-AU"/>
              </w:rPr>
            </w:pPr>
            <w:r w:rsidRPr="00C86F74">
              <w:rPr>
                <w:b w:val="0"/>
                <w:color w:val="auto"/>
                <w:lang w:val="en-AU"/>
              </w:rPr>
              <w:t>Legislation</w:t>
            </w:r>
          </w:p>
        </w:tc>
      </w:tr>
      <w:tr w:rsidR="0038651C" w:rsidRPr="00C86F74" w:rsidTr="003A6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rPr>
                <w:color w:val="auto"/>
                <w:lang w:val="en-AU"/>
              </w:rPr>
            </w:pPr>
            <w:r w:rsidRPr="00C86F74">
              <w:rPr>
                <w:color w:val="auto"/>
                <w:lang w:val="en-AU"/>
              </w:rPr>
              <w:t>Federal</w:t>
            </w:r>
          </w:p>
        </w:tc>
        <w:tc>
          <w:tcPr>
            <w:tcW w:w="7087" w:type="dxa"/>
          </w:tcPr>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Family Law Act 1975</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Family Law (Child Protection Convention) Regulations 2003</w:t>
            </w:r>
          </w:p>
        </w:tc>
      </w:tr>
      <w:tr w:rsidR="0038651C" w:rsidRPr="00C86F74" w:rsidTr="003A693A">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rPr>
                <w:color w:val="auto"/>
                <w:lang w:val="en-AU"/>
              </w:rPr>
            </w:pPr>
            <w:r w:rsidRPr="00C86F74">
              <w:rPr>
                <w:color w:val="auto"/>
                <w:lang w:val="en-AU"/>
              </w:rPr>
              <w:t>NSW</w:t>
            </w:r>
          </w:p>
        </w:tc>
        <w:tc>
          <w:tcPr>
            <w:tcW w:w="7087" w:type="dxa"/>
          </w:tcPr>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Children and Young Persons (Care and Protection) Act 1998</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Children and Young Persons (Care and Protection) Amendment Bill 2009</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Children and Young Persons (Care and Protection) Amendment (Parental Responsibility Contracts) Act 2006</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Child Protection (Offenders Registration) Act 2000 </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Crimes Act 1900 </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Commission for Children and Young People Act 1998 </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rPr>
            </w:pPr>
            <w:r w:rsidRPr="00C86F74">
              <w:rPr>
                <w:lang w:val="en-AU" w:eastAsia="en-GB"/>
              </w:rPr>
              <w:t>The Ombudsman Act 1974 </w:t>
            </w:r>
          </w:p>
        </w:tc>
      </w:tr>
      <w:tr w:rsidR="0038651C" w:rsidRPr="00C86F74" w:rsidTr="003A6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rPr>
                <w:color w:val="auto"/>
                <w:lang w:val="en-AU"/>
              </w:rPr>
            </w:pPr>
            <w:r w:rsidRPr="00C86F74">
              <w:rPr>
                <w:color w:val="auto"/>
                <w:lang w:val="en-AU"/>
              </w:rPr>
              <w:t>ACT</w:t>
            </w:r>
          </w:p>
        </w:tc>
        <w:tc>
          <w:tcPr>
            <w:tcW w:w="7087" w:type="dxa"/>
          </w:tcPr>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 xml:space="preserve">Children and Young People Act 2008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rFonts w:cs="Arial"/>
                <w:lang w:val="en-AU" w:eastAsia="en-GB"/>
              </w:rPr>
            </w:pPr>
            <w:r w:rsidRPr="00C86F74">
              <w:rPr>
                <w:lang w:val="en-AU" w:eastAsia="en-GB"/>
              </w:rPr>
              <w:t>Adoption Act 1993</w:t>
            </w:r>
            <w:r w:rsidRPr="00C86F74">
              <w:rPr>
                <w:rFonts w:cs="Arial"/>
                <w:lang w:val="en-AU" w:eastAsia="en-GB"/>
              </w:rPr>
              <w:t>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rFonts w:cs="Arial"/>
                <w:lang w:val="en-AU" w:eastAsia="en-GB"/>
              </w:rPr>
            </w:pPr>
            <w:r w:rsidRPr="00C86F74">
              <w:rPr>
                <w:lang w:val="en-AU" w:eastAsia="en-GB"/>
              </w:rPr>
              <w:t>Human Rights Act 200</w:t>
            </w:r>
            <w:r w:rsidRPr="00C86F74">
              <w:rPr>
                <w:rFonts w:cs="Arial"/>
                <w:lang w:val="en-AU" w:eastAsia="en-GB"/>
              </w:rPr>
              <w:t>4</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rFonts w:cs="Arial"/>
                <w:lang w:val="en-AU" w:eastAsia="en-GB"/>
              </w:rPr>
            </w:pPr>
            <w:r w:rsidRPr="00C86F74">
              <w:rPr>
                <w:lang w:val="en-AU" w:eastAsia="en-GB"/>
              </w:rPr>
              <w:t>Human Rights Commission Act 2005</w:t>
            </w:r>
            <w:r w:rsidRPr="00C86F74">
              <w:rPr>
                <w:rFonts w:cs="Arial"/>
                <w:lang w:val="en-AU" w:eastAsia="en-GB"/>
              </w:rPr>
              <w:t>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rFonts w:cs="Arial"/>
                <w:lang w:val="en-AU" w:eastAsia="en-GB"/>
              </w:rPr>
            </w:pPr>
            <w:r w:rsidRPr="00C86F74">
              <w:rPr>
                <w:lang w:val="en-AU" w:eastAsia="en-GB"/>
              </w:rPr>
              <w:t>Public Advocate Act 2005</w:t>
            </w:r>
            <w:r w:rsidRPr="00C86F74">
              <w:rPr>
                <w:rFonts w:cs="Arial"/>
                <w:lang w:val="en-AU" w:eastAsia="en-GB"/>
              </w:rPr>
              <w:t> </w:t>
            </w:r>
          </w:p>
        </w:tc>
      </w:tr>
      <w:tr w:rsidR="0038651C" w:rsidRPr="00C86F74" w:rsidTr="003A693A">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rPr>
                <w:color w:val="auto"/>
                <w:lang w:val="en-AU"/>
              </w:rPr>
            </w:pPr>
            <w:r w:rsidRPr="00C86F74">
              <w:rPr>
                <w:color w:val="auto"/>
                <w:lang w:val="en-AU"/>
              </w:rPr>
              <w:t>NT</w:t>
            </w:r>
          </w:p>
        </w:tc>
        <w:tc>
          <w:tcPr>
            <w:tcW w:w="7087" w:type="dxa"/>
          </w:tcPr>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Care and Protection of Children Act 2007</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rFonts w:cs="Arial"/>
                <w:lang w:val="en-AU" w:eastAsia="en-GB"/>
              </w:rPr>
            </w:pPr>
            <w:r w:rsidRPr="00C86F74">
              <w:rPr>
                <w:lang w:val="en-AU" w:eastAsia="en-GB"/>
              </w:rPr>
              <w:t>Information Act 2006</w:t>
            </w:r>
            <w:r w:rsidRPr="00C86F74">
              <w:rPr>
                <w:rFonts w:cs="Arial"/>
                <w:lang w:val="en-AU" w:eastAsia="en-GB"/>
              </w:rPr>
              <w:t> </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Disability Services Act 2004 </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rPr>
            </w:pPr>
            <w:r w:rsidRPr="00C86F74">
              <w:rPr>
                <w:lang w:val="en-AU" w:eastAsia="en-GB"/>
              </w:rPr>
              <w:lastRenderedPageBreak/>
              <w:t>Criminal Code Act 2006 </w:t>
            </w:r>
          </w:p>
        </w:tc>
      </w:tr>
      <w:tr w:rsidR="0038651C" w:rsidRPr="00C86F74" w:rsidTr="003A6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rPr>
                <w:color w:val="auto"/>
                <w:lang w:val="en-AU"/>
              </w:rPr>
            </w:pPr>
            <w:r w:rsidRPr="00C86F74">
              <w:rPr>
                <w:color w:val="auto"/>
                <w:lang w:val="en-AU"/>
              </w:rPr>
              <w:lastRenderedPageBreak/>
              <w:t>QLD</w:t>
            </w:r>
          </w:p>
        </w:tc>
        <w:tc>
          <w:tcPr>
            <w:tcW w:w="7087" w:type="dxa"/>
          </w:tcPr>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Child Protection Act 1999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Child Protection Reform Amendment Act 2014</w:t>
            </w:r>
            <w:r w:rsidRPr="00C86F74">
              <w:rPr>
                <w:rFonts w:cs="Arial"/>
                <w:lang w:val="en-AU" w:eastAsia="en-GB"/>
              </w:rPr>
              <w:t>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rFonts w:cs="Arial"/>
                <w:lang w:val="en-AU" w:eastAsia="en-GB"/>
              </w:rPr>
            </w:pPr>
            <w:r w:rsidRPr="00C86F74">
              <w:rPr>
                <w:lang w:val="en-AU" w:eastAsia="en-GB"/>
              </w:rPr>
              <w:t>Public Guardian Act 2014</w:t>
            </w:r>
            <w:r w:rsidRPr="00C86F74">
              <w:rPr>
                <w:rFonts w:cs="Arial"/>
                <w:lang w:val="en-AU" w:eastAsia="en-GB"/>
              </w:rPr>
              <w:t>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rFonts w:cs="Arial"/>
                <w:lang w:val="en-AU" w:eastAsia="en-GB"/>
              </w:rPr>
            </w:pPr>
            <w:r w:rsidRPr="00C86F74">
              <w:rPr>
                <w:lang w:val="en-AU" w:eastAsia="en-GB"/>
              </w:rPr>
              <w:t>Family Child and Commission Act 2014</w:t>
            </w:r>
            <w:r w:rsidRPr="00C86F74">
              <w:rPr>
                <w:rFonts w:cs="Arial"/>
                <w:lang w:val="en-AU" w:eastAsia="en-GB"/>
              </w:rPr>
              <w:t>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rFonts w:cs="Arial"/>
                <w:lang w:val="en-AU" w:eastAsia="en-GB"/>
              </w:rPr>
            </w:pPr>
            <w:r w:rsidRPr="00C86F74">
              <w:rPr>
                <w:lang w:val="en-AU" w:eastAsia="en-GB"/>
              </w:rPr>
              <w:t>Education (General Provisions) Act 2006</w:t>
            </w:r>
            <w:r w:rsidRPr="00C86F74">
              <w:rPr>
                <w:rFonts w:cs="Arial"/>
                <w:lang w:val="en-AU" w:eastAsia="en-GB"/>
              </w:rPr>
              <w:t>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rFonts w:cs="Arial"/>
                <w:lang w:val="en-AU" w:eastAsia="en-GB"/>
              </w:rPr>
            </w:pPr>
            <w:r w:rsidRPr="00C86F74">
              <w:rPr>
                <w:lang w:val="en-AU" w:eastAsia="en-GB"/>
              </w:rPr>
              <w:t>Public Health Act 2005</w:t>
            </w:r>
            <w:r w:rsidRPr="00C86F74">
              <w:rPr>
                <w:rFonts w:cs="Arial"/>
                <w:lang w:val="en-AU" w:eastAsia="en-GB"/>
              </w:rPr>
              <w:t>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rFonts w:cs="Arial"/>
                <w:lang w:val="en-AU" w:eastAsia="en-GB"/>
              </w:rPr>
            </w:pPr>
            <w:r w:rsidRPr="00C86F74">
              <w:rPr>
                <w:lang w:val="en-AU" w:eastAsia="en-GB"/>
              </w:rPr>
              <w:t>Commission for Children and Young People and Child Guardian Act 2000</w:t>
            </w:r>
            <w:r w:rsidRPr="00C86F74">
              <w:rPr>
                <w:rFonts w:cs="Arial"/>
                <w:lang w:val="en-AU" w:eastAsia="en-GB"/>
              </w:rPr>
              <w:t>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rPr>
            </w:pPr>
            <w:r w:rsidRPr="00C86F74">
              <w:rPr>
                <w:lang w:val="en-AU" w:eastAsia="en-GB"/>
              </w:rPr>
              <w:t>Adoption of Children Act 1964</w:t>
            </w:r>
            <w:r w:rsidRPr="00C86F74">
              <w:rPr>
                <w:rFonts w:cs="Arial"/>
                <w:lang w:val="en-AU" w:eastAsia="en-GB"/>
              </w:rPr>
              <w:t> </w:t>
            </w:r>
          </w:p>
        </w:tc>
      </w:tr>
      <w:tr w:rsidR="0038651C" w:rsidRPr="00C86F74" w:rsidTr="003A693A">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rPr>
                <w:color w:val="auto"/>
                <w:lang w:val="en-AU"/>
              </w:rPr>
            </w:pPr>
            <w:r w:rsidRPr="00C86F74">
              <w:rPr>
                <w:color w:val="auto"/>
                <w:lang w:val="en-AU"/>
              </w:rPr>
              <w:t>SA</w:t>
            </w:r>
          </w:p>
        </w:tc>
        <w:tc>
          <w:tcPr>
            <w:tcW w:w="7087" w:type="dxa"/>
          </w:tcPr>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Children's Protection Act 1993</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Children's Protection Regulations 2006</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Young Offenders Act 1994 </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Adoption Act 1988 </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Family and Community Services Act 1972 </w:t>
            </w:r>
          </w:p>
        </w:tc>
      </w:tr>
      <w:tr w:rsidR="0038651C" w:rsidRPr="00C86F74" w:rsidTr="003A6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ind w:left="720" w:hanging="720"/>
              <w:rPr>
                <w:color w:val="auto"/>
                <w:lang w:val="en-AU"/>
              </w:rPr>
            </w:pPr>
            <w:r w:rsidRPr="00C86F74">
              <w:rPr>
                <w:color w:val="auto"/>
                <w:lang w:val="en-AU"/>
              </w:rPr>
              <w:t>TAS</w:t>
            </w:r>
          </w:p>
        </w:tc>
        <w:tc>
          <w:tcPr>
            <w:tcW w:w="7087" w:type="dxa"/>
          </w:tcPr>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Children, Young Persons and their Families Act 1997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Children, Young Persons and their Families Amendment Act 2009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The Family Violence Act 2004 </w:t>
            </w:r>
          </w:p>
        </w:tc>
      </w:tr>
      <w:tr w:rsidR="0038651C" w:rsidRPr="00C86F74" w:rsidTr="003A693A">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ind w:left="720" w:hanging="720"/>
              <w:rPr>
                <w:color w:val="auto"/>
                <w:lang w:val="en-AU"/>
              </w:rPr>
            </w:pPr>
            <w:r w:rsidRPr="00C86F74">
              <w:rPr>
                <w:color w:val="auto"/>
                <w:lang w:val="en-AU"/>
              </w:rPr>
              <w:t>VIC</w:t>
            </w:r>
          </w:p>
        </w:tc>
        <w:tc>
          <w:tcPr>
            <w:tcW w:w="7087" w:type="dxa"/>
          </w:tcPr>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Children,</w:t>
            </w:r>
            <w:r>
              <w:rPr>
                <w:lang w:val="en-AU" w:eastAsia="en-GB"/>
              </w:rPr>
              <w:t xml:space="preserve"> </w:t>
            </w:r>
            <w:r w:rsidRPr="00C86F74">
              <w:rPr>
                <w:lang w:val="en-AU" w:eastAsia="en-GB"/>
              </w:rPr>
              <w:t>Youth and Families Act 2005 </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Working with Children Act 2005</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Child Wellbeing and Safety Act 2005</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The Charter of Human Rights and Responsibilities Act 2006</w:t>
            </w:r>
          </w:p>
          <w:p w:rsidR="0038651C" w:rsidRPr="00C86F74" w:rsidRDefault="0038651C" w:rsidP="003A693A">
            <w:pPr>
              <w:cnfStyle w:val="000000000000" w:firstRow="0" w:lastRow="0" w:firstColumn="0" w:lastColumn="0" w:oddVBand="0" w:evenVBand="0" w:oddHBand="0" w:evenHBand="0" w:firstRowFirstColumn="0" w:firstRowLastColumn="0" w:lastRowFirstColumn="0" w:lastRowLastColumn="0"/>
              <w:rPr>
                <w:lang w:val="en-AU" w:eastAsia="en-GB"/>
              </w:rPr>
            </w:pPr>
            <w:r w:rsidRPr="00C86F74">
              <w:rPr>
                <w:lang w:val="en-AU" w:eastAsia="en-GB"/>
              </w:rPr>
              <w:t>The Commission for Children and Young People Act 2012</w:t>
            </w:r>
          </w:p>
        </w:tc>
      </w:tr>
      <w:tr w:rsidR="0038651C" w:rsidRPr="00C86F74" w:rsidTr="003A6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38651C" w:rsidRPr="00C86F74" w:rsidRDefault="0038651C" w:rsidP="003A693A">
            <w:pPr>
              <w:ind w:left="720" w:hanging="720"/>
              <w:rPr>
                <w:color w:val="auto"/>
                <w:lang w:val="en-AU"/>
              </w:rPr>
            </w:pPr>
            <w:r w:rsidRPr="00C86F74">
              <w:rPr>
                <w:color w:val="auto"/>
                <w:lang w:val="en-AU"/>
              </w:rPr>
              <w:t>WA</w:t>
            </w:r>
          </w:p>
        </w:tc>
        <w:tc>
          <w:tcPr>
            <w:tcW w:w="7087" w:type="dxa"/>
          </w:tcPr>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Children and Community Services Act 2004</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Working with Children (Criminal Record Checking) Act 2004</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Family Court Act 1997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Adoption Act 1994 </w:t>
            </w:r>
          </w:p>
          <w:p w:rsidR="0038651C" w:rsidRPr="00C86F74" w:rsidRDefault="0038651C" w:rsidP="003A693A">
            <w:pPr>
              <w:cnfStyle w:val="000000100000" w:firstRow="0" w:lastRow="0" w:firstColumn="0" w:lastColumn="0" w:oddVBand="0" w:evenVBand="0" w:oddHBand="1" w:evenHBand="0" w:firstRowFirstColumn="0" w:firstRowLastColumn="0" w:lastRowFirstColumn="0" w:lastRowLastColumn="0"/>
              <w:rPr>
                <w:lang w:val="en-AU" w:eastAsia="en-GB"/>
              </w:rPr>
            </w:pPr>
            <w:r w:rsidRPr="00C86F74">
              <w:rPr>
                <w:lang w:val="en-AU" w:eastAsia="en-GB"/>
              </w:rPr>
              <w:t>Child Care Services Act 2007</w:t>
            </w:r>
          </w:p>
        </w:tc>
      </w:tr>
    </w:tbl>
    <w:p w:rsidR="0038651C" w:rsidRDefault="0038651C" w:rsidP="00FB011B">
      <w:pPr>
        <w:rPr>
          <w:lang w:val="en-AU"/>
        </w:rPr>
      </w:pPr>
    </w:p>
    <w:p w:rsidR="007853CB" w:rsidRPr="00B07745" w:rsidRDefault="0038651C">
      <w:pPr>
        <w:rPr>
          <w:b/>
        </w:rPr>
      </w:pPr>
      <w:r w:rsidRPr="00B07745">
        <w:rPr>
          <w:b/>
        </w:rPr>
        <w:t>National Policy Context</w:t>
      </w:r>
    </w:p>
    <w:p w:rsidR="0038651C" w:rsidRDefault="0038651C">
      <w:r>
        <w:t>The two key nati</w:t>
      </w:r>
      <w:r w:rsidR="00F71120">
        <w:t>onal policy frameworks</w:t>
      </w:r>
      <w:r>
        <w:t xml:space="preserve"> are:</w:t>
      </w:r>
    </w:p>
    <w:p w:rsidR="0038651C" w:rsidRPr="009D620D" w:rsidRDefault="0038651C">
      <w:pPr>
        <w:rPr>
          <w:lang w:val="en-AU" w:eastAsia="en-GB"/>
        </w:rPr>
      </w:pPr>
      <w:r w:rsidRPr="009D620D">
        <w:rPr>
          <w:lang w:val="en-AU" w:eastAsia="en-GB"/>
        </w:rPr>
        <w:t>The National Framework for Protecting Australia's Children 2009–2020</w:t>
      </w:r>
    </w:p>
    <w:p w:rsidR="0038651C" w:rsidRDefault="002178DE">
      <w:pPr>
        <w:rPr>
          <w:rFonts w:eastAsia="Times New Roman"/>
          <w:color w:val="0000FF"/>
          <w:sz w:val="18"/>
          <w:szCs w:val="18"/>
          <w:u w:val="single"/>
          <w:lang w:eastAsia="en-GB"/>
        </w:rPr>
      </w:pPr>
      <w:hyperlink r:id="rId8" w:history="1">
        <w:r w:rsidR="0038651C" w:rsidRPr="002919FE">
          <w:rPr>
            <w:rFonts w:eastAsia="Times New Roman"/>
            <w:color w:val="0000FF"/>
            <w:sz w:val="18"/>
            <w:szCs w:val="18"/>
            <w:u w:val="single"/>
            <w:lang w:eastAsia="en-GB"/>
          </w:rPr>
          <w:t>https://www.dss.gov.au/our-responsibilities/families-and-children/publications-articles/protecting-children-is-everyones-business</w:t>
        </w:r>
      </w:hyperlink>
    </w:p>
    <w:p w:rsidR="0038651C" w:rsidRDefault="0038651C">
      <w:proofErr w:type="gramStart"/>
      <w:r>
        <w:t>and</w:t>
      </w:r>
      <w:proofErr w:type="gramEnd"/>
    </w:p>
    <w:p w:rsidR="0038651C" w:rsidRDefault="0038651C">
      <w:r>
        <w:t xml:space="preserve">The National Plan to Reduce Violence </w:t>
      </w:r>
      <w:proofErr w:type="gramStart"/>
      <w:r>
        <w:t>Against</w:t>
      </w:r>
      <w:proofErr w:type="gramEnd"/>
      <w:r>
        <w:t xml:space="preserve"> Women and their Children 2010-2022</w:t>
      </w:r>
    </w:p>
    <w:p w:rsidR="0038651C" w:rsidRDefault="002178DE">
      <w:hyperlink r:id="rId9" w:history="1">
        <w:r w:rsidR="0038651C" w:rsidRPr="008B4E50">
          <w:rPr>
            <w:rStyle w:val="Hyperlink"/>
          </w:rPr>
          <w:t>https://www.dss.gov.au/women/programs-services/reducing-violence/the-national-plan-to-reduce-violence-against-women-and-their-children-2010-2022</w:t>
        </w:r>
      </w:hyperlink>
      <w:r w:rsidR="0038651C">
        <w:t xml:space="preserve"> </w:t>
      </w:r>
    </w:p>
    <w:p w:rsidR="0038651C" w:rsidRPr="009D620D" w:rsidRDefault="0038651C">
      <w:pPr>
        <w:rPr>
          <w:shd w:val="clear" w:color="auto" w:fill="FFFFFF"/>
        </w:rPr>
      </w:pPr>
      <w:r>
        <w:t xml:space="preserve">Also relevant is </w:t>
      </w:r>
      <w:r w:rsidR="009D620D">
        <w:t>t</w:t>
      </w:r>
      <w:r w:rsidRPr="009D620D">
        <w:rPr>
          <w:shd w:val="clear" w:color="auto" w:fill="FFFFFF"/>
        </w:rPr>
        <w:t>he Royal Commission into Institutional Responses to Child Sexual Abuse</w:t>
      </w:r>
    </w:p>
    <w:p w:rsidR="0038651C" w:rsidRDefault="002178DE">
      <w:hyperlink r:id="rId10" w:history="1">
        <w:r w:rsidR="00F71120" w:rsidRPr="008B4E50">
          <w:rPr>
            <w:rStyle w:val="Hyperlink"/>
          </w:rPr>
          <w:t>https://www.childabuseroyalcommission.gov.au/</w:t>
        </w:r>
      </w:hyperlink>
      <w:r w:rsidR="00F71120">
        <w:t xml:space="preserve"> </w:t>
      </w:r>
    </w:p>
    <w:p w:rsidR="00F71120" w:rsidRDefault="00F71120" w:rsidP="00F71120">
      <w:pPr>
        <w:pStyle w:val="Footnotes"/>
      </w:pPr>
    </w:p>
    <w:p w:rsidR="00F71120" w:rsidRPr="00B426A3" w:rsidRDefault="00F71120" w:rsidP="00F71120">
      <w:pPr>
        <w:pStyle w:val="Footnotes"/>
        <w:rPr>
          <w:b/>
          <w:sz w:val="22"/>
          <w:szCs w:val="22"/>
        </w:rPr>
      </w:pPr>
      <w:r w:rsidRPr="00B426A3">
        <w:rPr>
          <w:b/>
          <w:sz w:val="22"/>
          <w:szCs w:val="22"/>
        </w:rPr>
        <w:t>Key reports, inquiries and submissions</w:t>
      </w:r>
    </w:p>
    <w:p w:rsidR="00F71120" w:rsidRPr="00B426A3" w:rsidRDefault="00F71120" w:rsidP="00F71120">
      <w:pPr>
        <w:pStyle w:val="Footnotes"/>
        <w:rPr>
          <w:sz w:val="22"/>
          <w:szCs w:val="22"/>
        </w:rPr>
      </w:pPr>
    </w:p>
    <w:p w:rsidR="00607B88" w:rsidRPr="00B426A3" w:rsidRDefault="00607B88" w:rsidP="00607B88">
      <w:pPr>
        <w:pStyle w:val="Footnotes"/>
        <w:rPr>
          <w:rStyle w:val="Hyperlink"/>
          <w:sz w:val="22"/>
          <w:szCs w:val="22"/>
          <w:lang w:val="en-AU"/>
        </w:rPr>
      </w:pPr>
      <w:r w:rsidRPr="00B426A3">
        <w:rPr>
          <w:sz w:val="22"/>
          <w:szCs w:val="22"/>
        </w:rPr>
        <w:t xml:space="preserve">Australian Human Rights Commission. Children’s Rights Report </w:t>
      </w:r>
      <w:r>
        <w:rPr>
          <w:sz w:val="22"/>
          <w:szCs w:val="22"/>
        </w:rPr>
        <w:t>(</w:t>
      </w:r>
      <w:r w:rsidRPr="00B426A3">
        <w:rPr>
          <w:sz w:val="22"/>
          <w:szCs w:val="22"/>
        </w:rPr>
        <w:t>2016</w:t>
      </w:r>
      <w:r>
        <w:rPr>
          <w:sz w:val="22"/>
          <w:szCs w:val="22"/>
        </w:rPr>
        <w:t>)</w:t>
      </w:r>
      <w:r w:rsidRPr="00B426A3">
        <w:rPr>
          <w:sz w:val="22"/>
          <w:szCs w:val="22"/>
        </w:rPr>
        <w:t xml:space="preserve"> </w:t>
      </w:r>
      <w:hyperlink r:id="rId11" w:history="1">
        <w:r w:rsidRPr="00B426A3">
          <w:rPr>
            <w:rStyle w:val="Hyperlink"/>
            <w:sz w:val="22"/>
            <w:szCs w:val="22"/>
            <w:lang w:val="en-AU"/>
          </w:rPr>
          <w:t>https://www.humanrights.gov.au/sites/default/files/document/publication/AHRC_CRR_2016.pdf</w:t>
        </w:r>
      </w:hyperlink>
    </w:p>
    <w:p w:rsidR="008E08B5" w:rsidRDefault="008E08B5" w:rsidP="00607B88">
      <w:pPr>
        <w:ind w:left="22"/>
        <w:rPr>
          <w:lang w:val="en-AU"/>
        </w:rPr>
      </w:pPr>
    </w:p>
    <w:p w:rsidR="00607B88" w:rsidRDefault="00607B88" w:rsidP="00607B88">
      <w:pPr>
        <w:ind w:left="22"/>
        <w:rPr>
          <w:lang w:val="en-AU"/>
        </w:rPr>
      </w:pPr>
      <w:r w:rsidRPr="00B426A3">
        <w:rPr>
          <w:lang w:val="en-AU"/>
        </w:rPr>
        <w:lastRenderedPageBreak/>
        <w:t>Australian Institute of Family Studies (2016) Child Abuse and Neglect Stati</w:t>
      </w:r>
      <w:r>
        <w:rPr>
          <w:lang w:val="en-AU"/>
        </w:rPr>
        <w:t>stics</w:t>
      </w:r>
      <w:r w:rsidRPr="00B426A3">
        <w:rPr>
          <w:lang w:val="en-AU"/>
        </w:rPr>
        <w:t xml:space="preserve"> </w:t>
      </w:r>
      <w:hyperlink r:id="rId12" w:history="1">
        <w:r w:rsidRPr="00B426A3">
          <w:rPr>
            <w:rStyle w:val="Hyperlink"/>
            <w:lang w:val="en-AU"/>
          </w:rPr>
          <w:t>https://aifs.gov.au/cfca/publications/child-abuse-and-neglect-statistics</w:t>
        </w:r>
      </w:hyperlink>
      <w:r w:rsidRPr="00B426A3">
        <w:rPr>
          <w:lang w:val="en-AU"/>
        </w:rPr>
        <w:t xml:space="preserve"> </w:t>
      </w:r>
    </w:p>
    <w:p w:rsidR="00B426A3" w:rsidRPr="00B426A3" w:rsidRDefault="00B426A3" w:rsidP="00B426A3">
      <w:pPr>
        <w:ind w:left="37"/>
        <w:rPr>
          <w:rStyle w:val="Hyperlink"/>
          <w:rFonts w:eastAsia="Times New Roman" w:cs="Times New Roman"/>
          <w:lang w:val="en-AU" w:eastAsia="en-GB"/>
        </w:rPr>
      </w:pPr>
      <w:r w:rsidRPr="00B426A3">
        <w:rPr>
          <w:lang w:val="en-AU"/>
        </w:rPr>
        <w:t>Australian I</w:t>
      </w:r>
      <w:r>
        <w:rPr>
          <w:lang w:val="en-AU"/>
        </w:rPr>
        <w:t>nstitute of Family Studies (2015)</w:t>
      </w:r>
      <w:r w:rsidRPr="00B426A3">
        <w:rPr>
          <w:lang w:val="en-AU"/>
        </w:rPr>
        <w:t xml:space="preserve"> </w:t>
      </w:r>
      <w:proofErr w:type="gramStart"/>
      <w:r w:rsidRPr="00B426A3">
        <w:rPr>
          <w:lang w:val="en-AU"/>
        </w:rPr>
        <w:t>What</w:t>
      </w:r>
      <w:proofErr w:type="gramEnd"/>
      <w:r w:rsidRPr="00B426A3">
        <w:rPr>
          <w:lang w:val="en-AU"/>
        </w:rPr>
        <w:t xml:space="preserve"> is child abuse and neglect? CFCA Resource Sheet </w:t>
      </w:r>
      <w:hyperlink r:id="rId13" w:history="1">
        <w:r w:rsidRPr="00B426A3">
          <w:rPr>
            <w:rStyle w:val="Hyperlink"/>
            <w:rFonts w:eastAsia="Times New Roman" w:cs="Times New Roman"/>
            <w:lang w:val="en-AU" w:eastAsia="en-GB"/>
          </w:rPr>
          <w:t>https://aifs.gov.au/cfca/publications/what-child-abuse-and-neglect</w:t>
        </w:r>
      </w:hyperlink>
    </w:p>
    <w:p w:rsidR="00B426A3" w:rsidRDefault="00B426A3" w:rsidP="00B426A3">
      <w:pPr>
        <w:rPr>
          <w:rFonts w:eastAsia="Times New Roman" w:cs="Times New Roman"/>
          <w:color w:val="0000FF"/>
          <w:u w:val="single"/>
          <w:lang w:val="en-AU" w:eastAsia="en-GB"/>
        </w:rPr>
      </w:pPr>
      <w:r w:rsidRPr="00B426A3">
        <w:rPr>
          <w:lang w:val="en-AU"/>
        </w:rPr>
        <w:t>Australian In</w:t>
      </w:r>
      <w:r>
        <w:rPr>
          <w:lang w:val="en-AU"/>
        </w:rPr>
        <w:t>stitute of Family Studies (2011)</w:t>
      </w:r>
      <w:r w:rsidRPr="00B426A3">
        <w:rPr>
          <w:lang w:val="en-AU"/>
        </w:rPr>
        <w:t xml:space="preserve"> </w:t>
      </w:r>
      <w:proofErr w:type="gramStart"/>
      <w:r w:rsidRPr="00B426A3">
        <w:rPr>
          <w:lang w:val="en-AU"/>
        </w:rPr>
        <w:t>Joining</w:t>
      </w:r>
      <w:proofErr w:type="gramEnd"/>
      <w:r w:rsidRPr="00B426A3">
        <w:rPr>
          <w:lang w:val="en-AU"/>
        </w:rPr>
        <w:t xml:space="preserve"> the dots: Child protection systems in Australia </w:t>
      </w:r>
      <w:hyperlink r:id="rId14" w:history="1">
        <w:r w:rsidRPr="00B426A3">
          <w:rPr>
            <w:rFonts w:eastAsia="Times New Roman" w:cs="Times New Roman"/>
            <w:color w:val="0000FF"/>
            <w:u w:val="single"/>
            <w:lang w:val="en-AU" w:eastAsia="en-GB"/>
          </w:rPr>
          <w:t>https://aifs.gov.au/cfca/publications/child-protection-and-family-law%E2%80%A6-joining-dots/child-protection-systems-australia</w:t>
        </w:r>
      </w:hyperlink>
    </w:p>
    <w:p w:rsidR="00607B88" w:rsidRPr="00B426A3" w:rsidRDefault="00607B88" w:rsidP="00607B88">
      <w:pPr>
        <w:rPr>
          <w:rFonts w:cs="TimesNewRoman"/>
          <w:lang w:val="en-AU"/>
        </w:rPr>
      </w:pPr>
      <w:r w:rsidRPr="00B426A3">
        <w:rPr>
          <w:rFonts w:cs="TimesNewRoman"/>
          <w:lang w:val="en-AU"/>
        </w:rPr>
        <w:t xml:space="preserve">Australian Institute of Health and Welfare.  List of child protection agencies by states and territories. </w:t>
      </w:r>
      <w:hyperlink r:id="rId15" w:history="1">
        <w:r w:rsidRPr="00B426A3">
          <w:rPr>
            <w:rStyle w:val="Hyperlink"/>
            <w:rFonts w:cs="TimesNewRoman"/>
            <w:lang w:val="en-AU"/>
          </w:rPr>
          <w:t>http://www.aihw.gov.au/child-protection/agencies</w:t>
        </w:r>
      </w:hyperlink>
      <w:r w:rsidRPr="00B426A3">
        <w:rPr>
          <w:rFonts w:cs="TimesNewRoman"/>
          <w:lang w:val="en-AU"/>
        </w:rPr>
        <w:t xml:space="preserve">   </w:t>
      </w:r>
    </w:p>
    <w:p w:rsidR="00607B88" w:rsidRPr="00B426A3" w:rsidRDefault="00607B88" w:rsidP="00607B88">
      <w:pPr>
        <w:rPr>
          <w:rFonts w:eastAsia="Times New Roman" w:cs="Times New Roman"/>
          <w:color w:val="0000FF"/>
          <w:u w:val="single"/>
          <w:lang w:val="en-AU" w:eastAsia="en-GB"/>
        </w:rPr>
      </w:pPr>
      <w:r w:rsidRPr="00B426A3">
        <w:rPr>
          <w:rFonts w:cs="TimesNewRoman"/>
          <w:lang w:val="en-AU"/>
        </w:rPr>
        <w:t>Australian</w:t>
      </w:r>
      <w:r w:rsidRPr="00B426A3">
        <w:rPr>
          <w:rFonts w:cs="TimesNewRoman"/>
          <w:b/>
          <w:lang w:val="en-AU"/>
        </w:rPr>
        <w:t xml:space="preserve"> </w:t>
      </w:r>
      <w:r w:rsidRPr="00B426A3">
        <w:rPr>
          <w:rFonts w:cs="TimesNewRoman"/>
          <w:lang w:val="en-AU"/>
        </w:rPr>
        <w:t xml:space="preserve">Law Reform Commission (2010) Final Report Family Violence—A National Legal Response. Chapter 19 The Intersection of Child Protection and Family Laws </w:t>
      </w:r>
      <w:hyperlink r:id="rId16" w:history="1">
        <w:r w:rsidRPr="00B426A3">
          <w:rPr>
            <w:rStyle w:val="Hyperlink"/>
            <w:rFonts w:eastAsia="Times New Roman" w:cs="Times New Roman"/>
            <w:lang w:val="en-AU" w:eastAsia="en-GB"/>
          </w:rPr>
          <w:t>https://www.alrc.gov.au/sites/default/files/pdfs/publications/19.%20The%20intersection%20of%20Child%20Protection%20and%20Family%20Laws.pdf</w:t>
        </w:r>
      </w:hyperlink>
      <w:r w:rsidRPr="00B426A3">
        <w:rPr>
          <w:rStyle w:val="Hyperlink"/>
          <w:rFonts w:eastAsia="Times New Roman" w:cs="Times New Roman"/>
          <w:lang w:val="en-AU" w:eastAsia="en-GB"/>
        </w:rPr>
        <w:t xml:space="preserve"> </w:t>
      </w:r>
      <w:r w:rsidRPr="00B426A3">
        <w:rPr>
          <w:rFonts w:cs="TimesNewRoman"/>
          <w:lang w:val="en-AU"/>
        </w:rPr>
        <w:t xml:space="preserve"> </w:t>
      </w:r>
      <w:r>
        <w:rPr>
          <w:rFonts w:cs="TimesNewRoman"/>
          <w:lang w:val="en-AU"/>
        </w:rPr>
        <w:t xml:space="preserve">and </w:t>
      </w:r>
      <w:r w:rsidRPr="00B426A3">
        <w:rPr>
          <w:rFonts w:cs="TimesNewRoman"/>
          <w:lang w:val="en-AU"/>
        </w:rPr>
        <w:t xml:space="preserve">Chapter 4. </w:t>
      </w:r>
      <w:r w:rsidRPr="00B426A3">
        <w:rPr>
          <w:lang w:val="en-AU"/>
        </w:rPr>
        <w:t xml:space="preserve">Purposes of Laws Relevant to Family </w:t>
      </w:r>
      <w:r>
        <w:rPr>
          <w:lang w:val="en-AU"/>
        </w:rPr>
        <w:t xml:space="preserve">Violence. Child protection law </w:t>
      </w:r>
      <w:hyperlink r:id="rId17" w:history="1">
        <w:r w:rsidRPr="00B426A3">
          <w:rPr>
            <w:rStyle w:val="Hyperlink"/>
            <w:lang w:val="en-AU"/>
          </w:rPr>
          <w:t>https://www.alrc.gov.au/publications/4.%20Purposes%20of%20Laws%20Relevant%20to%20Family%20Violence/child-protection-law</w:t>
        </w:r>
      </w:hyperlink>
    </w:p>
    <w:p w:rsidR="00607B88" w:rsidRDefault="00607B88" w:rsidP="00607B88">
      <w:pPr>
        <w:rPr>
          <w:rStyle w:val="Hyperlink"/>
        </w:rPr>
      </w:pPr>
      <w:r w:rsidRPr="00B426A3">
        <w:t xml:space="preserve">Department of Families, Housing, Community Services and Indigenous Affairs together with the National Framework Implementation Working Group (2011) An outline of National Standards for Out‐of‐home Care A Priority Project under the National Framework for Protecting Australia’s Children 2009 – 2020 </w:t>
      </w:r>
      <w:hyperlink r:id="rId18" w:history="1">
        <w:r w:rsidRPr="00B426A3">
          <w:rPr>
            <w:rStyle w:val="Hyperlink"/>
          </w:rPr>
          <w:t>https://www.dss.gov.au/sites/default/files/documents/pac_national_standard.pdf</w:t>
        </w:r>
      </w:hyperlink>
    </w:p>
    <w:p w:rsidR="00607B88" w:rsidRDefault="00607B88" w:rsidP="00607B88">
      <w:pPr>
        <w:ind w:left="37"/>
        <w:rPr>
          <w:lang w:val="en-AU"/>
        </w:rPr>
      </w:pPr>
      <w:r>
        <w:rPr>
          <w:lang w:val="en-AU"/>
        </w:rPr>
        <w:t xml:space="preserve">Domestic Violence NSW (2016) Submission to the NSW Parliamentary Inquiry into Child Protection </w:t>
      </w:r>
      <w:hyperlink r:id="rId19" w:history="1">
        <w:r w:rsidRPr="005A3126">
          <w:rPr>
            <w:rStyle w:val="Hyperlink"/>
            <w:lang w:val="en-AU"/>
          </w:rPr>
          <w:t>https://www.parliament.nsw.gov.au/committees/DBAssets/InquirySubmission/Body/55898/0072%20Domestic%20Violence%20NSW.pdf</w:t>
        </w:r>
      </w:hyperlink>
    </w:p>
    <w:p w:rsidR="00607B88" w:rsidRPr="00B426A3" w:rsidRDefault="00607B88" w:rsidP="00607B88">
      <w:pPr>
        <w:rPr>
          <w:rFonts w:eastAsia="Times New Roman" w:cs="Times New Roman"/>
          <w:color w:val="0000FF"/>
          <w:u w:val="single"/>
          <w:lang w:val="en-AU" w:eastAsia="en-GB"/>
        </w:rPr>
      </w:pPr>
      <w:r>
        <w:rPr>
          <w:lang w:val="en-AU"/>
        </w:rPr>
        <w:t xml:space="preserve">Family Court of Australia (2016) </w:t>
      </w:r>
      <w:r w:rsidRPr="00B426A3">
        <w:rPr>
          <w:lang w:val="en-AU"/>
        </w:rPr>
        <w:t xml:space="preserve">Child abuse allegations: Magellan Case Management </w:t>
      </w:r>
      <w:hyperlink r:id="rId20" w:history="1">
        <w:r w:rsidRPr="00B426A3">
          <w:rPr>
            <w:rFonts w:eastAsia="Times New Roman" w:cs="Times New Roman"/>
            <w:color w:val="0000FF"/>
            <w:u w:val="single"/>
            <w:lang w:val="en-AU" w:eastAsia="en-GB"/>
          </w:rPr>
          <w:t>http://www.familycourt.gov.au/wps/wcm/connect/fcoaweb/family-law-matters/family-violence/child-abuse-allegations/</w:t>
        </w:r>
      </w:hyperlink>
    </w:p>
    <w:p w:rsidR="00F71120" w:rsidRPr="00B426A3" w:rsidRDefault="00B426A3" w:rsidP="00F71120">
      <w:pPr>
        <w:pStyle w:val="ListParagraph"/>
        <w:ind w:left="0"/>
        <w:rPr>
          <w:lang w:val="en-AU"/>
        </w:rPr>
      </w:pPr>
      <w:r>
        <w:rPr>
          <w:lang w:val="en-AU"/>
        </w:rPr>
        <w:t>Family Law Council (2016)</w:t>
      </w:r>
      <w:r w:rsidRPr="00B426A3">
        <w:rPr>
          <w:lang w:val="en-AU"/>
        </w:rPr>
        <w:t xml:space="preserve"> </w:t>
      </w:r>
      <w:r w:rsidR="00F71120" w:rsidRPr="00B426A3">
        <w:rPr>
          <w:lang w:val="en-AU"/>
        </w:rPr>
        <w:t xml:space="preserve">Families with Complex Needs and the Intersection of the Family Law and Child Protection Systems. The Final Report </w:t>
      </w:r>
      <w:hyperlink r:id="rId21" w:history="1">
        <w:r w:rsidR="00F71120" w:rsidRPr="00B426A3">
          <w:rPr>
            <w:rStyle w:val="Hyperlink"/>
            <w:lang w:val="en-AU"/>
          </w:rPr>
          <w:t>https://www.ag.gov.au/FamiliesAndMarriage/FamilyLawCouncil/Documents/Family-with-Complex-Needs-Intersection-of-Family-Law-and-Child-Protection-Systems-Final-Report-Terms-3-4-5.PDF</w:t>
        </w:r>
      </w:hyperlink>
      <w:r w:rsidR="00F71120" w:rsidRPr="00B426A3">
        <w:rPr>
          <w:lang w:val="en-AU"/>
        </w:rPr>
        <w:t xml:space="preserve"> </w:t>
      </w:r>
    </w:p>
    <w:p w:rsidR="00607B88" w:rsidRDefault="00607B88" w:rsidP="00607B88">
      <w:pPr>
        <w:pStyle w:val="ListParagraph"/>
        <w:ind w:left="0"/>
        <w:rPr>
          <w:lang w:val="en-AU"/>
        </w:rPr>
      </w:pPr>
    </w:p>
    <w:p w:rsidR="00607B88" w:rsidRPr="00B426A3" w:rsidRDefault="00607B88" w:rsidP="00607B88">
      <w:pPr>
        <w:pStyle w:val="ListParagraph"/>
        <w:ind w:left="0"/>
        <w:rPr>
          <w:lang w:val="en-AU"/>
        </w:rPr>
      </w:pPr>
      <w:r>
        <w:rPr>
          <w:lang w:val="en-AU"/>
        </w:rPr>
        <w:t>Family Law Council (2016)</w:t>
      </w:r>
      <w:r w:rsidRPr="00B426A3">
        <w:rPr>
          <w:lang w:val="en-AU"/>
        </w:rPr>
        <w:t xml:space="preserve"> Families with Complex Needs and the Intersection of the Family Law and Child Protection Systems. The Interim Report </w:t>
      </w:r>
      <w:hyperlink r:id="rId22" w:history="1">
        <w:r w:rsidRPr="00B426A3">
          <w:rPr>
            <w:rStyle w:val="Hyperlink"/>
            <w:lang w:val="en-AU"/>
          </w:rPr>
          <w:t>https://www.ag.gov.au/FamiliesAndMarriage/FamilyLawCouncil/Documents/Families-with-Complex-Needs-Intersection-of-Family-Law-and-Child-Protection-Systems%E2%80%93Interim-Report-Terms-1-and-2.pdf</w:t>
        </w:r>
      </w:hyperlink>
      <w:r w:rsidRPr="00B426A3">
        <w:rPr>
          <w:lang w:val="en-AU"/>
        </w:rPr>
        <w:t xml:space="preserve"> </w:t>
      </w:r>
    </w:p>
    <w:p w:rsidR="00F71120" w:rsidRPr="00B426A3" w:rsidRDefault="00F71120" w:rsidP="00F71120">
      <w:pPr>
        <w:ind w:left="37"/>
        <w:rPr>
          <w:rStyle w:val="Hyperlink"/>
          <w:lang w:val="en-AU"/>
        </w:rPr>
      </w:pPr>
      <w:r w:rsidRPr="00B426A3">
        <w:rPr>
          <w:lang w:val="en-AU"/>
        </w:rPr>
        <w:t xml:space="preserve">Federal Circuit Court </w:t>
      </w:r>
      <w:r w:rsidR="00B426A3">
        <w:rPr>
          <w:lang w:val="en-AU"/>
        </w:rPr>
        <w:t>(2013)</w:t>
      </w:r>
      <w:r w:rsidRPr="00B426A3">
        <w:rPr>
          <w:lang w:val="en-AU"/>
        </w:rPr>
        <w:t xml:space="preserve"> Exposure to family violence and its effect on children </w:t>
      </w:r>
      <w:hyperlink r:id="rId23" w:history="1">
        <w:r w:rsidRPr="00B426A3">
          <w:rPr>
            <w:rStyle w:val="Hyperlink"/>
            <w:lang w:val="en-AU"/>
          </w:rPr>
          <w:t>http://www.federalcircuitcourt.gov.au/wps/wcm/connect/fccweb/reports-and-publications/publications/family-law/exposure-to-family-violence-and-its-effect-on-children</w:t>
        </w:r>
      </w:hyperlink>
    </w:p>
    <w:p w:rsidR="008E08B5" w:rsidRDefault="00F71120" w:rsidP="008E08B5">
      <w:pPr>
        <w:pStyle w:val="Footnotes"/>
        <w:rPr>
          <w:sz w:val="22"/>
          <w:szCs w:val="22"/>
        </w:rPr>
      </w:pPr>
      <w:r w:rsidRPr="00B426A3">
        <w:rPr>
          <w:sz w:val="22"/>
          <w:szCs w:val="22"/>
        </w:rPr>
        <w:lastRenderedPageBreak/>
        <w:t xml:space="preserve">Senate Community Affairs Committee report on </w:t>
      </w:r>
      <w:r w:rsidR="00B426A3">
        <w:rPr>
          <w:sz w:val="22"/>
          <w:szCs w:val="22"/>
        </w:rPr>
        <w:t>Out-of-H</w:t>
      </w:r>
      <w:r w:rsidRPr="00B426A3">
        <w:rPr>
          <w:sz w:val="22"/>
          <w:szCs w:val="22"/>
        </w:rPr>
        <w:t xml:space="preserve">ome </w:t>
      </w:r>
      <w:r w:rsidR="00B426A3">
        <w:rPr>
          <w:sz w:val="22"/>
          <w:szCs w:val="22"/>
        </w:rPr>
        <w:t>C</w:t>
      </w:r>
      <w:r w:rsidRPr="00B426A3">
        <w:rPr>
          <w:sz w:val="22"/>
          <w:szCs w:val="22"/>
        </w:rPr>
        <w:t xml:space="preserve">are </w:t>
      </w:r>
      <w:r w:rsidR="00B426A3">
        <w:rPr>
          <w:sz w:val="22"/>
          <w:szCs w:val="22"/>
        </w:rPr>
        <w:t>(</w:t>
      </w:r>
      <w:r w:rsidRPr="00B426A3">
        <w:rPr>
          <w:sz w:val="22"/>
          <w:szCs w:val="22"/>
        </w:rPr>
        <w:t>2015</w:t>
      </w:r>
      <w:r w:rsidR="00B426A3">
        <w:rPr>
          <w:sz w:val="22"/>
          <w:szCs w:val="22"/>
        </w:rPr>
        <w:t>)</w:t>
      </w:r>
      <w:r w:rsidRPr="00B426A3">
        <w:rPr>
          <w:sz w:val="22"/>
          <w:szCs w:val="22"/>
        </w:rPr>
        <w:t xml:space="preserve"> </w:t>
      </w:r>
      <w:hyperlink r:id="rId24" w:history="1">
        <w:r w:rsidRPr="00B426A3">
          <w:rPr>
            <w:rStyle w:val="Hyperlink"/>
            <w:sz w:val="22"/>
            <w:szCs w:val="22"/>
          </w:rPr>
          <w:t>http://www.aph.gov.au/Parliamentary_Business/Committees/Senate/Community_Affairs/Out_of_home_care/Report</w:t>
        </w:r>
      </w:hyperlink>
      <w:r w:rsidRPr="00B426A3">
        <w:rPr>
          <w:sz w:val="22"/>
          <w:szCs w:val="22"/>
        </w:rPr>
        <w:t xml:space="preserve"> </w:t>
      </w:r>
    </w:p>
    <w:p w:rsidR="008E08B5" w:rsidRDefault="008E08B5" w:rsidP="008E08B5">
      <w:pPr>
        <w:pStyle w:val="Footnotes"/>
        <w:rPr>
          <w:sz w:val="22"/>
          <w:szCs w:val="22"/>
        </w:rPr>
      </w:pPr>
    </w:p>
    <w:p w:rsidR="00F71120" w:rsidRPr="008E08B5" w:rsidRDefault="008E08B5" w:rsidP="008E08B5">
      <w:pPr>
        <w:pStyle w:val="Footnotes"/>
        <w:rPr>
          <w:rStyle w:val="Hyperlink"/>
          <w:color w:val="auto"/>
          <w:sz w:val="22"/>
          <w:szCs w:val="22"/>
          <w:u w:val="none"/>
          <w:lang w:val="en-US"/>
        </w:rPr>
      </w:pPr>
      <w:r w:rsidRPr="008E08B5">
        <w:rPr>
          <w:sz w:val="22"/>
          <w:szCs w:val="22"/>
        </w:rPr>
        <w:t xml:space="preserve">Women’s Legal Service NSW (2016) Submission to the NSW Parliamentary Inquiry into Child Protection </w:t>
      </w:r>
      <w:hyperlink r:id="rId25" w:history="1">
        <w:r w:rsidRPr="005A3126">
          <w:rPr>
            <w:rStyle w:val="Hyperlink"/>
          </w:rPr>
          <w:t>https://www.parliament.nsw.gov.au/committees/DBAssets/InquirySubmission/Body/55905/0073%20Women%27s%20Legal%20Service%20NSW.pdf</w:t>
        </w:r>
      </w:hyperlink>
    </w:p>
    <w:p w:rsidR="008E08B5" w:rsidRPr="00B426A3" w:rsidRDefault="008E08B5" w:rsidP="008E08B5">
      <w:pPr>
        <w:rPr>
          <w:rStyle w:val="Hyperlink"/>
        </w:rPr>
      </w:pPr>
      <w:r w:rsidRPr="00B426A3">
        <w:t xml:space="preserve">Women’s Legal Services Australia </w:t>
      </w:r>
      <w:r>
        <w:t>(2017)</w:t>
      </w:r>
      <w:r w:rsidRPr="00B426A3">
        <w:t xml:space="preserve"> Submission to House of Representatives Standing Committee on Social Policy and Legal Affairs Submission to the parliamentary inquiry into a better family law system to support and protect those affected by family violence </w:t>
      </w:r>
      <w:hyperlink r:id="rId26" w:history="1">
        <w:r w:rsidRPr="00B426A3">
          <w:rPr>
            <w:rStyle w:val="Hyperlink"/>
          </w:rPr>
          <w:t>http://www.wlsa.org.au/uploads/submission-resources/6_-_Womens_Legal_Services_Australia.pdf</w:t>
        </w:r>
      </w:hyperlink>
    </w:p>
    <w:p w:rsidR="00F71120" w:rsidRPr="00B426A3" w:rsidRDefault="00F71120" w:rsidP="00F71120">
      <w:pPr>
        <w:pStyle w:val="Heading1"/>
        <w:rPr>
          <w:sz w:val="22"/>
          <w:szCs w:val="22"/>
          <w:lang w:val="en-AU"/>
        </w:rPr>
      </w:pPr>
      <w:bookmarkStart w:id="1" w:name="_Toc486596093"/>
      <w:r w:rsidRPr="00B426A3">
        <w:rPr>
          <w:sz w:val="22"/>
          <w:szCs w:val="22"/>
          <w:lang w:val="en-AU"/>
        </w:rPr>
        <w:t>Child protection and Aboriginal and Torres Strait Islander Children</w:t>
      </w:r>
      <w:bookmarkEnd w:id="1"/>
    </w:p>
    <w:p w:rsidR="00F71120" w:rsidRPr="00B426A3" w:rsidRDefault="00F71120" w:rsidP="00F71120">
      <w:pPr>
        <w:rPr>
          <w:lang w:val="en-AU"/>
        </w:rPr>
      </w:pPr>
      <w:r w:rsidRPr="00B426A3">
        <w:rPr>
          <w:lang w:val="en-AU"/>
        </w:rPr>
        <w:t>Aboriginal and Torres Strait Islander children are overr</w:t>
      </w:r>
      <w:r w:rsidR="00B52BAA">
        <w:rPr>
          <w:lang w:val="en-AU"/>
        </w:rPr>
        <w:t xml:space="preserve">epresented in child protection, with a recent inquiry report noting: </w:t>
      </w:r>
      <w:r w:rsidRPr="00B426A3">
        <w:rPr>
          <w:lang w:val="en-AU"/>
        </w:rPr>
        <w:t>“In 2013, peak Aboriginal and community service organisations warned the Victorian government that the rate of Aboriginal child removal in Victoria was exceeding levels seen at any time since white invasion”</w:t>
      </w:r>
      <w:r w:rsidRPr="00B426A3">
        <w:rPr>
          <w:rStyle w:val="FootnoteReference"/>
          <w:lang w:val="en-AU"/>
        </w:rPr>
        <w:footnoteReference w:id="1"/>
      </w:r>
      <w:r w:rsidRPr="00B426A3">
        <w:rPr>
          <w:lang w:val="en-AU"/>
        </w:rPr>
        <w:t>. </w:t>
      </w:r>
      <w:bookmarkStart w:id="2" w:name="_Toc486596094"/>
      <w:r w:rsidRPr="00B426A3">
        <w:rPr>
          <w:lang w:val="en-AU"/>
        </w:rPr>
        <w:t xml:space="preserve"> </w:t>
      </w:r>
      <w:bookmarkEnd w:id="2"/>
      <w:r w:rsidR="00B52BAA">
        <w:rPr>
          <w:lang w:val="en-AU"/>
        </w:rPr>
        <w:t xml:space="preserve">A </w:t>
      </w:r>
      <w:r w:rsidRPr="00B426A3">
        <w:rPr>
          <w:lang w:val="en-AU"/>
        </w:rPr>
        <w:t>Family Law Council report</w:t>
      </w:r>
      <w:r w:rsidRPr="00B426A3">
        <w:rPr>
          <w:rStyle w:val="FootnoteReference"/>
          <w:lang w:val="en-AU"/>
        </w:rPr>
        <w:footnoteReference w:id="2"/>
      </w:r>
      <w:r w:rsidRPr="00B426A3">
        <w:rPr>
          <w:lang w:val="en-AU"/>
        </w:rPr>
        <w:t xml:space="preserve"> states that from 1999-2000 to 2009-2010, the substantiation rate of notifications in relation to </w:t>
      </w:r>
      <w:r w:rsidR="00B52BAA">
        <w:rPr>
          <w:lang w:val="en-AU"/>
        </w:rPr>
        <w:t xml:space="preserve">Aboriginal and Torres Strait Islander </w:t>
      </w:r>
      <w:r w:rsidRPr="00B426A3">
        <w:rPr>
          <w:lang w:val="en-AU"/>
        </w:rPr>
        <w:t>children increased from 15 to 37 per 1000 children, compared with four to five per 1000 children for non-Indigenous children.  At 30 June 2015, the rate of Aboriginal and Torres Strait Islander children on orders was 9 times that for non-Indigenous children.</w:t>
      </w:r>
      <w:r w:rsidRPr="00B426A3">
        <w:rPr>
          <w:rStyle w:val="FootnoteReference"/>
          <w:rFonts w:cstheme="minorHAnsi"/>
          <w:lang w:val="en-AU"/>
        </w:rPr>
        <w:footnoteReference w:id="3"/>
      </w:r>
    </w:p>
    <w:p w:rsidR="00F71120" w:rsidRPr="00B426A3" w:rsidRDefault="00F71120">
      <w:r w:rsidRPr="00B426A3">
        <w:t>Some relevant resources</w:t>
      </w:r>
      <w:r w:rsidR="00B52BAA">
        <w:t>:</w:t>
      </w:r>
    </w:p>
    <w:p w:rsidR="00F71120" w:rsidRPr="00B426A3" w:rsidRDefault="00F71120" w:rsidP="00F71120">
      <w:pPr>
        <w:rPr>
          <w:rFonts w:cstheme="minorHAnsi"/>
          <w:lang w:val="en-AU"/>
        </w:rPr>
      </w:pPr>
      <w:r w:rsidRPr="00B426A3">
        <w:t xml:space="preserve">Aboriginal and Torres Strait Islander Healing Foundation. Bringing Them Home 20 years on: an action plan for healing </w:t>
      </w:r>
      <w:hyperlink r:id="rId27" w:history="1">
        <w:r w:rsidRPr="00B426A3">
          <w:rPr>
            <w:rStyle w:val="Hyperlink"/>
            <w:rFonts w:cstheme="minorHAnsi"/>
            <w:lang w:val="en-AU"/>
          </w:rPr>
          <w:t>http://healingfoundation.org.au/bringing-them-home/</w:t>
        </w:r>
      </w:hyperlink>
    </w:p>
    <w:p w:rsidR="00B52BAA" w:rsidRPr="00B426A3" w:rsidRDefault="00B52BAA" w:rsidP="00B52BAA">
      <w:pPr>
        <w:rPr>
          <w:rFonts w:cstheme="minorHAnsi"/>
          <w:lang w:val="en-AU"/>
        </w:rPr>
      </w:pPr>
      <w:r w:rsidRPr="00B426A3">
        <w:rPr>
          <w:rFonts w:cstheme="minorHAnsi"/>
          <w:lang w:val="en-AU"/>
        </w:rPr>
        <w:t>Australian Human Rights Commission 1997 Bring</w:t>
      </w:r>
      <w:r>
        <w:rPr>
          <w:rFonts w:cstheme="minorHAnsi"/>
          <w:lang w:val="en-AU"/>
        </w:rPr>
        <w:t>ing</w:t>
      </w:r>
      <w:r w:rsidRPr="00B426A3">
        <w:rPr>
          <w:rFonts w:cstheme="minorHAnsi"/>
          <w:lang w:val="en-AU"/>
        </w:rPr>
        <w:t xml:space="preserve"> Them Home: “The Stolen Children” Report </w:t>
      </w:r>
      <w:hyperlink r:id="rId28" w:history="1">
        <w:r w:rsidRPr="00B426A3">
          <w:rPr>
            <w:rStyle w:val="Hyperlink"/>
            <w:rFonts w:cstheme="minorHAnsi"/>
            <w:lang w:val="en-AU"/>
          </w:rPr>
          <w:t>https://www.humanrights.gov.au/our-work/aboriginal-and-torres-strait-islander-social-justice/publications/bringing-them-home-stolen</w:t>
        </w:r>
      </w:hyperlink>
    </w:p>
    <w:p w:rsidR="00660ADC" w:rsidRPr="00B426A3" w:rsidRDefault="00660ADC" w:rsidP="00660ADC">
      <w:pPr>
        <w:rPr>
          <w:rStyle w:val="Hyperlink"/>
          <w:rFonts w:cstheme="minorHAnsi"/>
          <w:lang w:val="en-AU"/>
        </w:rPr>
      </w:pPr>
      <w:r w:rsidRPr="00B426A3">
        <w:rPr>
          <w:rFonts w:cstheme="minorHAnsi"/>
          <w:lang w:val="en-AU"/>
        </w:rPr>
        <w:t xml:space="preserve">Australian Institute of Family Studies 2016. Child Protection and Aboriginal and Torres Strait Islander Children. </w:t>
      </w:r>
      <w:hyperlink r:id="rId29" w:tgtFrame="_blank" w:history="1">
        <w:r w:rsidRPr="00B426A3">
          <w:rPr>
            <w:rStyle w:val="Hyperlink"/>
            <w:rFonts w:cstheme="minorHAnsi"/>
            <w:lang w:val="en-AU"/>
          </w:rPr>
          <w:t>https://aifs.gov.au/cfca/publications/child-protection-and-aboriginal-and-torres-strait-islander-children</w:t>
        </w:r>
      </w:hyperlink>
    </w:p>
    <w:p w:rsidR="00F71120" w:rsidRDefault="00B52BAA" w:rsidP="00F71120">
      <w:pPr>
        <w:rPr>
          <w:rFonts w:cstheme="minorHAnsi"/>
          <w:lang w:val="en-AU"/>
        </w:rPr>
      </w:pPr>
      <w:r>
        <w:rPr>
          <w:rFonts w:cstheme="minorHAnsi"/>
          <w:lang w:val="en-AU"/>
        </w:rPr>
        <w:t xml:space="preserve">Commissioner for Children and Young People, Victoria (2016) </w:t>
      </w:r>
      <w:r w:rsidR="00F71120" w:rsidRPr="00B426A3">
        <w:rPr>
          <w:rFonts w:cstheme="minorHAnsi"/>
          <w:lang w:val="en-AU"/>
        </w:rPr>
        <w:t>Always Was, Always Will Be Koori Children Systemic inquiry into services provided to Aboriginal children and young people in out-of-home care in Victoria (2016</w:t>
      </w:r>
      <w:r>
        <w:rPr>
          <w:rFonts w:cstheme="minorHAnsi"/>
          <w:lang w:val="en-AU"/>
        </w:rPr>
        <w:t xml:space="preserve">) </w:t>
      </w:r>
      <w:hyperlink r:id="rId30" w:history="1">
        <w:r w:rsidRPr="005A3126">
          <w:rPr>
            <w:rStyle w:val="Hyperlink"/>
            <w:rFonts w:cstheme="minorHAnsi"/>
            <w:lang w:val="en-AU"/>
          </w:rPr>
          <w:t>https://ccyp.vic.gov.au/assets/Publications-inquiries/always-was-always-will-be-koori-children-inquiry-report-oct16.pdf</w:t>
        </w:r>
      </w:hyperlink>
      <w:r>
        <w:rPr>
          <w:rFonts w:cstheme="minorHAnsi"/>
          <w:lang w:val="en-AU"/>
        </w:rPr>
        <w:t xml:space="preserve"> </w:t>
      </w:r>
    </w:p>
    <w:p w:rsidR="00660ADC" w:rsidRPr="00B426A3" w:rsidRDefault="00660ADC" w:rsidP="00660ADC">
      <w:pPr>
        <w:rPr>
          <w:rStyle w:val="Hyperlink"/>
        </w:rPr>
      </w:pPr>
      <w:r w:rsidRPr="00B426A3">
        <w:rPr>
          <w:rFonts w:cstheme="minorHAnsi"/>
          <w:lang w:val="en-AU"/>
        </w:rPr>
        <w:t xml:space="preserve">Family Law Council 2012 Improving The Family Law System For Aboriginal And Torres Strait Islander Clients A report to the Attorney-General </w:t>
      </w:r>
      <w:hyperlink r:id="rId31" w:history="1">
        <w:r w:rsidRPr="00B426A3">
          <w:rPr>
            <w:rStyle w:val="Hyperlink"/>
            <w:rFonts w:cstheme="minorHAnsi"/>
            <w:lang w:val="en-AU"/>
          </w:rPr>
          <w:t>https://www.ag.gov.au/FamiliesAndMarriage/FamilyLawCouncil/Documents/Improving%20the%20F</w:t>
        </w:r>
        <w:r w:rsidRPr="00B426A3">
          <w:rPr>
            <w:rStyle w:val="Hyperlink"/>
            <w:rFonts w:cstheme="minorHAnsi"/>
            <w:lang w:val="en-AU"/>
          </w:rPr>
          <w:lastRenderedPageBreak/>
          <w:t>amily%20Law%20System%20for%20Aboriginal%20and%20Torres%20Strait%20Islander%20Clients.pdf</w:t>
        </w:r>
      </w:hyperlink>
      <w:r w:rsidRPr="00B426A3">
        <w:rPr>
          <w:rStyle w:val="Hyperlink"/>
        </w:rPr>
        <w:t xml:space="preserve"> </w:t>
      </w:r>
    </w:p>
    <w:p w:rsidR="00F71120" w:rsidRDefault="00F71120" w:rsidP="00F71120">
      <w:pPr>
        <w:rPr>
          <w:rStyle w:val="Hyperlink"/>
          <w:rFonts w:cstheme="minorHAnsi"/>
          <w:lang w:val="en-AU"/>
        </w:rPr>
      </w:pPr>
      <w:r w:rsidRPr="00B426A3">
        <w:t xml:space="preserve">Judicial Council on Cultural Diversity </w:t>
      </w:r>
      <w:r w:rsidR="00660ADC">
        <w:t>(2016)</w:t>
      </w:r>
      <w:r w:rsidRPr="00B426A3">
        <w:t xml:space="preserve"> The Path to Justice: Aboriginal and Torres Strait Islander Women’s Experience of the Courts </w:t>
      </w:r>
      <w:hyperlink r:id="rId32" w:history="1">
        <w:r w:rsidRPr="00B426A3">
          <w:rPr>
            <w:rStyle w:val="Hyperlink"/>
            <w:rFonts w:cstheme="minorHAnsi"/>
            <w:lang w:val="en-AU"/>
          </w:rPr>
          <w:t>http://jccd.org.au/wp-content/uploads/2016/04/JCCD_Consultation_Report_-_Aboriginal_and_Torres_Strait_Islander_Women.pdf</w:t>
        </w:r>
      </w:hyperlink>
    </w:p>
    <w:p w:rsidR="00660ADC" w:rsidRPr="00B426A3" w:rsidRDefault="00660ADC" w:rsidP="00660ADC">
      <w:pPr>
        <w:rPr>
          <w:rStyle w:val="Hyperlink"/>
        </w:rPr>
      </w:pPr>
      <w:r w:rsidRPr="00B426A3">
        <w:rPr>
          <w:rFonts w:cstheme="minorHAnsi"/>
          <w:lang w:val="en-AU"/>
        </w:rPr>
        <w:t xml:space="preserve">Little Children are Sacred: Report of the Northern Territory Board of Inquiry into the Protection of Aboriginal Children from Sexual Abuse (2007) </w:t>
      </w:r>
      <w:hyperlink r:id="rId33" w:tgtFrame="_blank" w:history="1">
        <w:r w:rsidRPr="00B426A3">
          <w:rPr>
            <w:rStyle w:val="Hyperlink"/>
            <w:rFonts w:cstheme="minorHAnsi"/>
            <w:lang w:val="en-AU"/>
          </w:rPr>
          <w:t>http://www.inquirysaac.nt.gov.au/pdf/bipacsa_final_report.pdf</w:t>
        </w:r>
      </w:hyperlink>
    </w:p>
    <w:p w:rsidR="00F71120" w:rsidRPr="00B426A3" w:rsidRDefault="00F71120" w:rsidP="00F71120">
      <w:pPr>
        <w:rPr>
          <w:rFonts w:cstheme="minorHAnsi"/>
          <w:lang w:val="en-AU"/>
        </w:rPr>
      </w:pPr>
    </w:p>
    <w:p w:rsidR="00F71120" w:rsidRPr="00B426A3" w:rsidRDefault="00F71120" w:rsidP="00F71120">
      <w:pPr>
        <w:rPr>
          <w:rStyle w:val="Hyperlink"/>
          <w:rFonts w:cstheme="minorHAnsi"/>
          <w:lang w:val="en-AU"/>
        </w:rPr>
      </w:pPr>
    </w:p>
    <w:p w:rsidR="009D620D" w:rsidRPr="00B426A3" w:rsidRDefault="009D620D" w:rsidP="009D620D">
      <w:pPr>
        <w:pStyle w:val="Heading1"/>
        <w:rPr>
          <w:sz w:val="22"/>
          <w:szCs w:val="22"/>
          <w:lang w:val="en-AU"/>
        </w:rPr>
      </w:pPr>
      <w:bookmarkStart w:id="3" w:name="_Toc486596096"/>
      <w:r w:rsidRPr="00B426A3">
        <w:rPr>
          <w:sz w:val="22"/>
          <w:szCs w:val="22"/>
          <w:lang w:val="en-AU"/>
        </w:rPr>
        <w:t>Children from culturally and linguistically diverse backgrounds</w:t>
      </w:r>
      <w:bookmarkEnd w:id="3"/>
    </w:p>
    <w:p w:rsidR="009D620D" w:rsidRPr="00B426A3" w:rsidRDefault="009D620D" w:rsidP="009D620D">
      <w:pPr>
        <w:rPr>
          <w:lang w:val="en-AU"/>
        </w:rPr>
      </w:pPr>
      <w:r w:rsidRPr="00B426A3">
        <w:rPr>
          <w:lang w:val="en-AU"/>
        </w:rPr>
        <w:t xml:space="preserve">Unique challenges experienced by families from culturally and linguistically diverse backgrounds are migration and acculturation stress, displaced sense of belonging and cultural identity, perceived or actual racism and discrimination, intergenerational conflict, low English proficiency, insufficient awareness of institutional systems and local services available, lack of extended family/community support, poor settlement experience in the period after arrival and socio-economic disadvantage. </w:t>
      </w:r>
    </w:p>
    <w:p w:rsidR="009D620D" w:rsidRPr="00B426A3" w:rsidRDefault="009D620D" w:rsidP="009D620D">
      <w:pPr>
        <w:rPr>
          <w:lang w:val="en-AU"/>
        </w:rPr>
      </w:pPr>
      <w:r w:rsidRPr="00B426A3">
        <w:rPr>
          <w:lang w:val="en-AU"/>
        </w:rPr>
        <w:t>Some relevant reports surveying the issues include:</w:t>
      </w:r>
    </w:p>
    <w:p w:rsidR="00660ADC" w:rsidRPr="00B426A3" w:rsidRDefault="00660ADC" w:rsidP="00660ADC">
      <w:pPr>
        <w:rPr>
          <w:rFonts w:eastAsia="Times New Roman" w:cs="Times New Roman"/>
          <w:color w:val="0000FF"/>
          <w:u w:val="single"/>
          <w:lang w:val="en-AU" w:eastAsia="en-GB"/>
        </w:rPr>
      </w:pPr>
      <w:r w:rsidRPr="00B426A3">
        <w:rPr>
          <w:rFonts w:eastAsia="Times New Roman" w:cs="Times New Roman"/>
          <w:color w:val="000000"/>
          <w:lang w:val="en-AU" w:eastAsia="en-GB"/>
        </w:rPr>
        <w:t xml:space="preserve">Australian Churches Refugee Taskforce (2014) Protecting the Lonely Children. </w:t>
      </w:r>
      <w:hyperlink r:id="rId34" w:history="1">
        <w:r w:rsidRPr="00B426A3">
          <w:rPr>
            <w:rStyle w:val="Hyperlink"/>
            <w:rFonts w:eastAsia="Times New Roman" w:cs="Times New Roman"/>
            <w:lang w:val="en-AU" w:eastAsia="en-GB"/>
          </w:rPr>
          <w:t>http://www.australianchurchesrefugeetaskforce.com.au/wp-content/uploads/2014/07/ProtectingTheLonelyChildren.pdf</w:t>
        </w:r>
      </w:hyperlink>
    </w:p>
    <w:p w:rsidR="00660ADC" w:rsidRDefault="00660ADC" w:rsidP="00660ADC">
      <w:pPr>
        <w:rPr>
          <w:rStyle w:val="Hyperlink"/>
          <w:rFonts w:eastAsia="Times New Roman" w:cs="Times New Roman"/>
          <w:lang w:val="en-AU" w:eastAsia="en-GB"/>
        </w:rPr>
      </w:pPr>
      <w:r w:rsidRPr="00B426A3">
        <w:rPr>
          <w:rFonts w:eastAsia="Times New Roman" w:cs="Times New Roman"/>
          <w:color w:val="000000"/>
          <w:lang w:val="en-AU" w:eastAsia="en-GB"/>
        </w:rPr>
        <w:t>Ethnic Communities Council QLD (2011) Resources</w:t>
      </w:r>
      <w:r w:rsidRPr="00B426A3">
        <w:rPr>
          <w:rFonts w:eastAsia="Times New Roman" w:cs="Times New Roman"/>
          <w:b/>
          <w:color w:val="000000"/>
          <w:lang w:val="en-AU" w:eastAsia="en-GB"/>
        </w:rPr>
        <w:t xml:space="preserve"> </w:t>
      </w:r>
      <w:r w:rsidRPr="00B426A3">
        <w:t>for Culturally and Linguistically Diverse (CALD) Clients and Child Protection</w:t>
      </w:r>
      <w:r w:rsidRPr="00B426A3">
        <w:rPr>
          <w:rFonts w:eastAsia="Times New Roman" w:cs="Times New Roman"/>
          <w:color w:val="000000"/>
          <w:lang w:val="en-AU" w:eastAsia="en-GB"/>
        </w:rPr>
        <w:t xml:space="preserve"> </w:t>
      </w:r>
      <w:hyperlink r:id="rId35" w:history="1">
        <w:r w:rsidRPr="00B426A3">
          <w:rPr>
            <w:rStyle w:val="Hyperlink"/>
            <w:rFonts w:eastAsia="Times New Roman" w:cs="Times New Roman"/>
            <w:lang w:val="en-AU" w:eastAsia="en-GB"/>
          </w:rPr>
          <w:t>http://www.eccq.com.au/what-we-do/policy/child-protection/resources-for-cald-clients-and-child-protection</w:t>
        </w:r>
      </w:hyperlink>
    </w:p>
    <w:p w:rsidR="00660ADC" w:rsidRDefault="00660ADC" w:rsidP="00660ADC">
      <w:pPr>
        <w:rPr>
          <w:rStyle w:val="Hyperlink"/>
          <w:lang w:val="en-AU"/>
        </w:rPr>
      </w:pPr>
      <w:r w:rsidRPr="00B426A3">
        <w:t xml:space="preserve">Judicial Council on Cultural Diversity 2016. Migrant and Refugee Women’s Experience of the Courts </w:t>
      </w:r>
      <w:hyperlink r:id="rId36" w:history="1">
        <w:r w:rsidRPr="00B426A3">
          <w:rPr>
            <w:rStyle w:val="Hyperlink"/>
            <w:lang w:val="en-AU"/>
          </w:rPr>
          <w:t>http://jccd.org.au/wp-content/uploads/2016/04/JCCD_Consultation_Report_-_Migrant_and_Refugee_Women.pdf</w:t>
        </w:r>
      </w:hyperlink>
    </w:p>
    <w:p w:rsidR="00660ADC" w:rsidRPr="00B426A3" w:rsidRDefault="00660ADC" w:rsidP="00660ADC">
      <w:pPr>
        <w:rPr>
          <w:rFonts w:eastAsia="Times New Roman" w:cs="Times New Roman"/>
          <w:color w:val="000000"/>
          <w:lang w:val="en-AU" w:eastAsia="en-GB"/>
        </w:rPr>
      </w:pPr>
      <w:r w:rsidRPr="00B426A3">
        <w:rPr>
          <w:rFonts w:eastAsia="Times New Roman" w:cs="Times New Roman"/>
          <w:color w:val="000000"/>
          <w:lang w:val="en-AU" w:eastAsia="en-GB"/>
        </w:rPr>
        <w:t xml:space="preserve">Kaur, J (2012). Cultural Diversity and Child Protection: Australian research review on the needs of culturally and linguistically diverse (CALD) and refugee children and families. Queensland, Australia </w:t>
      </w:r>
      <w:hyperlink r:id="rId37" w:history="1">
        <w:r w:rsidRPr="00B426A3">
          <w:rPr>
            <w:rStyle w:val="Hyperlink"/>
            <w:rFonts w:eastAsia="Times New Roman" w:cs="Times New Roman"/>
            <w:lang w:val="en-AU" w:eastAsia="en-GB"/>
          </w:rPr>
          <w:t>http://www.jkdiversityconsultants.com.au/Cultural_Diversity_&amp;_Child_Protection_Kaur2012_A4.pdf</w:t>
        </w:r>
      </w:hyperlink>
      <w:r w:rsidRPr="00B426A3">
        <w:rPr>
          <w:rFonts w:eastAsia="Times New Roman" w:cs="Times New Roman"/>
          <w:color w:val="000000"/>
          <w:lang w:val="en-AU" w:eastAsia="en-GB"/>
        </w:rPr>
        <w:t xml:space="preserve"> </w:t>
      </w:r>
    </w:p>
    <w:p w:rsidR="00660ADC" w:rsidRPr="00B426A3" w:rsidRDefault="00660ADC" w:rsidP="00660ADC">
      <w:pPr>
        <w:rPr>
          <w:rFonts w:eastAsia="Times New Roman" w:cs="Times New Roman"/>
          <w:color w:val="000000"/>
          <w:lang w:val="en-AU" w:eastAsia="en-GB"/>
        </w:rPr>
      </w:pPr>
      <w:proofErr w:type="spellStart"/>
      <w:r w:rsidRPr="00B426A3">
        <w:rPr>
          <w:rFonts w:eastAsia="Times New Roman" w:cs="Times New Roman"/>
          <w:color w:val="000000"/>
          <w:lang w:val="en-AU" w:eastAsia="en-GB"/>
        </w:rPr>
        <w:t>Losoncz</w:t>
      </w:r>
      <w:proofErr w:type="spellEnd"/>
      <w:r w:rsidRPr="00B426A3">
        <w:rPr>
          <w:rFonts w:eastAsia="Times New Roman" w:cs="Times New Roman"/>
          <w:color w:val="000000"/>
          <w:lang w:val="en-AU" w:eastAsia="en-GB"/>
        </w:rPr>
        <w:t>, I. (2015) Building safety around children in families from refugee backgrounds: Ensuring children's safety requires working in partnership with families and communities. Australian National University</w:t>
      </w:r>
      <w:r w:rsidRPr="00B426A3">
        <w:t xml:space="preserve"> </w:t>
      </w:r>
      <w:hyperlink r:id="rId38" w:history="1">
        <w:r w:rsidRPr="00B426A3">
          <w:rPr>
            <w:rStyle w:val="Hyperlink"/>
            <w:rFonts w:eastAsia="Times New Roman" w:cs="Times New Roman"/>
            <w:lang w:val="en-AU" w:eastAsia="en-GB"/>
          </w:rPr>
          <w:t>http://www.sciencedirect.com/science/article/pii/S0145213415003166</w:t>
        </w:r>
      </w:hyperlink>
      <w:r w:rsidRPr="00B426A3">
        <w:rPr>
          <w:rFonts w:eastAsia="Times New Roman" w:cs="Times New Roman"/>
          <w:color w:val="000000"/>
          <w:lang w:val="en-AU" w:eastAsia="en-GB"/>
        </w:rPr>
        <w:t xml:space="preserve"> </w:t>
      </w:r>
    </w:p>
    <w:p w:rsidR="00660ADC" w:rsidRPr="00B426A3" w:rsidRDefault="00660ADC" w:rsidP="00660ADC">
      <w:pPr>
        <w:rPr>
          <w:rFonts w:eastAsia="Times New Roman" w:cs="Times New Roman"/>
          <w:color w:val="0000FF"/>
          <w:u w:val="single"/>
          <w:lang w:val="en-AU" w:eastAsia="en-GB"/>
        </w:rPr>
      </w:pPr>
      <w:r w:rsidRPr="00B426A3">
        <w:t xml:space="preserve">Saunders, V., Roche, S., </w:t>
      </w:r>
      <w:proofErr w:type="spellStart"/>
      <w:r w:rsidRPr="00B426A3">
        <w:t>Prof.</w:t>
      </w:r>
      <w:proofErr w:type="spellEnd"/>
      <w:r w:rsidRPr="00B426A3">
        <w:t xml:space="preserve"> McArthur, M., </w:t>
      </w:r>
      <w:proofErr w:type="spellStart"/>
      <w:r w:rsidRPr="00B426A3">
        <w:t>Prof.</w:t>
      </w:r>
      <w:proofErr w:type="spellEnd"/>
      <w:r w:rsidRPr="00B426A3">
        <w:t xml:space="preserve"> </w:t>
      </w:r>
      <w:proofErr w:type="spellStart"/>
      <w:r w:rsidRPr="00B426A3">
        <w:t>Arney</w:t>
      </w:r>
      <w:proofErr w:type="spellEnd"/>
      <w:r w:rsidRPr="00B426A3">
        <w:t xml:space="preserve">, F., Dr </w:t>
      </w:r>
      <w:proofErr w:type="spellStart"/>
      <w:r w:rsidRPr="00B426A3">
        <w:t>Ziaian</w:t>
      </w:r>
      <w:proofErr w:type="spellEnd"/>
      <w:r w:rsidRPr="00B426A3">
        <w:t>, T.</w:t>
      </w:r>
      <w:r w:rsidRPr="00B426A3">
        <w:rPr>
          <w:rFonts w:eastAsia="Times New Roman" w:cs="Times New Roman"/>
          <w:color w:val="000000"/>
          <w:lang w:val="en-AU" w:eastAsia="en-GB"/>
        </w:rPr>
        <w:t xml:space="preserve"> (2015) Refugee Communities Intercultural Dialogue: Building Relationships, Building Communities. </w:t>
      </w:r>
      <w:r w:rsidRPr="00B426A3">
        <w:t xml:space="preserve">Institute of Child Protection Studies, </w:t>
      </w:r>
      <w:r w:rsidRPr="00B426A3">
        <w:rPr>
          <w:rFonts w:eastAsia="Times New Roman" w:cs="Times New Roman"/>
          <w:color w:val="000000"/>
          <w:lang w:val="en-AU" w:eastAsia="en-GB"/>
        </w:rPr>
        <w:t xml:space="preserve">Australian Catholic University, </w:t>
      </w:r>
      <w:r w:rsidRPr="00B426A3">
        <w:t xml:space="preserve">University of South Australia </w:t>
      </w:r>
      <w:hyperlink r:id="rId39" w:history="1">
        <w:r w:rsidRPr="00B426A3">
          <w:rPr>
            <w:rFonts w:eastAsia="Times New Roman" w:cs="Times New Roman"/>
            <w:color w:val="0000FF"/>
            <w:u w:val="single"/>
            <w:lang w:val="en-AU" w:eastAsia="en-GB"/>
          </w:rPr>
          <w:t>https://www.dss.gov.au/sites/default/files/documents/11_2016/refugee_communities_intercultural_dialogues_building_relationships_building_communities_report.pdf</w:t>
        </w:r>
      </w:hyperlink>
    </w:p>
    <w:p w:rsidR="009D620D" w:rsidRDefault="009D620D" w:rsidP="009D620D">
      <w:pPr>
        <w:rPr>
          <w:rStyle w:val="Hyperlink"/>
          <w:rFonts w:eastAsia="Times New Roman" w:cs="Times New Roman"/>
          <w:lang w:val="en-AU" w:eastAsia="en-GB"/>
        </w:rPr>
      </w:pPr>
      <w:proofErr w:type="spellStart"/>
      <w:r w:rsidRPr="00B426A3">
        <w:lastRenderedPageBreak/>
        <w:t>Sawrikar</w:t>
      </w:r>
      <w:proofErr w:type="spellEnd"/>
      <w:r w:rsidRPr="00B426A3">
        <w:t xml:space="preserve">, P, (2009) </w:t>
      </w:r>
      <w:r w:rsidRPr="00B426A3">
        <w:rPr>
          <w:rFonts w:eastAsia="Times New Roman" w:cs="Times New Roman"/>
          <w:color w:val="000000"/>
          <w:lang w:val="en-AU" w:eastAsia="en-GB"/>
        </w:rPr>
        <w:t>Culturally appropriate service provision for culturally and linguistically diverse (CALD) children and families in the New South Wales (NSW) child protection system (CPS). Social Policy Research Centre, University of New South Wales</w:t>
      </w:r>
      <w:r w:rsidRPr="00B426A3">
        <w:rPr>
          <w:rFonts w:eastAsia="Times New Roman" w:cs="Times New Roman"/>
          <w:b/>
          <w:color w:val="000000"/>
          <w:lang w:val="en-AU" w:eastAsia="en-GB"/>
        </w:rPr>
        <w:t xml:space="preserve"> </w:t>
      </w:r>
      <w:hyperlink r:id="rId40" w:history="1">
        <w:r w:rsidRPr="00B426A3">
          <w:rPr>
            <w:rStyle w:val="Hyperlink"/>
            <w:rFonts w:eastAsia="Times New Roman" w:cs="Times New Roman"/>
            <w:lang w:val="en-AU" w:eastAsia="en-GB"/>
          </w:rPr>
          <w:t>http://www.community.nsw.gov.au/__data/assets/pdf_file/0004/321637/research_cald_families.pdf</w:t>
        </w:r>
      </w:hyperlink>
    </w:p>
    <w:p w:rsidR="00660ADC" w:rsidRPr="00B426A3" w:rsidRDefault="00660ADC" w:rsidP="00660ADC">
      <w:pPr>
        <w:rPr>
          <w:rFonts w:eastAsia="Times New Roman" w:cs="Times New Roman"/>
          <w:color w:val="000000"/>
          <w:lang w:val="en-AU" w:eastAsia="en-GB"/>
        </w:rPr>
      </w:pPr>
      <w:proofErr w:type="spellStart"/>
      <w:r w:rsidRPr="00B426A3">
        <w:rPr>
          <w:rFonts w:eastAsia="Times New Roman" w:cs="Times New Roman"/>
          <w:color w:val="000000"/>
          <w:lang w:val="en-AU" w:eastAsia="en-GB"/>
        </w:rPr>
        <w:t>Sawrikar</w:t>
      </w:r>
      <w:proofErr w:type="spellEnd"/>
      <w:r>
        <w:rPr>
          <w:rFonts w:eastAsia="Times New Roman" w:cs="Times New Roman"/>
          <w:color w:val="000000"/>
          <w:lang w:val="en-AU" w:eastAsia="en-GB"/>
        </w:rPr>
        <w:t>,</w:t>
      </w:r>
      <w:r w:rsidRPr="00660ADC">
        <w:rPr>
          <w:rFonts w:eastAsia="Times New Roman" w:cs="Times New Roman"/>
          <w:color w:val="000000"/>
          <w:lang w:val="en-AU" w:eastAsia="en-GB"/>
        </w:rPr>
        <w:t xml:space="preserve"> </w:t>
      </w:r>
      <w:r w:rsidRPr="00B426A3">
        <w:rPr>
          <w:rFonts w:eastAsia="Times New Roman" w:cs="Times New Roman"/>
          <w:color w:val="000000"/>
          <w:lang w:val="en-AU" w:eastAsia="en-GB"/>
        </w:rPr>
        <w:t>Pooja</w:t>
      </w:r>
      <w:r>
        <w:rPr>
          <w:rFonts w:eastAsia="Times New Roman" w:cs="Times New Roman"/>
          <w:color w:val="000000"/>
          <w:lang w:val="en-AU" w:eastAsia="en-GB"/>
        </w:rPr>
        <w:t xml:space="preserve"> and </w:t>
      </w:r>
      <w:r w:rsidRPr="00B426A3">
        <w:rPr>
          <w:rFonts w:eastAsia="Times New Roman" w:cs="Times New Roman"/>
          <w:color w:val="000000"/>
          <w:lang w:val="en-AU" w:eastAsia="en-GB"/>
        </w:rPr>
        <w:t xml:space="preserve">Katz, </w:t>
      </w:r>
      <w:proofErr w:type="spellStart"/>
      <w:r w:rsidRPr="00B426A3">
        <w:rPr>
          <w:rFonts w:eastAsia="Times New Roman" w:cs="Times New Roman"/>
          <w:color w:val="000000"/>
          <w:lang w:val="en-AU" w:eastAsia="en-GB"/>
        </w:rPr>
        <w:t>Ilan</w:t>
      </w:r>
      <w:proofErr w:type="spellEnd"/>
      <w:r w:rsidRPr="00B426A3">
        <w:rPr>
          <w:rFonts w:eastAsia="Times New Roman" w:cs="Times New Roman"/>
          <w:color w:val="000000"/>
          <w:lang w:val="en-AU" w:eastAsia="en-GB"/>
        </w:rPr>
        <w:t xml:space="preserve"> Barry </w:t>
      </w:r>
      <w:r>
        <w:rPr>
          <w:rFonts w:eastAsia="Times New Roman" w:cs="Times New Roman"/>
          <w:color w:val="000000"/>
          <w:lang w:val="en-AU" w:eastAsia="en-GB"/>
        </w:rPr>
        <w:t xml:space="preserve">(2014) </w:t>
      </w:r>
      <w:r w:rsidRPr="00B426A3">
        <w:rPr>
          <w:rFonts w:eastAsia="Times New Roman" w:cs="Times New Roman"/>
          <w:color w:val="000000"/>
          <w:lang w:val="en-AU" w:eastAsia="en-GB"/>
        </w:rPr>
        <w:t xml:space="preserve">Recommendations for Improving Cultural Competency When Working with Ethnic Minority Families in Child Protection Systems in Australia, Child and Adolescent Social Work Journal, 2014, 31, 5, 393 </w:t>
      </w:r>
      <w:hyperlink r:id="rId41" w:history="1">
        <w:r w:rsidRPr="00B426A3">
          <w:rPr>
            <w:rStyle w:val="Hyperlink"/>
            <w:rFonts w:eastAsia="Times New Roman" w:cs="Times New Roman"/>
            <w:lang w:val="en-AU" w:eastAsia="en-GB"/>
          </w:rPr>
          <w:t>http://onlinelibrary.wiley.com/doi/10.1111/cfs.12088/abstract</w:t>
        </w:r>
      </w:hyperlink>
      <w:r w:rsidRPr="00B426A3">
        <w:rPr>
          <w:rFonts w:eastAsia="Times New Roman" w:cs="Times New Roman"/>
          <w:color w:val="000000"/>
          <w:lang w:val="en-AU" w:eastAsia="en-GB"/>
        </w:rPr>
        <w:t xml:space="preserve"> </w:t>
      </w:r>
    </w:p>
    <w:p w:rsidR="00660ADC" w:rsidRPr="00B426A3" w:rsidRDefault="00660ADC" w:rsidP="009D620D">
      <w:pPr>
        <w:rPr>
          <w:rFonts w:eastAsia="Times New Roman" w:cs="Times New Roman"/>
          <w:color w:val="0000FF"/>
          <w:u w:val="single"/>
          <w:lang w:val="en-AU" w:eastAsia="en-GB"/>
        </w:rPr>
      </w:pPr>
    </w:p>
    <w:p w:rsidR="009D620D" w:rsidRPr="00B426A3" w:rsidRDefault="00660ADC" w:rsidP="009D620D">
      <w:pPr>
        <w:rPr>
          <w:rFonts w:eastAsia="Times New Roman" w:cs="Times New Roman"/>
          <w:color w:val="000000"/>
          <w:lang w:val="en-AU" w:eastAsia="en-GB"/>
        </w:rPr>
      </w:pPr>
      <w:r>
        <w:t xml:space="preserve">Victorian </w:t>
      </w:r>
      <w:r w:rsidR="009D620D" w:rsidRPr="00B426A3">
        <w:t xml:space="preserve">Royal Commission into Family Violence: Summary and recommendations, </w:t>
      </w:r>
      <w:proofErr w:type="spellStart"/>
      <w:r w:rsidR="009D620D" w:rsidRPr="00B426A3">
        <w:t>Parl</w:t>
      </w:r>
      <w:proofErr w:type="spellEnd"/>
      <w:r w:rsidR="009D620D" w:rsidRPr="00B426A3">
        <w:t xml:space="preserve"> Paper No 132 (2014–16).</w:t>
      </w:r>
      <w:r w:rsidR="009D620D" w:rsidRPr="00B426A3">
        <w:rPr>
          <w:rFonts w:eastAsia="Times New Roman" w:cs="Times New Roman"/>
          <w:color w:val="000000"/>
          <w:lang w:val="en-AU" w:eastAsia="en-GB"/>
        </w:rPr>
        <w:t xml:space="preserve"> </w:t>
      </w:r>
      <w:hyperlink r:id="rId42" w:history="1">
        <w:r w:rsidR="009D620D" w:rsidRPr="00B426A3">
          <w:rPr>
            <w:rStyle w:val="Hyperlink"/>
            <w:rFonts w:eastAsia="Times New Roman" w:cs="Times New Roman"/>
            <w:lang w:val="en-AU" w:eastAsia="en-GB"/>
          </w:rPr>
          <w:t>http://www.rcfv.com.au/Report-Recommendations</w:t>
        </w:r>
      </w:hyperlink>
      <w:r w:rsidR="009D620D" w:rsidRPr="00B426A3">
        <w:rPr>
          <w:rFonts w:eastAsia="Times New Roman" w:cs="Times New Roman"/>
          <w:color w:val="000000"/>
          <w:lang w:val="en-AU" w:eastAsia="en-GB"/>
        </w:rPr>
        <w:t xml:space="preserve"> </w:t>
      </w:r>
    </w:p>
    <w:p w:rsidR="009D620D" w:rsidRPr="00B426A3" w:rsidRDefault="009D620D" w:rsidP="009D620D">
      <w:pPr>
        <w:rPr>
          <w:rStyle w:val="Hyperlink"/>
          <w:rFonts w:eastAsia="Times New Roman" w:cs="Times New Roman"/>
          <w:lang w:val="en-AU" w:eastAsia="en-GB"/>
        </w:rPr>
      </w:pPr>
      <w:r w:rsidRPr="00B426A3">
        <w:rPr>
          <w:rFonts w:eastAsia="Times New Roman" w:cs="Times New Roman"/>
          <w:color w:val="000000"/>
          <w:lang w:val="en-AU" w:eastAsia="en-GB"/>
        </w:rPr>
        <w:t>Williams</w:t>
      </w:r>
      <w:r w:rsidR="00660ADC">
        <w:rPr>
          <w:rFonts w:eastAsia="Times New Roman" w:cs="Times New Roman"/>
          <w:color w:val="000000"/>
          <w:lang w:val="en-AU" w:eastAsia="en-GB"/>
        </w:rPr>
        <w:t xml:space="preserve">, </w:t>
      </w:r>
      <w:r w:rsidR="00660ADC" w:rsidRPr="00B426A3">
        <w:rPr>
          <w:rFonts w:eastAsia="Times New Roman" w:cs="Times New Roman"/>
          <w:color w:val="000000"/>
          <w:lang w:val="en-AU" w:eastAsia="en-GB"/>
        </w:rPr>
        <w:t>Charlotte</w:t>
      </w:r>
      <w:r w:rsidRPr="00B426A3">
        <w:rPr>
          <w:rFonts w:eastAsia="Times New Roman" w:cs="Times New Roman"/>
          <w:color w:val="000000"/>
          <w:lang w:val="en-AU" w:eastAsia="en-GB"/>
        </w:rPr>
        <w:t xml:space="preserve"> RMIT University Enhancing service delivery for culturally and linguistically diverse children and families </w:t>
      </w:r>
      <w:hyperlink r:id="rId43" w:history="1">
        <w:r w:rsidRPr="00B426A3">
          <w:rPr>
            <w:rStyle w:val="Hyperlink"/>
            <w:rFonts w:eastAsia="Times New Roman" w:cs="Times New Roman"/>
            <w:lang w:val="en-AU" w:eastAsia="en-GB"/>
          </w:rPr>
          <w:t>http://www.childhoodinstitute.org.au/Assets/352/1/CharlotteWilliams.pdf</w:t>
        </w:r>
      </w:hyperlink>
    </w:p>
    <w:p w:rsidR="009D620D" w:rsidRPr="00B426A3" w:rsidRDefault="009D620D" w:rsidP="009D620D">
      <w:pPr>
        <w:rPr>
          <w:rStyle w:val="Hyperlink"/>
          <w:rFonts w:eastAsia="Times New Roman" w:cs="Times New Roman"/>
          <w:lang w:val="en-AU" w:eastAsia="en-GB"/>
        </w:rPr>
      </w:pPr>
    </w:p>
    <w:p w:rsidR="009D620D" w:rsidRPr="00B426A3" w:rsidRDefault="009D620D" w:rsidP="009D620D">
      <w:pPr>
        <w:pStyle w:val="Heading1"/>
        <w:rPr>
          <w:sz w:val="22"/>
          <w:szCs w:val="22"/>
          <w:lang w:val="en-AU"/>
        </w:rPr>
      </w:pPr>
      <w:bookmarkStart w:id="4" w:name="_Toc486596097"/>
      <w:r w:rsidRPr="00B426A3">
        <w:rPr>
          <w:sz w:val="22"/>
          <w:szCs w:val="22"/>
          <w:lang w:val="en-AU"/>
        </w:rPr>
        <w:t>Children raised by same-sex or transgender parents</w:t>
      </w:r>
      <w:bookmarkEnd w:id="4"/>
    </w:p>
    <w:p w:rsidR="009D620D" w:rsidRPr="00B426A3" w:rsidRDefault="009D620D" w:rsidP="009D620D">
      <w:r w:rsidRPr="00B426A3">
        <w:t>Policies and practices to support same-sex parented families in the Australian health, education, child protection and foster care systems have been assessed in the following reports:</w:t>
      </w:r>
    </w:p>
    <w:p w:rsidR="009D620D" w:rsidRPr="00B426A3" w:rsidRDefault="009D620D" w:rsidP="009D620D">
      <w:pPr>
        <w:rPr>
          <w:i/>
          <w:lang w:val="en-AU"/>
        </w:rPr>
      </w:pPr>
      <w:r w:rsidRPr="00B426A3">
        <w:rPr>
          <w:i/>
          <w:lang w:val="en-AU"/>
        </w:rPr>
        <w:t xml:space="preserve">* Note: Resources suggested below does not take into account the most recent (2017) legislative change, that adoption by same-sex couples is legally available in all jurisdictions of Australia – except for the Northern Territory. </w:t>
      </w:r>
    </w:p>
    <w:p w:rsidR="009D620D" w:rsidRPr="00B426A3" w:rsidRDefault="009D620D" w:rsidP="009D620D">
      <w:pPr>
        <w:rPr>
          <w:lang w:val="en-AU"/>
        </w:rPr>
      </w:pPr>
      <w:r w:rsidRPr="00B426A3">
        <w:t xml:space="preserve">Dempsey, D. (2013) Same-sex parented families in Australia. CFCA PAPER NO. 18. Australian Institute of Family Studies </w:t>
      </w:r>
      <w:hyperlink r:id="rId44" w:history="1">
        <w:r w:rsidRPr="00B426A3">
          <w:rPr>
            <w:rStyle w:val="Hyperlink"/>
            <w:lang w:val="en-AU"/>
          </w:rPr>
          <w:t>https://aifs.gov.au/cfca/sites/default/files/cfca/pubs/papers/a145197/cfca18.pdf</w:t>
        </w:r>
      </w:hyperlink>
      <w:r w:rsidRPr="00B426A3">
        <w:rPr>
          <w:lang w:val="en-AU"/>
        </w:rPr>
        <w:t xml:space="preserve"> </w:t>
      </w:r>
    </w:p>
    <w:p w:rsidR="009D620D" w:rsidRPr="00B426A3" w:rsidRDefault="009D620D" w:rsidP="009D620D">
      <w:r w:rsidRPr="00B426A3">
        <w:t xml:space="preserve">Hayes, A., &amp; Higgins, D. (Eds.). (2014). Families, policy and the law: Selected essays on contemporary issues for Australia. Melbourne: Australian </w:t>
      </w:r>
      <w:proofErr w:type="gramStart"/>
      <w:r w:rsidRPr="00B426A3">
        <w:t>Institute of Family Studies</w:t>
      </w:r>
      <w:proofErr w:type="gramEnd"/>
      <w:r w:rsidRPr="00B426A3">
        <w:t xml:space="preserve"> p.89-99 </w:t>
      </w:r>
      <w:r w:rsidRPr="00B426A3">
        <w:rPr>
          <w:rStyle w:val="Hyperlink"/>
          <w:lang w:val="en-AU"/>
        </w:rPr>
        <w:t>https://aifs.gov.au/sites/default/files/publication-documents/fpl.pdf</w:t>
      </w:r>
    </w:p>
    <w:p w:rsidR="009D620D" w:rsidRPr="00B426A3" w:rsidRDefault="009D620D" w:rsidP="009D620D">
      <w:pPr>
        <w:rPr>
          <w:lang w:val="en-AU"/>
        </w:rPr>
      </w:pPr>
      <w:r w:rsidRPr="00B426A3">
        <w:t xml:space="preserve">Riggs, D.W. (2011). Australian lesbian and gay foster carers negotiating the child protection system: Strengths and challenges. Sexuality Research &amp; Social Policy, 8(3), 215-226. </w:t>
      </w:r>
      <w:r w:rsidRPr="00B426A3" w:rsidDel="00E45CC3">
        <w:t xml:space="preserve"> </w:t>
      </w:r>
      <w:hyperlink r:id="rId45" w:history="1">
        <w:r w:rsidRPr="00B426A3">
          <w:rPr>
            <w:rStyle w:val="Hyperlink"/>
            <w:lang w:val="en-AU"/>
          </w:rPr>
          <w:t>https://aifs.gov.au/cfca/pacra/australian-lesbian-and-gay-foster-carers-negotiating-child-protection-system</w:t>
        </w:r>
      </w:hyperlink>
      <w:r w:rsidRPr="00B426A3">
        <w:t xml:space="preserve"> </w:t>
      </w:r>
    </w:p>
    <w:p w:rsidR="00660ADC" w:rsidRDefault="00660ADC" w:rsidP="009D620D">
      <w:pPr>
        <w:pStyle w:val="Heading1"/>
        <w:rPr>
          <w:sz w:val="22"/>
          <w:szCs w:val="22"/>
          <w:lang w:val="en-AU"/>
        </w:rPr>
      </w:pPr>
      <w:bookmarkStart w:id="5" w:name="_Toc486596098"/>
    </w:p>
    <w:p w:rsidR="009D620D" w:rsidRPr="00B426A3" w:rsidRDefault="009D620D" w:rsidP="009D620D">
      <w:pPr>
        <w:pStyle w:val="Heading1"/>
        <w:rPr>
          <w:sz w:val="22"/>
          <w:szCs w:val="22"/>
          <w:lang w:val="en-AU"/>
        </w:rPr>
      </w:pPr>
      <w:r w:rsidRPr="00B426A3">
        <w:rPr>
          <w:sz w:val="22"/>
          <w:szCs w:val="22"/>
          <w:lang w:val="en-AU"/>
        </w:rPr>
        <w:t>Children with disabilities and child protection</w:t>
      </w:r>
      <w:bookmarkEnd w:id="5"/>
      <w:r w:rsidRPr="00B426A3">
        <w:rPr>
          <w:sz w:val="22"/>
          <w:szCs w:val="22"/>
          <w:lang w:val="en-AU"/>
        </w:rPr>
        <w:t xml:space="preserve"> </w:t>
      </w:r>
    </w:p>
    <w:p w:rsidR="00F71120" w:rsidRDefault="009D620D" w:rsidP="00F71120">
      <w:r w:rsidRPr="00B426A3">
        <w:t xml:space="preserve">Submissions by leading disability advocacy organisations to the </w:t>
      </w:r>
      <w:r w:rsidR="00B07745" w:rsidRPr="00B426A3">
        <w:t xml:space="preserve">Senate Community Affairs inquiry into Out-of-Home Care have argued that </w:t>
      </w:r>
      <w:r w:rsidRPr="00B426A3">
        <w:t xml:space="preserve">child protection systems do not provide adequate support </w:t>
      </w:r>
      <w:r w:rsidRPr="00B426A3">
        <w:lastRenderedPageBreak/>
        <w:t xml:space="preserve">for families with disability or families of children with disability to maintain care of their children. </w:t>
      </w:r>
      <w:r w:rsidRPr="00B426A3">
        <w:rPr>
          <w:rStyle w:val="FootnoteReference"/>
        </w:rPr>
        <w:footnoteReference w:id="4"/>
      </w:r>
      <w:r w:rsidRPr="00B426A3">
        <w:t xml:space="preserve"> The following reports outline some of the issues involved:</w:t>
      </w:r>
    </w:p>
    <w:p w:rsidR="00660ADC" w:rsidRPr="00B426A3" w:rsidRDefault="00660ADC" w:rsidP="00660ADC">
      <w:r>
        <w:t>Breckenridge, J and Flax, G (</w:t>
      </w:r>
      <w:r w:rsidRPr="00B426A3">
        <w:t>2016</w:t>
      </w:r>
      <w:r>
        <w:t>)</w:t>
      </w:r>
      <w:r w:rsidRPr="00B426A3">
        <w:t xml:space="preserve"> Service and support needs of specific population groups that have experienced child sexual abuse, Royal Commission into Institutional Responses to Child Sexual Abuse, Sydney. </w:t>
      </w:r>
      <w:hyperlink r:id="rId46" w:history="1">
        <w:r w:rsidRPr="00B426A3">
          <w:rPr>
            <w:rStyle w:val="Hyperlink"/>
          </w:rPr>
          <w:t>http://www.childabuseroyalcommission.gov.au/getattachment/02b01abe-2350-43fa-829b-3fdf6c7772f4/Service-and-support-needs-of-specific-population-g</w:t>
        </w:r>
      </w:hyperlink>
      <w:r w:rsidRPr="00B426A3">
        <w:t xml:space="preserve"> </w:t>
      </w:r>
    </w:p>
    <w:p w:rsidR="00660ADC" w:rsidRPr="00B426A3" w:rsidRDefault="00660ADC" w:rsidP="00660ADC"/>
    <w:p w:rsidR="005E37A0" w:rsidRPr="00B426A3" w:rsidRDefault="005E37A0" w:rsidP="005E37A0">
      <w:r w:rsidRPr="00B426A3">
        <w:t xml:space="preserve">Child Protection Systems Royal Commission, The life they deserve: Child Protection Systems Royal Commission Report, Volume 1: Summary and Report, Government of South Australia, 2016. </w:t>
      </w:r>
      <w:hyperlink r:id="rId47" w:history="1">
        <w:r w:rsidRPr="00B426A3">
          <w:rPr>
            <w:rStyle w:val="Hyperlink"/>
          </w:rPr>
          <w:t>https://agdsa.govcms.gov.au/sites/g/files/net2876/f/complete_report_child_protection_systems_royal_commission_report.pdf?v=1494388953</w:t>
        </w:r>
      </w:hyperlink>
      <w:r w:rsidRPr="00B426A3">
        <w:t xml:space="preserve"> </w:t>
      </w:r>
    </w:p>
    <w:p w:rsidR="00660ADC" w:rsidRPr="00B426A3" w:rsidRDefault="00660ADC" w:rsidP="00660ADC">
      <w:r w:rsidRPr="00B426A3">
        <w:t xml:space="preserve">Llewellyn, G, Wayland, S, </w:t>
      </w:r>
      <w:proofErr w:type="spellStart"/>
      <w:r w:rsidRPr="00B426A3">
        <w:t>Hindmarsh</w:t>
      </w:r>
      <w:proofErr w:type="spellEnd"/>
      <w:r w:rsidRPr="00B426A3">
        <w:t>, G (2016) Disability and child sexual abuse in institutional contests, Royal Commission into Institutional Responses to Child Sexual Abuse, Sydney</w:t>
      </w:r>
      <w:r w:rsidRPr="00B426A3" w:rsidDel="006C7128">
        <w:rPr>
          <w:rFonts w:eastAsia="Times New Roman"/>
          <w:b/>
          <w:lang w:val="en-AU" w:eastAsia="en-AU"/>
        </w:rPr>
        <w:t xml:space="preserve"> </w:t>
      </w:r>
      <w:hyperlink r:id="rId48" w:history="1">
        <w:r w:rsidRPr="00B426A3">
          <w:rPr>
            <w:rStyle w:val="Hyperlink"/>
          </w:rPr>
          <w:t>http://www.childabuseroyalcommission.gov.au/getattachment/0f4f0eb9-2a04-4f5b-967d-6e658a5db53c/Disability-and-child-sexual-abuse-in-institutional</w:t>
        </w:r>
      </w:hyperlink>
      <w:r w:rsidRPr="00B426A3">
        <w:t xml:space="preserve"> </w:t>
      </w:r>
    </w:p>
    <w:p w:rsidR="005E37A0" w:rsidRPr="00B426A3" w:rsidRDefault="005E37A0" w:rsidP="005E37A0">
      <w:r w:rsidRPr="00B426A3">
        <w:rPr>
          <w:rFonts w:cstheme="minorHAnsi"/>
        </w:rPr>
        <w:t xml:space="preserve">McConnell, D, Llewellyn, G, </w:t>
      </w:r>
      <w:proofErr w:type="spellStart"/>
      <w:r w:rsidRPr="00B426A3">
        <w:rPr>
          <w:rFonts w:cstheme="minorHAnsi"/>
        </w:rPr>
        <w:t>Ferronato</w:t>
      </w:r>
      <w:proofErr w:type="spellEnd"/>
      <w:r w:rsidRPr="00B426A3">
        <w:rPr>
          <w:rFonts w:cstheme="minorHAnsi"/>
        </w:rPr>
        <w:t xml:space="preserve">, L. (2000) Parents with a disability and The NSW Children’s Court, University of Sydney </w:t>
      </w:r>
      <w:hyperlink r:id="rId49" w:history="1">
        <w:r w:rsidRPr="00B426A3">
          <w:rPr>
            <w:rStyle w:val="Hyperlink"/>
            <w:rFonts w:cstheme="minorHAnsi"/>
          </w:rPr>
          <w:t>http://sydney.edu.au/health-sciences/afdsrc/docs/mcconnell-parents.pdf</w:t>
        </w:r>
      </w:hyperlink>
      <w:r w:rsidRPr="00B426A3">
        <w:rPr>
          <w:rFonts w:cstheme="minorHAnsi"/>
        </w:rPr>
        <w:t xml:space="preserve"> </w:t>
      </w:r>
      <w:r w:rsidRPr="00B426A3" w:rsidDel="006C7128">
        <w:rPr>
          <w:rFonts w:cstheme="minorHAnsi"/>
        </w:rPr>
        <w:t xml:space="preserve"> </w:t>
      </w:r>
    </w:p>
    <w:p w:rsidR="00660ADC" w:rsidRPr="00B426A3" w:rsidRDefault="00660ADC" w:rsidP="00660ADC">
      <w:pPr>
        <w:rPr>
          <w:rStyle w:val="Hyperlink"/>
        </w:rPr>
      </w:pPr>
      <w:r w:rsidRPr="00B426A3">
        <w:t>Robinson</w:t>
      </w:r>
      <w:r w:rsidR="005E37A0">
        <w:t>, S</w:t>
      </w:r>
      <w:r w:rsidRPr="00B426A3">
        <w:t xml:space="preserve"> (2016) Feeling safe, being safe: What is important to children and young people with disability and high support needs about safety in institutional settings</w:t>
      </w:r>
      <w:proofErr w:type="gramStart"/>
      <w:r w:rsidRPr="00B426A3">
        <w:t>?,</w:t>
      </w:r>
      <w:proofErr w:type="gramEnd"/>
      <w:r w:rsidRPr="00B426A3">
        <w:t xml:space="preserve"> Royal Commission into Institutional Responses to Child Sexual Abuse, Sydney, 2016.</w:t>
      </w:r>
      <w:r w:rsidRPr="00B426A3" w:rsidDel="006C7128">
        <w:rPr>
          <w:rFonts w:eastAsia="Times New Roman"/>
          <w:b/>
          <w:lang w:val="en-AU" w:eastAsia="en-AU"/>
        </w:rPr>
        <w:t xml:space="preserve"> </w:t>
      </w:r>
      <w:r w:rsidRPr="00B426A3">
        <w:t xml:space="preserve"> </w:t>
      </w:r>
      <w:hyperlink r:id="rId50" w:history="1">
        <w:r w:rsidRPr="00B426A3">
          <w:rPr>
            <w:rStyle w:val="Hyperlink"/>
          </w:rPr>
          <w:t>http://www.childabuseroyalcommission.gov.au/getattachment/d0f79922-0dc6-4c60-b170-3aa1de43f321/Feeling-Safe,-Being-Safe</w:t>
        </w:r>
      </w:hyperlink>
    </w:p>
    <w:p w:rsidR="00660ADC" w:rsidRPr="00B426A3" w:rsidRDefault="00660ADC" w:rsidP="00660ADC"/>
    <w:p w:rsidR="00660ADC" w:rsidRPr="00B426A3" w:rsidRDefault="00660ADC" w:rsidP="00660ADC"/>
    <w:p w:rsidR="009D620D" w:rsidRPr="00B426A3" w:rsidRDefault="009D620D" w:rsidP="00F71120"/>
    <w:sectPr w:rsidR="009D620D" w:rsidRPr="00B426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8DE" w:rsidRDefault="002178DE" w:rsidP="00F71120">
      <w:pPr>
        <w:spacing w:after="0" w:line="240" w:lineRule="auto"/>
      </w:pPr>
      <w:r>
        <w:separator/>
      </w:r>
    </w:p>
  </w:endnote>
  <w:endnote w:type="continuationSeparator" w:id="0">
    <w:p w:rsidR="002178DE" w:rsidRDefault="002178DE" w:rsidP="00F7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8DE" w:rsidRDefault="002178DE" w:rsidP="00F71120">
      <w:pPr>
        <w:spacing w:after="0" w:line="240" w:lineRule="auto"/>
      </w:pPr>
      <w:r>
        <w:separator/>
      </w:r>
    </w:p>
  </w:footnote>
  <w:footnote w:type="continuationSeparator" w:id="0">
    <w:p w:rsidR="002178DE" w:rsidRDefault="002178DE" w:rsidP="00F71120">
      <w:pPr>
        <w:spacing w:after="0" w:line="240" w:lineRule="auto"/>
      </w:pPr>
      <w:r>
        <w:continuationSeparator/>
      </w:r>
    </w:p>
  </w:footnote>
  <w:footnote w:id="1">
    <w:p w:rsidR="00F71120" w:rsidRPr="002919FE" w:rsidRDefault="00F71120" w:rsidP="00F71120">
      <w:pPr>
        <w:pStyle w:val="Footnotes"/>
        <w:rPr>
          <w:color w:val="222222"/>
          <w:sz w:val="18"/>
          <w:szCs w:val="18"/>
        </w:rPr>
      </w:pPr>
      <w:r w:rsidRPr="002919FE">
        <w:rPr>
          <w:rStyle w:val="FootnoteReference"/>
          <w:sz w:val="18"/>
          <w:szCs w:val="18"/>
        </w:rPr>
        <w:footnoteRef/>
      </w:r>
      <w:r w:rsidRPr="002919FE">
        <w:rPr>
          <w:sz w:val="18"/>
          <w:szCs w:val="18"/>
        </w:rPr>
        <w:t xml:space="preserve"> </w:t>
      </w:r>
      <w:r w:rsidRPr="002919FE">
        <w:rPr>
          <w:color w:val="222222"/>
          <w:sz w:val="18"/>
          <w:szCs w:val="18"/>
        </w:rPr>
        <w:t xml:space="preserve">ALWAYS WAS, ALWAYS WILL BE KOORI CHILDREN. Systemic inquiry into services provided to Aboriginal children and young people in out-of-home care in Victoria </w:t>
      </w:r>
      <w:hyperlink r:id="rId1" w:tgtFrame="_blank" w:history="1">
        <w:r w:rsidRPr="002919FE">
          <w:rPr>
            <w:rStyle w:val="Hyperlink"/>
            <w:color w:val="1155CC"/>
            <w:sz w:val="18"/>
            <w:szCs w:val="18"/>
          </w:rPr>
          <w:t>http://www.ccyp.vic.gov.au/downloads/always-was-always-will-be-koori-children-inquiry-report-oct16.pdf</w:t>
        </w:r>
      </w:hyperlink>
      <w:r w:rsidRPr="002919FE">
        <w:rPr>
          <w:color w:val="222222"/>
          <w:sz w:val="18"/>
          <w:szCs w:val="18"/>
        </w:rPr>
        <w:t> </w:t>
      </w:r>
    </w:p>
  </w:footnote>
  <w:footnote w:id="2">
    <w:p w:rsidR="00F71120" w:rsidRPr="002919FE" w:rsidRDefault="00F71120" w:rsidP="00F71120">
      <w:pPr>
        <w:pStyle w:val="Footnotes"/>
        <w:rPr>
          <w:sz w:val="18"/>
          <w:szCs w:val="18"/>
          <w:lang w:val="en-US"/>
        </w:rPr>
      </w:pPr>
      <w:r w:rsidRPr="002919FE">
        <w:rPr>
          <w:rStyle w:val="FootnoteReference"/>
          <w:sz w:val="18"/>
          <w:szCs w:val="18"/>
        </w:rPr>
        <w:footnoteRef/>
      </w:r>
      <w:r w:rsidRPr="002919FE">
        <w:rPr>
          <w:sz w:val="18"/>
          <w:szCs w:val="18"/>
        </w:rPr>
        <w:t xml:space="preserve"> </w:t>
      </w:r>
      <w:r w:rsidRPr="002919FE">
        <w:rPr>
          <w:rStyle w:val="FootnotesChar"/>
          <w:sz w:val="18"/>
          <w:szCs w:val="18"/>
        </w:rPr>
        <w:t>Improving the family law system for Aboriginal and Torres Strait Islander clients. A report to the Attorney-General prepared by the Family Law Council 2012</w:t>
      </w:r>
    </w:p>
  </w:footnote>
  <w:footnote w:id="3">
    <w:p w:rsidR="00F71120" w:rsidRPr="002919FE" w:rsidRDefault="00F71120" w:rsidP="00F71120">
      <w:pPr>
        <w:pStyle w:val="Footnotes"/>
        <w:rPr>
          <w:sz w:val="18"/>
          <w:szCs w:val="18"/>
          <w:lang w:val="en-US"/>
        </w:rPr>
      </w:pPr>
      <w:r w:rsidRPr="002919FE">
        <w:rPr>
          <w:rStyle w:val="FootnoteReference"/>
          <w:sz w:val="18"/>
          <w:szCs w:val="18"/>
        </w:rPr>
        <w:footnoteRef/>
      </w:r>
      <w:r w:rsidRPr="002919FE">
        <w:rPr>
          <w:sz w:val="18"/>
          <w:szCs w:val="18"/>
        </w:rPr>
        <w:t xml:space="preserve"> </w:t>
      </w:r>
      <w:r w:rsidRPr="002919FE">
        <w:rPr>
          <w:sz w:val="18"/>
          <w:szCs w:val="18"/>
          <w:lang w:val="en-US"/>
        </w:rPr>
        <w:t>Children Protection 2014-2015 AIHW</w:t>
      </w:r>
    </w:p>
  </w:footnote>
  <w:footnote w:id="4">
    <w:p w:rsidR="009D620D" w:rsidRPr="00C86F74" w:rsidRDefault="009D620D" w:rsidP="009D620D">
      <w:pPr>
        <w:pStyle w:val="Footnotes"/>
        <w:rPr>
          <w:lang w:val="en-US"/>
        </w:rPr>
      </w:pPr>
      <w:r w:rsidRPr="002919FE">
        <w:rPr>
          <w:rStyle w:val="FootnoteReference"/>
          <w:sz w:val="18"/>
          <w:szCs w:val="18"/>
        </w:rPr>
        <w:footnoteRef/>
      </w:r>
      <w:r w:rsidRPr="002919FE">
        <w:rPr>
          <w:sz w:val="18"/>
          <w:szCs w:val="18"/>
        </w:rPr>
        <w:t xml:space="preserve"> </w:t>
      </w:r>
      <w:r w:rsidRPr="002919FE">
        <w:rPr>
          <w:sz w:val="18"/>
          <w:szCs w:val="18"/>
          <w:lang w:val="en-AU"/>
        </w:rPr>
        <w:t>Intellectual Disability Rights Service, Submission 21; Endeavour Foundation, Submission 43; National Disability Services, Submission 54; ACT Disability, Aged and Carer Advocacy Service (ADACAS), Submission 71; People with Disability Australia (PWDA), Submission 74; Children with Disability Australia (CDA), Submission 80. All submission</w:t>
      </w:r>
      <w:r>
        <w:rPr>
          <w:sz w:val="18"/>
          <w:szCs w:val="18"/>
          <w:lang w:val="en-AU"/>
        </w:rPr>
        <w:t>s</w:t>
      </w:r>
      <w:r w:rsidRPr="002919FE">
        <w:rPr>
          <w:sz w:val="18"/>
          <w:szCs w:val="18"/>
          <w:lang w:val="en-AU"/>
        </w:rPr>
        <w:t xml:space="preserve"> are made into the Out-of-Home Care Inquiry by the Senate Community Affairs Committee Secretariat</w:t>
      </w:r>
      <w:r>
        <w:rPr>
          <w:sz w:val="18"/>
          <w:szCs w:val="18"/>
          <w:lang w:val="en-A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1B"/>
    <w:rsid w:val="00092B0F"/>
    <w:rsid w:val="001574B8"/>
    <w:rsid w:val="002178DE"/>
    <w:rsid w:val="0038651C"/>
    <w:rsid w:val="00477C28"/>
    <w:rsid w:val="005E37A0"/>
    <w:rsid w:val="00607B88"/>
    <w:rsid w:val="00660ADC"/>
    <w:rsid w:val="00666D06"/>
    <w:rsid w:val="008E08B5"/>
    <w:rsid w:val="009D620D"/>
    <w:rsid w:val="00A03CFC"/>
    <w:rsid w:val="00A711F2"/>
    <w:rsid w:val="00B07745"/>
    <w:rsid w:val="00B426A3"/>
    <w:rsid w:val="00B52BAA"/>
    <w:rsid w:val="00E23522"/>
    <w:rsid w:val="00F03722"/>
    <w:rsid w:val="00F71120"/>
    <w:rsid w:val="00F730AB"/>
    <w:rsid w:val="00FB0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DA0E4-89C1-4389-9587-C1D8C38B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11B"/>
    <w:rPr>
      <w:lang w:val="en-GB"/>
    </w:rPr>
  </w:style>
  <w:style w:type="paragraph" w:styleId="Heading1">
    <w:name w:val="heading 1"/>
    <w:basedOn w:val="Normal"/>
    <w:link w:val="Heading1Char"/>
    <w:uiPriority w:val="9"/>
    <w:qFormat/>
    <w:rsid w:val="00F71120"/>
    <w:pPr>
      <w:spacing w:before="100" w:beforeAutospacing="1" w:after="100" w:afterAutospacing="1" w:line="240" w:lineRule="auto"/>
      <w:outlineLvl w:val="0"/>
    </w:pPr>
    <w:rPr>
      <w:rFonts w:eastAsia="Times New Roman" w:cs="Times New Roman"/>
      <w:b/>
      <w:bCs/>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11B"/>
    <w:rPr>
      <w:color w:val="0563C1" w:themeColor="hyperlink"/>
      <w:u w:val="single"/>
    </w:rPr>
  </w:style>
  <w:style w:type="table" w:styleId="GridTable5Dark-Accent3">
    <w:name w:val="Grid Table 5 Dark Accent 3"/>
    <w:basedOn w:val="TableNormal"/>
    <w:uiPriority w:val="50"/>
    <w:rsid w:val="0038651C"/>
    <w:pPr>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Footnotes">
    <w:name w:val="Footnotes"/>
    <w:basedOn w:val="FootnoteText"/>
    <w:link w:val="FootnotesChar"/>
    <w:qFormat/>
    <w:rsid w:val="00F71120"/>
    <w:rPr>
      <w:rFonts w:cstheme="minorHAnsi"/>
    </w:rPr>
  </w:style>
  <w:style w:type="character" w:customStyle="1" w:styleId="FootnotesChar">
    <w:name w:val="Footnotes Char"/>
    <w:basedOn w:val="FootnoteTextChar"/>
    <w:link w:val="Footnotes"/>
    <w:rsid w:val="00F71120"/>
    <w:rPr>
      <w:rFonts w:cstheme="minorHAnsi"/>
      <w:sz w:val="20"/>
      <w:szCs w:val="20"/>
      <w:lang w:val="en-GB"/>
    </w:rPr>
  </w:style>
  <w:style w:type="paragraph" w:styleId="FootnoteText">
    <w:name w:val="footnote text"/>
    <w:basedOn w:val="Normal"/>
    <w:link w:val="FootnoteTextChar"/>
    <w:uiPriority w:val="99"/>
    <w:semiHidden/>
    <w:unhideWhenUsed/>
    <w:rsid w:val="00F71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120"/>
    <w:rPr>
      <w:sz w:val="20"/>
      <w:szCs w:val="20"/>
      <w:lang w:val="en-GB"/>
    </w:rPr>
  </w:style>
  <w:style w:type="paragraph" w:styleId="NoSpacing">
    <w:name w:val="No Spacing"/>
    <w:uiPriority w:val="1"/>
    <w:qFormat/>
    <w:rsid w:val="00F71120"/>
    <w:pPr>
      <w:spacing w:after="0" w:line="240" w:lineRule="auto"/>
    </w:pPr>
    <w:rPr>
      <w:lang w:val="en-GB"/>
    </w:rPr>
  </w:style>
  <w:style w:type="paragraph" w:styleId="ListParagraph">
    <w:name w:val="List Paragraph"/>
    <w:basedOn w:val="Normal"/>
    <w:uiPriority w:val="34"/>
    <w:qFormat/>
    <w:rsid w:val="00F71120"/>
    <w:pPr>
      <w:ind w:left="720"/>
      <w:contextualSpacing/>
    </w:pPr>
  </w:style>
  <w:style w:type="character" w:customStyle="1" w:styleId="Heading1Char">
    <w:name w:val="Heading 1 Char"/>
    <w:basedOn w:val="DefaultParagraphFont"/>
    <w:link w:val="Heading1"/>
    <w:uiPriority w:val="9"/>
    <w:rsid w:val="00F71120"/>
    <w:rPr>
      <w:rFonts w:eastAsia="Times New Roman" w:cs="Times New Roman"/>
      <w:b/>
      <w:bCs/>
      <w:kern w:val="36"/>
      <w:sz w:val="28"/>
      <w:szCs w:val="28"/>
      <w:lang w:val="en-GB" w:eastAsia="en-GB"/>
    </w:rPr>
  </w:style>
  <w:style w:type="character" w:styleId="FootnoteReference">
    <w:name w:val="footnote reference"/>
    <w:basedOn w:val="DefaultParagraphFont"/>
    <w:uiPriority w:val="99"/>
    <w:semiHidden/>
    <w:unhideWhenUsed/>
    <w:rsid w:val="00F71120"/>
    <w:rPr>
      <w:vertAlign w:val="superscript"/>
    </w:rPr>
  </w:style>
  <w:style w:type="table" w:styleId="TableGrid">
    <w:name w:val="Table Grid"/>
    <w:basedOn w:val="TableNormal"/>
    <w:uiPriority w:val="39"/>
    <w:rsid w:val="009D62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2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fs.gov.au/cfca/publications/what-child-abuse-and-neglect" TargetMode="External"/><Relationship Id="rId18" Type="http://schemas.openxmlformats.org/officeDocument/2006/relationships/hyperlink" Target="https://www.dss.gov.au/sites/default/files/documents/pac_national_standard.pdf" TargetMode="External"/><Relationship Id="rId26" Type="http://schemas.openxmlformats.org/officeDocument/2006/relationships/hyperlink" Target="http://www.wlsa.org.au/uploads/submission-resources/6_-_Womens_Legal_Services_Australia.pdf" TargetMode="External"/><Relationship Id="rId39" Type="http://schemas.openxmlformats.org/officeDocument/2006/relationships/hyperlink" Target="https://www.dss.gov.au/sites/default/files/documents/11_2016/refugee_communities_intercultural_dialogues_building_relationships_building_communities_report.pdf" TargetMode="External"/><Relationship Id="rId3" Type="http://schemas.openxmlformats.org/officeDocument/2006/relationships/webSettings" Target="webSettings.xml"/><Relationship Id="rId21" Type="http://schemas.openxmlformats.org/officeDocument/2006/relationships/hyperlink" Target="https://www.ag.gov.au/FamiliesAndMarriage/FamilyLawCouncil/Documents/Family-with-Complex-Needs-Intersection-of-Family-Law-and-Child-Protection-Systems-Final-Report-Terms-3-4-5.PDF" TargetMode="External"/><Relationship Id="rId34" Type="http://schemas.openxmlformats.org/officeDocument/2006/relationships/hyperlink" Target="http://www.australianchurchesrefugeetaskforce.com.au/wp-content/uploads/2014/07/ProtectingTheLonelyChildren.pdf" TargetMode="External"/><Relationship Id="rId42" Type="http://schemas.openxmlformats.org/officeDocument/2006/relationships/hyperlink" Target="http://www.rcfv.com.au/Report-Recommendations" TargetMode="External"/><Relationship Id="rId47" Type="http://schemas.openxmlformats.org/officeDocument/2006/relationships/hyperlink" Target="https://agdsa.govcms.gov.au/sites/g/files/net2876/f/complete_report_child_protection_systems_royal_commission_report.pdf?v=1494388953" TargetMode="External"/><Relationship Id="rId50" Type="http://schemas.openxmlformats.org/officeDocument/2006/relationships/hyperlink" Target="http://www.childabuseroyalcommission.gov.au/getattachment/d0f79922-0dc6-4c60-b170-3aa1de43f321/Feeling-Safe,-Being-Safe" TargetMode="External"/><Relationship Id="rId7" Type="http://schemas.openxmlformats.org/officeDocument/2006/relationships/hyperlink" Target="https://d2c0ikyv46o3b1.cloudfront.net/anrows.org.au/Patricia_Horizons_final.pdf" TargetMode="External"/><Relationship Id="rId12" Type="http://schemas.openxmlformats.org/officeDocument/2006/relationships/hyperlink" Target="https://aifs.gov.au/cfca/publications/child-abuse-and-neglect-statistics" TargetMode="External"/><Relationship Id="rId17" Type="http://schemas.openxmlformats.org/officeDocument/2006/relationships/hyperlink" Target="https://www.alrc.gov.au/publications/4.%20Purposes%20of%20Laws%20Relevant%20to%20Family%20Violence/child-protection-law" TargetMode="External"/><Relationship Id="rId25" Type="http://schemas.openxmlformats.org/officeDocument/2006/relationships/hyperlink" Target="https://www.parliament.nsw.gov.au/committees/DBAssets/InquirySubmission/Body/55905/0073%20Women%27s%20Legal%20Service%20NSW.pdf" TargetMode="External"/><Relationship Id="rId33" Type="http://schemas.openxmlformats.org/officeDocument/2006/relationships/hyperlink" Target="http://www.inquirysaac.nt.gov.au/pdf/bipacsa_final_report.pdf" TargetMode="External"/><Relationship Id="rId38" Type="http://schemas.openxmlformats.org/officeDocument/2006/relationships/hyperlink" Target="http://www.sciencedirect.com/science/article/pii/S0145213415003166" TargetMode="External"/><Relationship Id="rId46" Type="http://schemas.openxmlformats.org/officeDocument/2006/relationships/hyperlink" Target="http://www.childabuseroyalcommission.gov.au/getattachment/02b01abe-2350-43fa-829b-3fdf6c7772f4/Service-and-support-needs-of-specific-population-g" TargetMode="External"/><Relationship Id="rId2" Type="http://schemas.openxmlformats.org/officeDocument/2006/relationships/settings" Target="settings.xml"/><Relationship Id="rId16" Type="http://schemas.openxmlformats.org/officeDocument/2006/relationships/hyperlink" Target="https://www.alrc.gov.au/sites/default/files/pdfs/publications/19.%20The%20intersection%20of%20Child%20Protection%20and%20Family%20Laws.pdf" TargetMode="External"/><Relationship Id="rId20" Type="http://schemas.openxmlformats.org/officeDocument/2006/relationships/hyperlink" Target="http://www.familycourt.gov.au/wps/wcm/connect/fcoaweb/family-law-matters/family-violence/child-abuse-allegations/" TargetMode="External"/><Relationship Id="rId29" Type="http://schemas.openxmlformats.org/officeDocument/2006/relationships/hyperlink" Target="https://aifs.gov.au/cfca/publications/child-protection-and-aboriginal-and-torres-strait-islander-children" TargetMode="External"/><Relationship Id="rId41" Type="http://schemas.openxmlformats.org/officeDocument/2006/relationships/hyperlink" Target="http://onlinelibrary.wiley.com/doi/10.1111/cfs.12088/abstract" TargetMode="External"/><Relationship Id="rId1" Type="http://schemas.openxmlformats.org/officeDocument/2006/relationships/styles" Target="styles.xml"/><Relationship Id="rId6" Type="http://schemas.openxmlformats.org/officeDocument/2006/relationships/hyperlink" Target="mailto:info@awava.org.au" TargetMode="External"/><Relationship Id="rId11" Type="http://schemas.openxmlformats.org/officeDocument/2006/relationships/hyperlink" Target="https://www.humanrights.gov.au/sites/default/files/document/publication/AHRC_CRR_2016.pdf" TargetMode="External"/><Relationship Id="rId24" Type="http://schemas.openxmlformats.org/officeDocument/2006/relationships/hyperlink" Target="http://www.aph.gov.au/Parliamentary_Business/Committees/Senate/Community_Affairs/Out_of_home_care/Report" TargetMode="External"/><Relationship Id="rId32" Type="http://schemas.openxmlformats.org/officeDocument/2006/relationships/hyperlink" Target="http://jccd.org.au/wp-content/uploads/2016/04/JCCD_Consultation_Report_-_Aboriginal_and_Torres_Strait_Islander_Women.pdf" TargetMode="External"/><Relationship Id="rId37" Type="http://schemas.openxmlformats.org/officeDocument/2006/relationships/hyperlink" Target="http://www.jkdiversityconsultants.com.au/Cultural_Diversity_&amp;_Child_Protection_Kaur2012_A4.pdf" TargetMode="External"/><Relationship Id="rId40" Type="http://schemas.openxmlformats.org/officeDocument/2006/relationships/hyperlink" Target="http://www.community.nsw.gov.au/__data/assets/pdf_file/0004/321637/research_cald_families.pdf" TargetMode="External"/><Relationship Id="rId45" Type="http://schemas.openxmlformats.org/officeDocument/2006/relationships/hyperlink" Target="https://aifs.gov.au/cfca/pacra/australian-lesbian-and-gay-foster-carers-negotiating-child-protection-system" TargetMode="External"/><Relationship Id="rId5" Type="http://schemas.openxmlformats.org/officeDocument/2006/relationships/endnotes" Target="endnotes.xml"/><Relationship Id="rId15" Type="http://schemas.openxmlformats.org/officeDocument/2006/relationships/hyperlink" Target="http://www.aihw.gov.au/child-protection/agencies" TargetMode="External"/><Relationship Id="rId23" Type="http://schemas.openxmlformats.org/officeDocument/2006/relationships/hyperlink" Target="http://www.federalcircuitcourt.gov.au/wps/wcm/connect/fccweb/reports-and-publications/publications/family-law/exposure-to-family-violence-and-its-effect-on-children" TargetMode="External"/><Relationship Id="rId28" Type="http://schemas.openxmlformats.org/officeDocument/2006/relationships/hyperlink" Target="https://www.humanrights.gov.au/our-work/aboriginal-and-torres-strait-islander-social-justice/publications/bringing-them-home-stolen" TargetMode="External"/><Relationship Id="rId36" Type="http://schemas.openxmlformats.org/officeDocument/2006/relationships/hyperlink" Target="http://jccd.org.au/wp-content/uploads/2016/04/JCCD_Consultation_Report_-_Migrant_and_Refugee_Women.pdf" TargetMode="External"/><Relationship Id="rId49" Type="http://schemas.openxmlformats.org/officeDocument/2006/relationships/hyperlink" Target="http://sydney.edu.au/health-sciences/afdsrc/docs/mcconnell-parents.pdf" TargetMode="External"/><Relationship Id="rId10" Type="http://schemas.openxmlformats.org/officeDocument/2006/relationships/hyperlink" Target="https://www.childabuseroyalcommission.gov.au/" TargetMode="External"/><Relationship Id="rId19" Type="http://schemas.openxmlformats.org/officeDocument/2006/relationships/hyperlink" Target="https://www.parliament.nsw.gov.au/committees/DBAssets/InquirySubmission/Body/55898/0072%20Domestic%20Violence%20NSW.pdf" TargetMode="External"/><Relationship Id="rId31" Type="http://schemas.openxmlformats.org/officeDocument/2006/relationships/hyperlink" Target="https://www.ag.gov.au/FamiliesAndMarriage/FamilyLawCouncil/Documents/Improving%20the%20Family%20Law%20System%20for%20Aboriginal%20and%20Torres%20Strait%20Islander%20Clients.pdf" TargetMode="External"/><Relationship Id="rId44" Type="http://schemas.openxmlformats.org/officeDocument/2006/relationships/hyperlink" Target="https://aifs.gov.au/cfca/sites/default/files/cfca/pubs/papers/a145197/cfca18.pdf"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dss.gov.au/women/programs-services/reducing-violence/the-national-plan-to-reduce-violence-against-women-and-their-children-2010-2022" TargetMode="External"/><Relationship Id="rId14" Type="http://schemas.openxmlformats.org/officeDocument/2006/relationships/hyperlink" Target="https://aifs.gov.au/cfca/publications/child-protection-and-family-law%E2%80%A6-joining-dots/child-protection-systems-australia" TargetMode="External"/><Relationship Id="rId22" Type="http://schemas.openxmlformats.org/officeDocument/2006/relationships/hyperlink" Target="https://www.ag.gov.au/FamiliesAndMarriage/FamilyLawCouncil/Documents/Families-with-Complex-Needs-Intersection-of-Family-Law-and-Child-Protection-Systems%E2%80%93Interim-Report-Terms-1-and-2.pdf" TargetMode="External"/><Relationship Id="rId27" Type="http://schemas.openxmlformats.org/officeDocument/2006/relationships/hyperlink" Target="http://healingfoundation.org.au/bringing-them-home/" TargetMode="External"/><Relationship Id="rId30" Type="http://schemas.openxmlformats.org/officeDocument/2006/relationships/hyperlink" Target="https://ccyp.vic.gov.au/assets/Publications-inquiries/always-was-always-will-be-koori-children-inquiry-report-oct16.pdf" TargetMode="External"/><Relationship Id="rId35" Type="http://schemas.openxmlformats.org/officeDocument/2006/relationships/hyperlink" Target="http://www.eccq.com.au/what-we-do/policy/child-protection/resources-for-cald-clients-and-child-protection" TargetMode="External"/><Relationship Id="rId43" Type="http://schemas.openxmlformats.org/officeDocument/2006/relationships/hyperlink" Target="http://www.childhoodinstitute.org.au/Assets/352/1/CharlotteWilliams.pdf" TargetMode="External"/><Relationship Id="rId48" Type="http://schemas.openxmlformats.org/officeDocument/2006/relationships/hyperlink" Target="http://www.childabuseroyalcommission.gov.au/getattachment/0f4f0eb9-2a04-4f5b-967d-6e658a5db53c/Disability-and-child-sexual-abuse-in-institutional" TargetMode="External"/><Relationship Id="rId8" Type="http://schemas.openxmlformats.org/officeDocument/2006/relationships/hyperlink" Target="https://www.dss.gov.au/our-responsibilities/families-and-children/publications-articles/protecting-children-is-everyones-business"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yp.vic.gov.au/downloads/always-was-always-will-be-koori-children-inquiry-report-oct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ProgramManager</dc:creator>
  <cp:keywords/>
  <dc:description/>
  <cp:lastModifiedBy>PolicyOfficer</cp:lastModifiedBy>
  <cp:revision>6</cp:revision>
  <dcterms:created xsi:type="dcterms:W3CDTF">2017-07-06T01:55:00Z</dcterms:created>
  <dcterms:modified xsi:type="dcterms:W3CDTF">2017-07-11T07:15:00Z</dcterms:modified>
</cp:coreProperties>
</file>